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58582D" w14:textId="0FAA7256" w:rsidR="00F33415" w:rsidRDefault="005A4714" w:rsidP="002D7380">
      <w:pPr>
        <w:ind w:left="0"/>
        <w:jc w:val="center"/>
        <w:rPr>
          <w:b/>
          <w:bCs/>
          <w:sz w:val="28"/>
          <w:szCs w:val="24"/>
        </w:rPr>
      </w:pPr>
      <w:r w:rsidRPr="00662E51">
        <w:rPr>
          <w:b/>
          <w:bCs/>
          <w:sz w:val="28"/>
          <w:szCs w:val="24"/>
        </w:rPr>
        <w:t>“People got</w:t>
      </w:r>
      <w:r w:rsidR="00F33415">
        <w:rPr>
          <w:b/>
          <w:bCs/>
          <w:sz w:val="28"/>
          <w:szCs w:val="24"/>
        </w:rPr>
        <w:t xml:space="preserve"> to</w:t>
      </w:r>
      <w:r w:rsidRPr="00662E51">
        <w:rPr>
          <w:b/>
          <w:bCs/>
          <w:sz w:val="28"/>
          <w:szCs w:val="24"/>
        </w:rPr>
        <w:t xml:space="preserve"> understand how politics works”:</w:t>
      </w:r>
      <w:r w:rsidR="00D16297" w:rsidRPr="00662E51">
        <w:rPr>
          <w:b/>
          <w:bCs/>
          <w:sz w:val="28"/>
          <w:szCs w:val="24"/>
        </w:rPr>
        <w:t xml:space="preserve"> </w:t>
      </w:r>
    </w:p>
    <w:p w14:paraId="4494B81F" w14:textId="50076271" w:rsidR="000B40E4" w:rsidRPr="00662E51" w:rsidRDefault="00F33415" w:rsidP="002D7380">
      <w:pPr>
        <w:ind w:left="0"/>
        <w:jc w:val="center"/>
        <w:rPr>
          <w:b/>
          <w:bCs/>
          <w:sz w:val="28"/>
          <w:szCs w:val="24"/>
        </w:rPr>
      </w:pPr>
      <w:r w:rsidRPr="00662E51">
        <w:rPr>
          <w:b/>
          <w:bCs/>
          <w:sz w:val="28"/>
          <w:szCs w:val="24"/>
        </w:rPr>
        <w:t xml:space="preserve">political </w:t>
      </w:r>
      <w:r w:rsidR="005A4714" w:rsidRPr="00662E51">
        <w:rPr>
          <w:b/>
          <w:bCs/>
          <w:sz w:val="28"/>
          <w:szCs w:val="24"/>
        </w:rPr>
        <w:t xml:space="preserve">parties, the local state, and urban </w:t>
      </w:r>
    </w:p>
    <w:p w14:paraId="27EF13E0" w14:textId="11D35BB2" w:rsidR="004E1CFD" w:rsidRPr="00662E51" w:rsidRDefault="00F33415" w:rsidP="002D7380">
      <w:pPr>
        <w:ind w:left="0"/>
        <w:jc w:val="center"/>
        <w:rPr>
          <w:b/>
          <w:bCs/>
          <w:sz w:val="28"/>
          <w:szCs w:val="24"/>
        </w:rPr>
      </w:pPr>
      <w:r w:rsidRPr="00662E51">
        <w:rPr>
          <w:b/>
          <w:bCs/>
          <w:sz w:val="28"/>
          <w:szCs w:val="24"/>
        </w:rPr>
        <w:t xml:space="preserve">regeneration </w:t>
      </w:r>
      <w:r w:rsidR="005A4714" w:rsidRPr="00662E51">
        <w:rPr>
          <w:b/>
          <w:bCs/>
          <w:sz w:val="28"/>
          <w:szCs w:val="24"/>
        </w:rPr>
        <w:t>in Haringey, London</w:t>
      </w:r>
    </w:p>
    <w:p w14:paraId="2625173E" w14:textId="77777777" w:rsidR="002D7380" w:rsidRPr="00662E51" w:rsidRDefault="002D7380" w:rsidP="002D7380">
      <w:pPr>
        <w:ind w:left="0"/>
        <w:jc w:val="center"/>
        <w:rPr>
          <w:i/>
          <w:iCs/>
          <w:sz w:val="28"/>
          <w:szCs w:val="24"/>
        </w:rPr>
      </w:pPr>
    </w:p>
    <w:p w14:paraId="72E8F5E0" w14:textId="6AA063E4" w:rsidR="00D37A05" w:rsidRPr="00662E51" w:rsidRDefault="00D37A05" w:rsidP="002D7380">
      <w:pPr>
        <w:ind w:left="0"/>
        <w:jc w:val="center"/>
        <w:rPr>
          <w:i/>
          <w:iCs/>
          <w:sz w:val="28"/>
          <w:szCs w:val="24"/>
        </w:rPr>
      </w:pPr>
      <w:r w:rsidRPr="00662E51">
        <w:rPr>
          <w:i/>
          <w:iCs/>
          <w:sz w:val="28"/>
          <w:szCs w:val="24"/>
        </w:rPr>
        <w:t>Anil Sindhwani</w:t>
      </w:r>
    </w:p>
    <w:p w14:paraId="691025B6" w14:textId="77777777" w:rsidR="00D37A05" w:rsidRPr="00662E51" w:rsidRDefault="00D37A05" w:rsidP="005A4714">
      <w:pPr>
        <w:ind w:left="0"/>
        <w:jc w:val="center"/>
      </w:pPr>
    </w:p>
    <w:p w14:paraId="48C09F7B" w14:textId="2C99793D" w:rsidR="00964CF9" w:rsidRPr="00662E51" w:rsidRDefault="00D37A05" w:rsidP="002D7380">
      <w:pPr>
        <w:pStyle w:val="Heading1"/>
        <w:numPr>
          <w:ilvl w:val="0"/>
          <w:numId w:val="0"/>
        </w:numPr>
        <w:spacing w:line="276" w:lineRule="auto"/>
        <w:ind w:left="357" w:hanging="357"/>
      </w:pPr>
      <w:bookmarkStart w:id="0" w:name="_Toc221184281"/>
      <w:bookmarkStart w:id="1" w:name="_Toc231215204"/>
      <w:r w:rsidRPr="00662E51">
        <w:rPr>
          <w:sz w:val="24"/>
        </w:rPr>
        <w:t>Abstract</w:t>
      </w:r>
      <w:r w:rsidR="00964CF9" w:rsidRPr="00662E51">
        <w:rPr>
          <w:sz w:val="24"/>
        </w:rPr>
        <w:t>:</w:t>
      </w:r>
      <w:bookmarkEnd w:id="0"/>
      <w:bookmarkEnd w:id="1"/>
    </w:p>
    <w:p w14:paraId="20D88069" w14:textId="3864C3F9" w:rsidR="00BA0117" w:rsidRPr="00662E51" w:rsidRDefault="004A4513" w:rsidP="00F06607">
      <w:pPr>
        <w:spacing w:line="276" w:lineRule="auto"/>
        <w:ind w:left="0"/>
      </w:pPr>
      <w:r w:rsidRPr="00662E51">
        <w:t xml:space="preserve">Local </w:t>
      </w:r>
      <w:r w:rsidR="0062625E" w:rsidRPr="00662E51">
        <w:t xml:space="preserve">governance in the United Kingdom is undergoing significant transition. </w:t>
      </w:r>
      <w:r w:rsidR="006C13C5" w:rsidRPr="00662E51">
        <w:t xml:space="preserve">Simultaneously, large scale </w:t>
      </w:r>
      <w:r w:rsidR="00EE1D59" w:rsidRPr="00662E51">
        <w:t xml:space="preserve">urban </w:t>
      </w:r>
      <w:r w:rsidR="006C13C5" w:rsidRPr="00662E51">
        <w:t xml:space="preserve">regeneration </w:t>
      </w:r>
      <w:r w:rsidR="009B076D" w:rsidRPr="00662E51">
        <w:t xml:space="preserve">has become a norm in British cities. Led by local states, regeneration </w:t>
      </w:r>
      <w:r w:rsidR="00B610D4" w:rsidRPr="00662E51">
        <w:t>continue</w:t>
      </w:r>
      <w:r w:rsidR="00EE1D59" w:rsidRPr="00662E51">
        <w:t>s</w:t>
      </w:r>
      <w:r w:rsidR="00B610D4" w:rsidRPr="00662E51">
        <w:t xml:space="preserve"> unabated even amidst strong resistance by </w:t>
      </w:r>
      <w:r w:rsidR="00B91BDD" w:rsidRPr="00662E51">
        <w:t>impacted</w:t>
      </w:r>
      <w:r w:rsidR="00B610D4" w:rsidRPr="00662E51">
        <w:t xml:space="preserve"> communities. </w:t>
      </w:r>
      <w:r w:rsidR="006353F2" w:rsidRPr="00662E51">
        <w:t xml:space="preserve">At its core, then, this research </w:t>
      </w:r>
      <w:r w:rsidR="00184165" w:rsidRPr="00662E51">
        <w:t xml:space="preserve">sets out to understand </w:t>
      </w:r>
      <w:r w:rsidR="00B610D4" w:rsidRPr="00662E51">
        <w:t xml:space="preserve">how and why such schemes </w:t>
      </w:r>
      <w:r w:rsidR="00D15C55" w:rsidRPr="00662E51">
        <w:t xml:space="preserve">can </w:t>
      </w:r>
      <w:r w:rsidR="00B610D4" w:rsidRPr="00662E51">
        <w:t xml:space="preserve">continue. It does so by mapping out </w:t>
      </w:r>
      <w:r w:rsidR="000E2AB8" w:rsidRPr="00662E51">
        <w:t xml:space="preserve">a case study of </w:t>
      </w:r>
      <w:r w:rsidR="00124DB6" w:rsidRPr="00662E51">
        <w:t>the London Borough of Haringey</w:t>
      </w:r>
      <w:r w:rsidR="000E2AB8" w:rsidRPr="00662E51">
        <w:t xml:space="preserve"> and its deep entanglements with the ruling political faction: the Labour Party. </w:t>
      </w:r>
      <w:r w:rsidR="00416A04" w:rsidRPr="00662E51">
        <w:t xml:space="preserve">To do so, the research </w:t>
      </w:r>
      <w:r w:rsidR="00081C47" w:rsidRPr="00662E51">
        <w:t xml:space="preserve">links together Bruff’s </w:t>
      </w:r>
      <w:r w:rsidR="00C20FB5" w:rsidRPr="00662E51">
        <w:fldChar w:fldCharType="begin"/>
      </w:r>
      <w:r w:rsidR="00C20FB5" w:rsidRPr="00662E51">
        <w:instrText xml:space="preserve"> ADDIN ZOTERO_ITEM CSL_CITATION {"citationID":"GiAka8Bd","properties":{"formattedCitation":"(2014)","plainCitation":"(2014)","noteIndex":0},"citationItems":[{"id":5773,"uris":["http://zotero.org/users/8977980/items/YQRZXUST"],"itemData":{"id":5773,"type":"article-journal","container-title":"Rethinking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Neoliberalism","volume":"26","author":[{"family":"Bruff","given":"Ian"}],"issued":{"date-parts":[["2014",1,2]]}},"suppress-author":true}],"schema":"https://github.com/citation-style-language/schema/raw/master/csl-citation.json"} </w:instrText>
      </w:r>
      <w:r w:rsidR="00C20FB5" w:rsidRPr="00662E51">
        <w:fldChar w:fldCharType="separate"/>
      </w:r>
      <w:r w:rsidR="00C20FB5" w:rsidRPr="00662E51">
        <w:t>(2014)</w:t>
      </w:r>
      <w:r w:rsidR="00C20FB5" w:rsidRPr="00662E51">
        <w:fldChar w:fldCharType="end"/>
      </w:r>
      <w:r w:rsidR="00081C47" w:rsidRPr="00662E51">
        <w:t xml:space="preserve"> articulation of </w:t>
      </w:r>
      <w:r w:rsidR="001F21E2" w:rsidRPr="00662E51">
        <w:t xml:space="preserve">authoritarian neoliberalism, critical perspectives on the Labour Party, and </w:t>
      </w:r>
      <w:r w:rsidR="00590B67" w:rsidRPr="00662E51">
        <w:t xml:space="preserve">contemporary theory of the </w:t>
      </w:r>
      <w:r w:rsidR="00590B67" w:rsidRPr="00662E51">
        <w:rPr>
          <w:i/>
          <w:iCs/>
        </w:rPr>
        <w:t>local state</w:t>
      </w:r>
      <w:r w:rsidR="00C17039" w:rsidRPr="00662E51">
        <w:t xml:space="preserve">, </w:t>
      </w:r>
      <w:r w:rsidR="004A6076" w:rsidRPr="00662E51">
        <w:t>drawing chiefly on</w:t>
      </w:r>
      <w:r w:rsidR="002919A9" w:rsidRPr="00662E51">
        <w:t xml:space="preserve"> </w:t>
      </w:r>
      <w:r w:rsidR="004A6076" w:rsidRPr="00662E51">
        <w:t xml:space="preserve">Ormerod </w:t>
      </w:r>
      <w:r w:rsidR="004A6076" w:rsidRPr="00662E51">
        <w:fldChar w:fldCharType="begin"/>
      </w:r>
      <w:r w:rsidR="004A6076" w:rsidRPr="00662E51">
        <w:instrText xml:space="preserve"> ADDIN ZOTERO_ITEM CSL_CITATION {"citationID":"uNreXsqX","properties":{"formattedCitation":"(2021)","plainCitation":"(2021)","noteIndex":0},"citationItems":[{"id":3295,"uris":["http://zotero.org/users/8977980/items/UP7CRFTK"],"itemData":{"id":3295,"type":"article-journal","abstract":"This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uppress-author":true}],"schema":"https://github.com/citation-style-language/schema/raw/master/csl-citation.json"} </w:instrText>
      </w:r>
      <w:r w:rsidR="004A6076" w:rsidRPr="00662E51">
        <w:fldChar w:fldCharType="separate"/>
      </w:r>
      <w:r w:rsidR="004A6076" w:rsidRPr="00662E51">
        <w:t>(2021)</w:t>
      </w:r>
      <w:r w:rsidR="004A6076" w:rsidRPr="00662E51">
        <w:fldChar w:fldCharType="end"/>
      </w:r>
      <w:r w:rsidR="004A6076" w:rsidRPr="00662E51">
        <w:t>.</w:t>
      </w:r>
      <w:r w:rsidR="00B2460D" w:rsidRPr="00662E51">
        <w:t xml:space="preserve"> </w:t>
      </w:r>
      <w:r w:rsidR="00A03F6A" w:rsidRPr="00662E51">
        <w:t xml:space="preserve">This linkage </w:t>
      </w:r>
      <w:r w:rsidR="00B537C7" w:rsidRPr="00662E51">
        <w:t>stresses</w:t>
      </w:r>
      <w:r w:rsidR="00A03F6A" w:rsidRPr="00662E51">
        <w:t xml:space="preserve"> the importance of dominant political parties</w:t>
      </w:r>
      <w:r w:rsidR="00B537C7" w:rsidRPr="00662E51">
        <w:t xml:space="preserve">, particularly in one-party local states (like Haringey) that characterise much of British local governance. Focusing in on the </w:t>
      </w:r>
      <w:r w:rsidR="00B537C7" w:rsidRPr="00662E51">
        <w:rPr>
          <w:i/>
          <w:iCs/>
        </w:rPr>
        <w:t>local state</w:t>
      </w:r>
      <w:r w:rsidR="00B537C7" w:rsidRPr="00662E51">
        <w:t xml:space="preserve"> also not only highlights </w:t>
      </w:r>
      <w:r w:rsidR="00C17039" w:rsidRPr="00662E51">
        <w:t xml:space="preserve">its relevance to </w:t>
      </w:r>
      <w:r w:rsidR="00D15C55" w:rsidRPr="00662E51">
        <w:t>contemporary</w:t>
      </w:r>
      <w:r w:rsidR="00BD7024" w:rsidRPr="00662E51">
        <w:t xml:space="preserve"> urban</w:t>
      </w:r>
      <w:r w:rsidR="00D15C55" w:rsidRPr="00662E51">
        <w:t xml:space="preserve"> development</w:t>
      </w:r>
      <w:r w:rsidR="00C17039" w:rsidRPr="00662E51">
        <w:t>, but also its dependence on—and entanglements with—political parties.</w:t>
      </w:r>
    </w:p>
    <w:p w14:paraId="6819AE44" w14:textId="77777777" w:rsidR="0035796D" w:rsidRPr="00662E51" w:rsidRDefault="0035796D" w:rsidP="00F06607">
      <w:pPr>
        <w:spacing w:line="276" w:lineRule="auto"/>
        <w:ind w:left="0"/>
      </w:pPr>
    </w:p>
    <w:p w14:paraId="010612A7" w14:textId="47D2BDA8" w:rsidR="00A03F6A" w:rsidRPr="00662E51" w:rsidRDefault="009E563E" w:rsidP="00F06607">
      <w:pPr>
        <w:spacing w:line="276" w:lineRule="auto"/>
        <w:ind w:left="0"/>
      </w:pPr>
      <w:r w:rsidRPr="00662E51">
        <w:t>The analysis also considers resistance to the state</w:t>
      </w:r>
      <w:r w:rsidR="006C024D" w:rsidRPr="00662E51">
        <w:t>. I explore three relevant case studies: two regeneration schemes (High Road West and the Haringey Development Vehicle) and one historical</w:t>
      </w:r>
      <w:r w:rsidR="00C42577" w:rsidRPr="00662E51">
        <w:t xml:space="preserve"> example of a group of council estate tenants organising for better conditions on their estate (Broadwater Farm). </w:t>
      </w:r>
      <w:r w:rsidR="002919A9" w:rsidRPr="00662E51">
        <w:t xml:space="preserve">Resistance is explored through the lens of </w:t>
      </w:r>
      <w:r w:rsidR="000A358C" w:rsidRPr="00662E51">
        <w:t xml:space="preserve">acts of </w:t>
      </w:r>
      <w:r w:rsidR="002919A9" w:rsidRPr="00662E51">
        <w:t xml:space="preserve">citizenship as coined by Isin </w:t>
      </w:r>
      <w:r w:rsidR="002919A9" w:rsidRPr="00662E51">
        <w:fldChar w:fldCharType="begin"/>
      </w:r>
      <w:r w:rsidR="008835AB" w:rsidRPr="00662E51">
        <w:instrText xml:space="preserve"> ADDIN ZOTERO_ITEM CSL_CITATION {"citationID":"UcvuCcN9","properties":{"formattedCitation":"(2008)","plainCitation":"(2008)","noteIndex":0},"citationItems":[{"id":256,"uris":["http://zotero.org/users/8977980/items/ZRWP6PIY"],"itemData":{"id":256,"type":"chapter","abstract":"Politics,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Marc"}],"author":[{"family":"Isin","given":"Engin"}],"accessed":{"date-parts":[["2022",2,3]]},"issued":{"date-parts":[["2008"]]}},"suppress-author":true}],"schema":"https://github.com/citation-style-language/schema/raw/master/csl-citation.json"} </w:instrText>
      </w:r>
      <w:r w:rsidR="002919A9" w:rsidRPr="00662E51">
        <w:fldChar w:fldCharType="separate"/>
      </w:r>
      <w:r w:rsidR="002919A9" w:rsidRPr="00662E51">
        <w:t>(2008)</w:t>
      </w:r>
      <w:r w:rsidR="002919A9" w:rsidRPr="00662E51">
        <w:fldChar w:fldCharType="end"/>
      </w:r>
      <w:r w:rsidR="000A358C" w:rsidRPr="00662E51">
        <w:t xml:space="preserve"> and its development as accommodative acts </w:t>
      </w:r>
      <w:r w:rsidR="000A358C" w:rsidRPr="00662E51">
        <w:fldChar w:fldCharType="begin"/>
      </w:r>
      <w:r w:rsidR="008835AB" w:rsidRPr="00662E51">
        <w:instrText xml:space="preserve"> ADDIN ZOTERO_ITEM CSL_CITATION {"citationID":"RXPPVm6U","properties":{"formattedCitation":"(Jakim\\uc0\\u243{}w 2022)","plainCitation":"(Jakimów 2022)","noteIndex":0},"citationItems":[{"id":5118,"uris":["http://zotero.org/users/8977980/items/WQR8VRAH"],"itemData":{"id":5118,"type":"article-journal","abstract":"The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contexts","volume":"26","author":[{"family":"Jakimów","given":"Małgorzata"}],"issued":{"date-parts":[["2022",7,4]]}}}],"schema":"https://github.com/citation-style-language/schema/raw/master/csl-citation.json"} </w:instrText>
      </w:r>
      <w:r w:rsidR="000A358C" w:rsidRPr="00662E51">
        <w:fldChar w:fldCharType="separate"/>
      </w:r>
      <w:r w:rsidR="000A358C" w:rsidRPr="00662E51">
        <w:rPr>
          <w:rFonts w:cs="Times New Roman"/>
          <w:kern w:val="0"/>
        </w:rPr>
        <w:t>(Jakimów 2022)</w:t>
      </w:r>
      <w:r w:rsidR="000A358C" w:rsidRPr="00662E51">
        <w:fldChar w:fldCharType="end"/>
      </w:r>
      <w:r w:rsidR="000A358C" w:rsidRPr="00662E51">
        <w:t>.</w:t>
      </w:r>
      <w:r w:rsidR="0073266A" w:rsidRPr="00662E51">
        <w:t xml:space="preserve"> Accommodative acts were necessary for Broadwater Farm residents </w:t>
      </w:r>
      <w:r w:rsidR="002D7380" w:rsidRPr="00662E51">
        <w:t xml:space="preserve">because of Thatcher’s illiberal and managerial governance. </w:t>
      </w:r>
    </w:p>
    <w:p w14:paraId="63F497D3" w14:textId="77777777" w:rsidR="0035796D" w:rsidRPr="00662E51" w:rsidRDefault="0035796D" w:rsidP="00F06607">
      <w:pPr>
        <w:spacing w:line="276" w:lineRule="auto"/>
        <w:ind w:left="0"/>
      </w:pPr>
    </w:p>
    <w:p w14:paraId="469F7190" w14:textId="49922057" w:rsidR="00A03F6A" w:rsidRPr="00662E51" w:rsidRDefault="00A03F6A" w:rsidP="00F06607">
      <w:pPr>
        <w:spacing w:line="276" w:lineRule="auto"/>
        <w:ind w:left="0"/>
      </w:pPr>
      <w:r w:rsidRPr="00662E51">
        <w:t xml:space="preserve">In sum, the project argues </w:t>
      </w:r>
      <w:r w:rsidR="00736A9D" w:rsidRPr="00662E51">
        <w:t xml:space="preserve">for </w:t>
      </w:r>
      <w:r w:rsidR="00A102D3" w:rsidRPr="00662E51">
        <w:t xml:space="preserve">the following. </w:t>
      </w:r>
      <w:r w:rsidR="00D35AB7" w:rsidRPr="00662E51">
        <w:t xml:space="preserve">First, in cases of dominance of a state by one party, I contend scholars must expand their view of the state to include that party—into what I call a ‘state-party nexus.’ Relegating the party risks overlooking </w:t>
      </w:r>
      <w:r w:rsidR="00236910" w:rsidRPr="00662E51">
        <w:t xml:space="preserve">who </w:t>
      </w:r>
      <w:r w:rsidR="00236910" w:rsidRPr="00662E51">
        <w:rPr>
          <w:i/>
          <w:iCs/>
        </w:rPr>
        <w:t>actually</w:t>
      </w:r>
      <w:r w:rsidR="00236910" w:rsidRPr="00662E51">
        <w:t xml:space="preserve"> governs. </w:t>
      </w:r>
      <w:r w:rsidR="00D35AB7" w:rsidRPr="00662E51">
        <w:t>Second</w:t>
      </w:r>
      <w:r w:rsidR="00A102D3" w:rsidRPr="00662E51">
        <w:t xml:space="preserve">, </w:t>
      </w:r>
      <w:r w:rsidR="00F23CC0" w:rsidRPr="00662E51">
        <w:t xml:space="preserve">scholars should pay </w:t>
      </w:r>
      <w:r w:rsidR="00A102D3" w:rsidRPr="00662E51">
        <w:t xml:space="preserve">greater attention to quiet activism, especially </w:t>
      </w:r>
      <w:r w:rsidR="00E43E38" w:rsidRPr="00662E51">
        <w:t xml:space="preserve">as </w:t>
      </w:r>
      <w:r w:rsidR="00EE1D59" w:rsidRPr="00662E51">
        <w:t xml:space="preserve">states </w:t>
      </w:r>
      <w:r w:rsidR="00E43E38" w:rsidRPr="00662E51">
        <w:t xml:space="preserve">increasingly </w:t>
      </w:r>
      <w:r w:rsidR="00EE1D59" w:rsidRPr="00662E51">
        <w:t>utilise illiberal and authoritarian forms of governance.</w:t>
      </w:r>
      <w:r w:rsidR="00150AED" w:rsidRPr="00662E51">
        <w:t xml:space="preserve"> </w:t>
      </w:r>
      <w:r w:rsidR="003422A2" w:rsidRPr="00662E51">
        <w:t>Among a significant and international crises of democracy, scholars must think of new ways to defend and understand it.</w:t>
      </w:r>
      <w:r w:rsidR="00BE5FA6" w:rsidRPr="00662E51">
        <w:t xml:space="preserve"> This project</w:t>
      </w:r>
      <w:r w:rsidR="003422A2" w:rsidRPr="00662E51">
        <w:t xml:space="preserve"> </w:t>
      </w:r>
      <w:r w:rsidR="00BE5FA6" w:rsidRPr="00662E51">
        <w:t xml:space="preserve">thus adds to such voices and calls </w:t>
      </w:r>
      <w:r w:rsidR="00BA46EF" w:rsidRPr="00662E51">
        <w:t>for</w:t>
      </w:r>
      <w:r w:rsidR="00F75E06" w:rsidRPr="00662E51">
        <w:t xml:space="preserve"> new and radical ways of ensuring (local) governance works for all.</w:t>
      </w:r>
    </w:p>
    <w:p w14:paraId="2C8EEA98" w14:textId="77777777" w:rsidR="000E2AB8" w:rsidRPr="00662E51" w:rsidRDefault="000E2AB8" w:rsidP="002D7380">
      <w:pPr>
        <w:spacing w:line="276" w:lineRule="auto"/>
      </w:pPr>
      <w:r w:rsidRPr="00662E51">
        <w:br w:type="page"/>
      </w:r>
    </w:p>
    <w:p w14:paraId="288F6BBF" w14:textId="77777777" w:rsidR="00964CF9" w:rsidRPr="00662E51" w:rsidRDefault="00964CF9" w:rsidP="003B3FD3">
      <w:pPr>
        <w:spacing w:line="360" w:lineRule="auto"/>
        <w:ind w:left="0"/>
      </w:pPr>
    </w:p>
    <w:p w14:paraId="22CB6307" w14:textId="77777777" w:rsidR="00964CF9" w:rsidRPr="00662E51" w:rsidRDefault="00964CF9" w:rsidP="00964CF9"/>
    <w:p w14:paraId="7ACCF09C" w14:textId="77777777" w:rsidR="00600622" w:rsidRPr="00662E51" w:rsidRDefault="00600622" w:rsidP="003F0D3A">
      <w:pPr>
        <w:ind w:left="0"/>
      </w:pPr>
    </w:p>
    <w:p w14:paraId="69E8078B" w14:textId="77777777" w:rsidR="004A1B89" w:rsidRPr="00662E51" w:rsidRDefault="004A1B89" w:rsidP="003F0D3A">
      <w:pPr>
        <w:ind w:left="0"/>
      </w:pPr>
    </w:p>
    <w:p w14:paraId="413C2A53" w14:textId="77777777" w:rsidR="00600622" w:rsidRPr="00662E51" w:rsidRDefault="00600622" w:rsidP="003F0D3A">
      <w:pPr>
        <w:ind w:left="0"/>
      </w:pPr>
    </w:p>
    <w:p w14:paraId="2CF8E6A3" w14:textId="77777777" w:rsidR="00600622" w:rsidRPr="00662E51" w:rsidRDefault="00600622" w:rsidP="003F0D3A">
      <w:pPr>
        <w:ind w:left="0"/>
      </w:pPr>
    </w:p>
    <w:p w14:paraId="41AF2CA7" w14:textId="77777777" w:rsidR="00E62FF8" w:rsidRPr="00662E51" w:rsidRDefault="00E62FF8" w:rsidP="003F0D3A">
      <w:pPr>
        <w:ind w:left="0"/>
      </w:pPr>
    </w:p>
    <w:p w14:paraId="51A0F377" w14:textId="77777777" w:rsidR="00E62FF8" w:rsidRPr="00662E51" w:rsidRDefault="00E62FF8" w:rsidP="003F0D3A">
      <w:pPr>
        <w:ind w:left="0"/>
      </w:pPr>
    </w:p>
    <w:p w14:paraId="70527BDE" w14:textId="713F5E4E" w:rsidR="002A6EB6" w:rsidRPr="00662E51" w:rsidRDefault="009D6AAD" w:rsidP="002A6EB6">
      <w:pPr>
        <w:ind w:left="0"/>
        <w:jc w:val="center"/>
        <w:rPr>
          <w:b/>
          <w:bCs/>
          <w:sz w:val="44"/>
          <w:szCs w:val="40"/>
        </w:rPr>
      </w:pPr>
      <w:r w:rsidRPr="00662E51">
        <w:rPr>
          <w:b/>
          <w:bCs/>
          <w:sz w:val="44"/>
          <w:szCs w:val="40"/>
        </w:rPr>
        <w:t xml:space="preserve">“People gotta understand how </w:t>
      </w:r>
    </w:p>
    <w:p w14:paraId="31445F5C" w14:textId="77777777" w:rsidR="002A6EB6" w:rsidRPr="00662E51" w:rsidRDefault="009D6AAD" w:rsidP="002A6EB6">
      <w:pPr>
        <w:ind w:left="0"/>
        <w:jc w:val="center"/>
        <w:rPr>
          <w:b/>
          <w:bCs/>
          <w:sz w:val="44"/>
          <w:szCs w:val="40"/>
        </w:rPr>
      </w:pPr>
      <w:r w:rsidRPr="00662E51">
        <w:rPr>
          <w:b/>
          <w:bCs/>
          <w:sz w:val="44"/>
          <w:szCs w:val="40"/>
        </w:rPr>
        <w:t>politics works”:</w:t>
      </w:r>
      <w:r w:rsidR="002A2B94" w:rsidRPr="00662E51">
        <w:rPr>
          <w:b/>
          <w:bCs/>
          <w:sz w:val="44"/>
          <w:szCs w:val="40"/>
        </w:rPr>
        <w:t xml:space="preserve"> political parties</w:t>
      </w:r>
      <w:r w:rsidR="00AE7F97" w:rsidRPr="00662E51">
        <w:rPr>
          <w:b/>
          <w:bCs/>
          <w:sz w:val="44"/>
          <w:szCs w:val="40"/>
        </w:rPr>
        <w:t>, t</w:t>
      </w:r>
      <w:r w:rsidR="003B6F66" w:rsidRPr="00662E51">
        <w:rPr>
          <w:b/>
          <w:bCs/>
          <w:sz w:val="44"/>
          <w:szCs w:val="40"/>
        </w:rPr>
        <w:t>he local state</w:t>
      </w:r>
      <w:r w:rsidR="00AE7F97" w:rsidRPr="00662E51">
        <w:rPr>
          <w:b/>
          <w:bCs/>
          <w:sz w:val="44"/>
          <w:szCs w:val="40"/>
        </w:rPr>
        <w:t xml:space="preserve">, and </w:t>
      </w:r>
      <w:r w:rsidR="003B6F66" w:rsidRPr="00662E51">
        <w:rPr>
          <w:b/>
          <w:bCs/>
          <w:sz w:val="44"/>
          <w:szCs w:val="40"/>
        </w:rPr>
        <w:t xml:space="preserve">urban regeneration </w:t>
      </w:r>
    </w:p>
    <w:p w14:paraId="44805972" w14:textId="2766E3F8" w:rsidR="00AE7F97" w:rsidRPr="00662E51" w:rsidRDefault="00AE7F97" w:rsidP="002A6EB6">
      <w:pPr>
        <w:ind w:left="0"/>
        <w:jc w:val="center"/>
        <w:rPr>
          <w:b/>
          <w:bCs/>
          <w:sz w:val="44"/>
          <w:szCs w:val="40"/>
        </w:rPr>
      </w:pPr>
      <w:r w:rsidRPr="00662E51">
        <w:rPr>
          <w:b/>
          <w:bCs/>
          <w:sz w:val="44"/>
          <w:szCs w:val="40"/>
        </w:rPr>
        <w:t>in Haringey, London</w:t>
      </w:r>
    </w:p>
    <w:p w14:paraId="049ABA48" w14:textId="77777777" w:rsidR="00820AB0" w:rsidRPr="00662E51" w:rsidRDefault="00820AB0" w:rsidP="003F0D3A">
      <w:pPr>
        <w:ind w:left="0"/>
      </w:pPr>
    </w:p>
    <w:p w14:paraId="1EBA9C96" w14:textId="73127D2F" w:rsidR="002D0519" w:rsidRPr="00662E51" w:rsidRDefault="002D0519" w:rsidP="003F0D3A">
      <w:pPr>
        <w:ind w:left="0"/>
      </w:pPr>
    </w:p>
    <w:p w14:paraId="7A7743D4" w14:textId="67C48630" w:rsidR="002D0519" w:rsidRPr="00662E51" w:rsidRDefault="002D0519" w:rsidP="003F0D3A">
      <w:pPr>
        <w:ind w:left="0"/>
      </w:pPr>
    </w:p>
    <w:p w14:paraId="52215189" w14:textId="2D70168D" w:rsidR="002D0519" w:rsidRPr="00662E51" w:rsidRDefault="002D0519" w:rsidP="003F0D3A">
      <w:pPr>
        <w:ind w:left="0"/>
      </w:pPr>
    </w:p>
    <w:p w14:paraId="7363BC7C" w14:textId="77777777" w:rsidR="00600622" w:rsidRPr="00662E51" w:rsidRDefault="00600622" w:rsidP="003F0D3A">
      <w:pPr>
        <w:ind w:left="0"/>
      </w:pPr>
    </w:p>
    <w:p w14:paraId="239B0A18" w14:textId="1B456CA8" w:rsidR="003F0D3A" w:rsidRPr="00662E51" w:rsidRDefault="003F0D3A" w:rsidP="00600622">
      <w:pPr>
        <w:ind w:left="0"/>
        <w:jc w:val="center"/>
        <w:rPr>
          <w:b/>
          <w:bCs/>
          <w:sz w:val="36"/>
          <w:szCs w:val="32"/>
        </w:rPr>
      </w:pPr>
      <w:r w:rsidRPr="00662E51">
        <w:rPr>
          <w:b/>
          <w:bCs/>
          <w:sz w:val="36"/>
          <w:szCs w:val="32"/>
        </w:rPr>
        <w:t>Anil Daniel Sindhwani</w:t>
      </w:r>
    </w:p>
    <w:p w14:paraId="5419E22A" w14:textId="77777777" w:rsidR="004A4513" w:rsidRPr="00662E51" w:rsidRDefault="004A4513" w:rsidP="00600622">
      <w:pPr>
        <w:ind w:left="0"/>
        <w:jc w:val="center"/>
        <w:rPr>
          <w:b/>
          <w:bCs/>
          <w:sz w:val="36"/>
          <w:szCs w:val="32"/>
        </w:rPr>
      </w:pPr>
    </w:p>
    <w:p w14:paraId="0FFCDE6D" w14:textId="18CCD7DA" w:rsidR="004A4513" w:rsidRPr="00662E51" w:rsidRDefault="00167383" w:rsidP="004A4513">
      <w:pPr>
        <w:pStyle w:val="Heading1"/>
        <w:numPr>
          <w:ilvl w:val="0"/>
          <w:numId w:val="0"/>
        </w:numPr>
        <w:ind w:left="357"/>
        <w:rPr>
          <w:color w:val="FFFFFF" w:themeColor="background1"/>
        </w:rPr>
      </w:pPr>
      <w:bookmarkStart w:id="2" w:name="_Toc221184282"/>
      <w:bookmarkStart w:id="3" w:name="_Toc231215205"/>
      <w:r w:rsidRPr="00662E51">
        <w:rPr>
          <w:color w:val="FFFFFF" w:themeColor="background1"/>
        </w:rPr>
        <w:t>Title Page</w:t>
      </w:r>
      <w:bookmarkEnd w:id="2"/>
      <w:bookmarkEnd w:id="3"/>
      <w:r w:rsidRPr="00662E51">
        <w:rPr>
          <w:color w:val="FFFFFF" w:themeColor="background1"/>
        </w:rPr>
        <w:t xml:space="preserve"> </w:t>
      </w:r>
    </w:p>
    <w:p w14:paraId="6BF8EC7E" w14:textId="07506CA1" w:rsidR="0052599C" w:rsidRPr="00662E51" w:rsidRDefault="00377298" w:rsidP="00600622">
      <w:pPr>
        <w:ind w:left="0"/>
        <w:jc w:val="center"/>
        <w:rPr>
          <w:sz w:val="36"/>
          <w:szCs w:val="32"/>
        </w:rPr>
      </w:pPr>
      <w:r w:rsidRPr="00662E51">
        <w:rPr>
          <w:sz w:val="36"/>
          <w:szCs w:val="32"/>
        </w:rPr>
        <w:t>Thesis s</w:t>
      </w:r>
      <w:r w:rsidR="0052599C" w:rsidRPr="00662E51">
        <w:rPr>
          <w:sz w:val="36"/>
          <w:szCs w:val="32"/>
        </w:rPr>
        <w:t>ubmitted for the degree of Doctor of Philosophy</w:t>
      </w:r>
    </w:p>
    <w:p w14:paraId="2216450A" w14:textId="77777777" w:rsidR="00600622" w:rsidRPr="00662E51" w:rsidRDefault="00600622" w:rsidP="00600622">
      <w:pPr>
        <w:ind w:left="0"/>
        <w:jc w:val="center"/>
        <w:rPr>
          <w:sz w:val="36"/>
          <w:szCs w:val="32"/>
        </w:rPr>
      </w:pPr>
    </w:p>
    <w:p w14:paraId="4795937C" w14:textId="77777777" w:rsidR="0052599C" w:rsidRPr="00662E51" w:rsidRDefault="0052599C" w:rsidP="00600622">
      <w:pPr>
        <w:ind w:left="0"/>
        <w:jc w:val="center"/>
        <w:rPr>
          <w:sz w:val="36"/>
          <w:szCs w:val="32"/>
        </w:rPr>
      </w:pPr>
      <w:r w:rsidRPr="00662E51">
        <w:rPr>
          <w:sz w:val="36"/>
          <w:szCs w:val="32"/>
        </w:rPr>
        <w:t>Department of Geography</w:t>
      </w:r>
    </w:p>
    <w:p w14:paraId="5047E3AC" w14:textId="77777777" w:rsidR="0052599C" w:rsidRPr="00662E51" w:rsidRDefault="0052599C" w:rsidP="00600622">
      <w:pPr>
        <w:ind w:left="0"/>
        <w:jc w:val="center"/>
        <w:rPr>
          <w:sz w:val="36"/>
          <w:szCs w:val="32"/>
        </w:rPr>
      </w:pPr>
      <w:r w:rsidRPr="00662E51">
        <w:rPr>
          <w:sz w:val="36"/>
          <w:szCs w:val="32"/>
        </w:rPr>
        <w:t>Durham University</w:t>
      </w:r>
    </w:p>
    <w:p w14:paraId="56FE6646" w14:textId="70F61F57" w:rsidR="003F0D3A" w:rsidRPr="00662E51" w:rsidRDefault="0052599C" w:rsidP="00600622">
      <w:pPr>
        <w:ind w:left="0"/>
        <w:jc w:val="center"/>
        <w:rPr>
          <w:sz w:val="36"/>
          <w:szCs w:val="32"/>
        </w:rPr>
      </w:pPr>
      <w:r w:rsidRPr="00662E51">
        <w:rPr>
          <w:sz w:val="36"/>
          <w:szCs w:val="32"/>
        </w:rPr>
        <w:t>2025</w:t>
      </w:r>
    </w:p>
    <w:p w14:paraId="4FEDB80E" w14:textId="3EACB571" w:rsidR="00167383" w:rsidRPr="00662E51" w:rsidRDefault="005D7D1F" w:rsidP="00167383">
      <w:pPr>
        <w:rPr>
          <w:sz w:val="36"/>
          <w:szCs w:val="32"/>
        </w:rPr>
      </w:pPr>
      <w:r>
        <w:rPr>
          <w:noProof/>
          <w:sz w:val="36"/>
          <w:szCs w:val="32"/>
        </w:rPr>
        <mc:AlternateContent>
          <mc:Choice Requires="wpg">
            <w:drawing>
              <wp:anchor distT="0" distB="0" distL="114300" distR="114300" simplePos="0" relativeHeight="251688979" behindDoc="0" locked="0" layoutInCell="1" allowOverlap="1" wp14:anchorId="6CDCD3E0" wp14:editId="530D6972">
                <wp:simplePos x="0" y="0"/>
                <wp:positionH relativeFrom="page">
                  <wp:posOffset>2637155</wp:posOffset>
                </wp:positionH>
                <wp:positionV relativeFrom="paragraph">
                  <wp:posOffset>602615</wp:posOffset>
                </wp:positionV>
                <wp:extent cx="2286000" cy="946800"/>
                <wp:effectExtent l="0" t="0" r="0" b="5715"/>
                <wp:wrapNone/>
                <wp:docPr id="1116609669" name="Graphic 12"/>
                <wp:cNvGraphicFramePr/>
                <a:graphic xmlns:a="http://schemas.openxmlformats.org/drawingml/2006/main">
                  <a:graphicData uri="http://schemas.microsoft.com/office/word/2010/wordprocessingGroup">
                    <wpg:wgp>
                      <wpg:cNvGrpSpPr/>
                      <wpg:grpSpPr>
                        <a:xfrm>
                          <a:off x="0" y="0"/>
                          <a:ext cx="2286000" cy="946800"/>
                          <a:chOff x="-2" y="-3"/>
                          <a:chExt cx="2284859" cy="945088"/>
                        </a:xfrm>
                      </wpg:grpSpPr>
                      <wps:wsp>
                        <wps:cNvPr id="564936567" name="Freeform: Shape 564936567"/>
                        <wps:cNvSpPr/>
                        <wps:spPr>
                          <a:xfrm>
                            <a:off x="678941" y="693239"/>
                            <a:ext cx="1329975" cy="251845"/>
                          </a:xfrm>
                          <a:custGeom>
                            <a:avLst/>
                            <a:gdLst>
                              <a:gd name="csX0" fmla="*/ 1218629 w 1329975"/>
                              <a:gd name="csY0" fmla="*/ 251841 h 251845"/>
                              <a:gd name="csX1" fmla="*/ 1267873 w 1329975"/>
                              <a:gd name="csY1" fmla="*/ 210026 h 251845"/>
                              <a:gd name="csX2" fmla="*/ 1329976 w 1329975"/>
                              <a:gd name="csY2" fmla="*/ 57150 h 251845"/>
                              <a:gd name="csX3" fmla="*/ 1306544 w 1329975"/>
                              <a:gd name="csY3" fmla="*/ 57150 h 251845"/>
                              <a:gd name="csX4" fmla="*/ 1258919 w 1329975"/>
                              <a:gd name="csY4" fmla="*/ 180499 h 251845"/>
                              <a:gd name="csX5" fmla="*/ 1205103 w 1329975"/>
                              <a:gd name="csY5" fmla="*/ 57150 h 251845"/>
                              <a:gd name="csX6" fmla="*/ 1180719 w 1329975"/>
                              <a:gd name="csY6" fmla="*/ 57150 h 251845"/>
                              <a:gd name="csX7" fmla="*/ 1247966 w 1329975"/>
                              <a:gd name="csY7" fmla="*/ 204597 h 251845"/>
                              <a:gd name="csX8" fmla="*/ 1217676 w 1329975"/>
                              <a:gd name="csY8" fmla="*/ 232315 h 251845"/>
                              <a:gd name="csX9" fmla="*/ 1194435 w 1329975"/>
                              <a:gd name="csY9" fmla="*/ 226886 h 251845"/>
                              <a:gd name="csX10" fmla="*/ 1187006 w 1329975"/>
                              <a:gd name="csY10" fmla="*/ 244316 h 251845"/>
                              <a:gd name="csX11" fmla="*/ 1218533 w 1329975"/>
                              <a:gd name="csY11" fmla="*/ 251841 h 251845"/>
                              <a:gd name="csX12" fmla="*/ 1135190 w 1329975"/>
                              <a:gd name="csY12" fmla="*/ 207740 h 251845"/>
                              <a:gd name="csX13" fmla="*/ 1161860 w 1329975"/>
                              <a:gd name="csY13" fmla="*/ 201454 h 251845"/>
                              <a:gd name="csX14" fmla="*/ 1161860 w 1329975"/>
                              <a:gd name="csY14" fmla="*/ 182404 h 251845"/>
                              <a:gd name="csX15" fmla="*/ 1140333 w 1329975"/>
                              <a:gd name="csY15" fmla="*/ 187547 h 251845"/>
                              <a:gd name="csX16" fmla="*/ 1115509 w 1329975"/>
                              <a:gd name="csY16" fmla="*/ 169236 h 251845"/>
                              <a:gd name="csX17" fmla="*/ 1115473 w 1329975"/>
                              <a:gd name="csY17" fmla="*/ 162973 h 251845"/>
                              <a:gd name="csX18" fmla="*/ 1115473 w 1329975"/>
                              <a:gd name="csY18" fmla="*/ 76486 h 251845"/>
                              <a:gd name="csX19" fmla="*/ 1162431 w 1329975"/>
                              <a:gd name="csY19" fmla="*/ 76486 h 251845"/>
                              <a:gd name="csX20" fmla="*/ 1162431 w 1329975"/>
                              <a:gd name="csY20" fmla="*/ 57436 h 251845"/>
                              <a:gd name="csX21" fmla="*/ 1115473 w 1329975"/>
                              <a:gd name="csY21" fmla="*/ 57436 h 251845"/>
                              <a:gd name="csX22" fmla="*/ 1115473 w 1329975"/>
                              <a:gd name="csY22" fmla="*/ 12478 h 251845"/>
                              <a:gd name="csX23" fmla="*/ 1093375 w 1329975"/>
                              <a:gd name="csY23" fmla="*/ 12478 h 251845"/>
                              <a:gd name="csX24" fmla="*/ 1093375 w 1329975"/>
                              <a:gd name="csY24" fmla="*/ 57150 h 251845"/>
                              <a:gd name="csX25" fmla="*/ 1072801 w 1329975"/>
                              <a:gd name="csY25" fmla="*/ 57150 h 251845"/>
                              <a:gd name="csX26" fmla="*/ 1072801 w 1329975"/>
                              <a:gd name="csY26" fmla="*/ 76200 h 251845"/>
                              <a:gd name="csX27" fmla="*/ 1093375 w 1329975"/>
                              <a:gd name="csY27" fmla="*/ 76200 h 251845"/>
                              <a:gd name="csX28" fmla="*/ 1093375 w 1329975"/>
                              <a:gd name="csY28" fmla="*/ 165545 h 251845"/>
                              <a:gd name="csX29" fmla="*/ 1135190 w 1329975"/>
                              <a:gd name="csY29" fmla="*/ 207359 h 251845"/>
                              <a:gd name="csX30" fmla="*/ 1018127 w 1329975"/>
                              <a:gd name="csY30" fmla="*/ 204788 h 251845"/>
                              <a:gd name="csX31" fmla="*/ 1040130 w 1329975"/>
                              <a:gd name="csY31" fmla="*/ 204788 h 251845"/>
                              <a:gd name="csX32" fmla="*/ 1040130 w 1329975"/>
                              <a:gd name="csY32" fmla="*/ 57150 h 251845"/>
                              <a:gd name="csX33" fmla="*/ 1018127 w 1329975"/>
                              <a:gd name="csY33" fmla="*/ 57150 h 251845"/>
                              <a:gd name="csX34" fmla="*/ 1016699 w 1329975"/>
                              <a:gd name="csY34" fmla="*/ 24384 h 251845"/>
                              <a:gd name="csX35" fmla="*/ 1041845 w 1329975"/>
                              <a:gd name="csY35" fmla="*/ 24384 h 251845"/>
                              <a:gd name="csX36" fmla="*/ 1041845 w 1329975"/>
                              <a:gd name="csY36" fmla="*/ 0 h 251845"/>
                              <a:gd name="csX37" fmla="*/ 1016699 w 1329975"/>
                              <a:gd name="csY37" fmla="*/ 0 h 251845"/>
                              <a:gd name="csX38" fmla="*/ 928211 w 1329975"/>
                              <a:gd name="csY38" fmla="*/ 207645 h 251845"/>
                              <a:gd name="csX39" fmla="*/ 980884 w 1329975"/>
                              <a:gd name="csY39" fmla="*/ 163259 h 251845"/>
                              <a:gd name="csX40" fmla="*/ 980884 w 1329975"/>
                              <a:gd name="csY40" fmla="*/ 162687 h 251845"/>
                              <a:gd name="csX41" fmla="*/ 933259 w 1329975"/>
                              <a:gd name="csY41" fmla="*/ 120301 h 251845"/>
                              <a:gd name="csX42" fmla="*/ 895159 w 1329975"/>
                              <a:gd name="csY42" fmla="*/ 94774 h 251845"/>
                              <a:gd name="csX43" fmla="*/ 895159 w 1329975"/>
                              <a:gd name="csY43" fmla="*/ 94202 h 251845"/>
                              <a:gd name="csX44" fmla="*/ 923734 w 1329975"/>
                              <a:gd name="csY44" fmla="*/ 72771 h 251845"/>
                              <a:gd name="csX45" fmla="*/ 967550 w 1329975"/>
                              <a:gd name="csY45" fmla="*/ 87058 h 251845"/>
                              <a:gd name="csX46" fmla="*/ 977075 w 1329975"/>
                              <a:gd name="csY46" fmla="*/ 70485 h 251845"/>
                              <a:gd name="csX47" fmla="*/ 923830 w 1329975"/>
                              <a:gd name="csY47" fmla="*/ 54197 h 251845"/>
                              <a:gd name="csX48" fmla="*/ 873443 w 1329975"/>
                              <a:gd name="csY48" fmla="*/ 96488 h 251845"/>
                              <a:gd name="csX49" fmla="*/ 873443 w 1329975"/>
                              <a:gd name="csY49" fmla="*/ 97060 h 251845"/>
                              <a:gd name="csX50" fmla="*/ 922401 w 1329975"/>
                              <a:gd name="csY50" fmla="*/ 138875 h 251845"/>
                              <a:gd name="csX51" fmla="*/ 959358 w 1329975"/>
                              <a:gd name="csY51" fmla="*/ 164973 h 251845"/>
                              <a:gd name="csX52" fmla="*/ 959358 w 1329975"/>
                              <a:gd name="csY52" fmla="*/ 165545 h 251845"/>
                              <a:gd name="csX53" fmla="*/ 928688 w 1329975"/>
                              <a:gd name="csY53" fmla="*/ 188976 h 251845"/>
                              <a:gd name="csX54" fmla="*/ 877443 w 1329975"/>
                              <a:gd name="csY54" fmla="*/ 169926 h 251845"/>
                              <a:gd name="csX55" fmla="*/ 866299 w 1329975"/>
                              <a:gd name="csY55" fmla="*/ 185642 h 251845"/>
                              <a:gd name="csX56" fmla="*/ 927544 w 1329975"/>
                              <a:gd name="csY56" fmla="*/ 207455 h 251845"/>
                              <a:gd name="csX57" fmla="*/ 768382 w 1329975"/>
                              <a:gd name="csY57" fmla="*/ 204597 h 251845"/>
                              <a:gd name="csX58" fmla="*/ 790384 w 1329975"/>
                              <a:gd name="csY58" fmla="*/ 204597 h 251845"/>
                              <a:gd name="csX59" fmla="*/ 790384 w 1329975"/>
                              <a:gd name="csY59" fmla="*/ 145828 h 251845"/>
                              <a:gd name="csX60" fmla="*/ 849059 w 1329975"/>
                              <a:gd name="csY60" fmla="*/ 78010 h 251845"/>
                              <a:gd name="csX61" fmla="*/ 850773 w 1329975"/>
                              <a:gd name="csY61" fmla="*/ 78010 h 251845"/>
                              <a:gd name="csX62" fmla="*/ 850773 w 1329975"/>
                              <a:gd name="csY62" fmla="*/ 54293 h 251845"/>
                              <a:gd name="csX63" fmla="*/ 790385 w 1329975"/>
                              <a:gd name="csY63" fmla="*/ 95441 h 251845"/>
                              <a:gd name="csX64" fmla="*/ 790384 w 1329975"/>
                              <a:gd name="csY64" fmla="*/ 56864 h 251845"/>
                              <a:gd name="csX65" fmla="*/ 768382 w 1329975"/>
                              <a:gd name="csY65" fmla="*/ 56864 h 251845"/>
                              <a:gd name="csX66" fmla="*/ 617792 w 1329975"/>
                              <a:gd name="csY66" fmla="*/ 121825 h 251845"/>
                              <a:gd name="csX67" fmla="*/ 665893 w 1329975"/>
                              <a:gd name="csY67" fmla="*/ 72009 h 251845"/>
                              <a:gd name="csX68" fmla="*/ 713518 w 1329975"/>
                              <a:gd name="csY68" fmla="*/ 121825 h 251845"/>
                              <a:gd name="csX69" fmla="*/ 617792 w 1329975"/>
                              <a:gd name="csY69" fmla="*/ 139541 h 251845"/>
                              <a:gd name="csX70" fmla="*/ 736378 w 1329975"/>
                              <a:gd name="csY70" fmla="*/ 139541 h 251845"/>
                              <a:gd name="csX71" fmla="*/ 736378 w 1329975"/>
                              <a:gd name="csY71" fmla="*/ 131826 h 251845"/>
                              <a:gd name="csX72" fmla="*/ 667417 w 1329975"/>
                              <a:gd name="csY72" fmla="*/ 53435 h 251845"/>
                              <a:gd name="csX73" fmla="*/ 596360 w 1329975"/>
                              <a:gd name="csY73" fmla="*/ 130683 h 251845"/>
                              <a:gd name="csX74" fmla="*/ 666375 w 1329975"/>
                              <a:gd name="csY74" fmla="*/ 207938 h 251845"/>
                              <a:gd name="csX75" fmla="*/ 670274 w 1329975"/>
                              <a:gd name="csY75" fmla="*/ 208026 h 251845"/>
                              <a:gd name="csX76" fmla="*/ 731234 w 1329975"/>
                              <a:gd name="csY76" fmla="*/ 180213 h 251845"/>
                              <a:gd name="csX77" fmla="*/ 717328 w 1329975"/>
                              <a:gd name="csY77" fmla="*/ 168497 h 251845"/>
                              <a:gd name="csX78" fmla="*/ 670655 w 1329975"/>
                              <a:gd name="csY78" fmla="*/ 189357 h 251845"/>
                              <a:gd name="csX79" fmla="*/ 618554 w 1329975"/>
                              <a:gd name="csY79" fmla="*/ 140113 h 251845"/>
                              <a:gd name="csX80" fmla="*/ 501110 w 1329975"/>
                              <a:gd name="csY80" fmla="*/ 206312 h 251845"/>
                              <a:gd name="csX81" fmla="*/ 520160 w 1329975"/>
                              <a:gd name="csY81" fmla="*/ 206312 h 251845"/>
                              <a:gd name="csX82" fmla="*/ 584549 w 1329975"/>
                              <a:gd name="csY82" fmla="*/ 57150 h 251845"/>
                              <a:gd name="csX83" fmla="*/ 560832 w 1329975"/>
                              <a:gd name="csY83" fmla="*/ 57150 h 251845"/>
                              <a:gd name="csX84" fmla="*/ 510731 w 1329975"/>
                              <a:gd name="csY84" fmla="*/ 179927 h 251845"/>
                              <a:gd name="csX85" fmla="*/ 460915 w 1329975"/>
                              <a:gd name="csY85" fmla="*/ 57150 h 251845"/>
                              <a:gd name="csX86" fmla="*/ 436531 w 1329975"/>
                              <a:gd name="csY86" fmla="*/ 57150 h 251845"/>
                              <a:gd name="csX87" fmla="*/ 383953 w 1329975"/>
                              <a:gd name="csY87" fmla="*/ 205169 h 251845"/>
                              <a:gd name="csX88" fmla="*/ 406051 w 1329975"/>
                              <a:gd name="csY88" fmla="*/ 205169 h 251845"/>
                              <a:gd name="csX89" fmla="*/ 406051 w 1329975"/>
                              <a:gd name="csY89" fmla="*/ 57150 h 251845"/>
                              <a:gd name="csX90" fmla="*/ 383953 w 1329975"/>
                              <a:gd name="csY90" fmla="*/ 57150 h 251845"/>
                              <a:gd name="csX91" fmla="*/ 382524 w 1329975"/>
                              <a:gd name="csY91" fmla="*/ 24765 h 251845"/>
                              <a:gd name="csX92" fmla="*/ 407765 w 1329975"/>
                              <a:gd name="csY92" fmla="*/ 24765 h 251845"/>
                              <a:gd name="csX93" fmla="*/ 407765 w 1329975"/>
                              <a:gd name="csY93" fmla="*/ 381 h 251845"/>
                              <a:gd name="csX94" fmla="*/ 382524 w 1329975"/>
                              <a:gd name="csY94" fmla="*/ 381 h 251845"/>
                              <a:gd name="csX95" fmla="*/ 211074 w 1329975"/>
                              <a:gd name="csY95" fmla="*/ 205169 h 251845"/>
                              <a:gd name="csX96" fmla="*/ 233077 w 1329975"/>
                              <a:gd name="csY96" fmla="*/ 205169 h 251845"/>
                              <a:gd name="csX97" fmla="*/ 233077 w 1329975"/>
                              <a:gd name="csY97" fmla="*/ 120396 h 251845"/>
                              <a:gd name="csX98" fmla="*/ 273644 w 1329975"/>
                              <a:gd name="csY98" fmla="*/ 74093 h 251845"/>
                              <a:gd name="csX99" fmla="*/ 277463 w 1329975"/>
                              <a:gd name="csY99" fmla="*/ 74009 h 251845"/>
                              <a:gd name="csX100" fmla="*/ 318421 w 1329975"/>
                              <a:gd name="csY100" fmla="*/ 118681 h 251845"/>
                              <a:gd name="csX101" fmla="*/ 318421 w 1329975"/>
                              <a:gd name="csY101" fmla="*/ 205169 h 251845"/>
                              <a:gd name="csX102" fmla="*/ 340423 w 1329975"/>
                              <a:gd name="csY102" fmla="*/ 205169 h 251845"/>
                              <a:gd name="csX103" fmla="*/ 340423 w 1329975"/>
                              <a:gd name="csY103" fmla="*/ 113252 h 251845"/>
                              <a:gd name="csX104" fmla="*/ 283750 w 1329975"/>
                              <a:gd name="csY104" fmla="*/ 54007 h 251845"/>
                              <a:gd name="csX105" fmla="*/ 233077 w 1329975"/>
                              <a:gd name="csY105" fmla="*/ 82582 h 251845"/>
                              <a:gd name="csX106" fmla="*/ 233077 w 1329975"/>
                              <a:gd name="csY106" fmla="*/ 56864 h 251845"/>
                              <a:gd name="csX107" fmla="*/ 211074 w 1329975"/>
                              <a:gd name="csY107" fmla="*/ 56864 h 251845"/>
                              <a:gd name="csX108" fmla="*/ 83344 w 1329975"/>
                              <a:gd name="csY108" fmla="*/ 208312 h 251845"/>
                              <a:gd name="csX109" fmla="*/ 166973 w 1329975"/>
                              <a:gd name="csY109" fmla="*/ 119539 h 251845"/>
                              <a:gd name="csX110" fmla="*/ 166973 w 1329975"/>
                              <a:gd name="csY110" fmla="*/ 4763 h 251845"/>
                              <a:gd name="csX111" fmla="*/ 144304 w 1329975"/>
                              <a:gd name="csY111" fmla="*/ 4763 h 251845"/>
                              <a:gd name="csX112" fmla="*/ 144304 w 1329975"/>
                              <a:gd name="csY112" fmla="*/ 121253 h 251845"/>
                              <a:gd name="csX113" fmla="*/ 83915 w 1329975"/>
                              <a:gd name="csY113" fmla="*/ 187357 h 251845"/>
                              <a:gd name="csX114" fmla="*/ 22670 w 1329975"/>
                              <a:gd name="csY114" fmla="*/ 119825 h 251845"/>
                              <a:gd name="csX115" fmla="*/ 22670 w 1329975"/>
                              <a:gd name="csY115" fmla="*/ 4763 h 251845"/>
                              <a:gd name="csX116" fmla="*/ 0 w 1329975"/>
                              <a:gd name="csY116" fmla="*/ 4763 h 251845"/>
                              <a:gd name="csX117" fmla="*/ 0 w 1329975"/>
                              <a:gd name="csY117" fmla="*/ 121253 h 251845"/>
                              <a:gd name="csX118" fmla="*/ 83344 w 1329975"/>
                              <a:gd name="csY118" fmla="*/ 208312 h 25184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 ang="0">
                                <a:pos x="csX48" y="csY48"/>
                              </a:cxn>
                              <a:cxn ang="0">
                                <a:pos x="csX49" y="csY49"/>
                              </a:cxn>
                              <a:cxn ang="0">
                                <a:pos x="csX50" y="csY50"/>
                              </a:cxn>
                              <a:cxn ang="0">
                                <a:pos x="csX51" y="csY51"/>
                              </a:cxn>
                              <a:cxn ang="0">
                                <a:pos x="csX52" y="csY52"/>
                              </a:cxn>
                              <a:cxn ang="0">
                                <a:pos x="csX53" y="csY53"/>
                              </a:cxn>
                              <a:cxn ang="0">
                                <a:pos x="csX54" y="csY54"/>
                              </a:cxn>
                              <a:cxn ang="0">
                                <a:pos x="csX55" y="csY55"/>
                              </a:cxn>
                              <a:cxn ang="0">
                                <a:pos x="csX56" y="csY56"/>
                              </a:cxn>
                              <a:cxn ang="0">
                                <a:pos x="csX57" y="csY57"/>
                              </a:cxn>
                              <a:cxn ang="0">
                                <a:pos x="csX58" y="csY58"/>
                              </a:cxn>
                              <a:cxn ang="0">
                                <a:pos x="csX59" y="csY59"/>
                              </a:cxn>
                              <a:cxn ang="0">
                                <a:pos x="csX60" y="csY60"/>
                              </a:cxn>
                              <a:cxn ang="0">
                                <a:pos x="csX61" y="csY61"/>
                              </a:cxn>
                              <a:cxn ang="0">
                                <a:pos x="csX62" y="csY62"/>
                              </a:cxn>
                              <a:cxn ang="0">
                                <a:pos x="csX63" y="csY63"/>
                              </a:cxn>
                              <a:cxn ang="0">
                                <a:pos x="csX64" y="csY64"/>
                              </a:cxn>
                              <a:cxn ang="0">
                                <a:pos x="csX65" y="csY65"/>
                              </a:cxn>
                              <a:cxn ang="0">
                                <a:pos x="csX66" y="csY66"/>
                              </a:cxn>
                              <a:cxn ang="0">
                                <a:pos x="csX67" y="csY67"/>
                              </a:cxn>
                              <a:cxn ang="0">
                                <a:pos x="csX68" y="csY68"/>
                              </a:cxn>
                              <a:cxn ang="0">
                                <a:pos x="csX69" y="csY69"/>
                              </a:cxn>
                              <a:cxn ang="0">
                                <a:pos x="csX70" y="csY70"/>
                              </a:cxn>
                              <a:cxn ang="0">
                                <a:pos x="csX71" y="csY71"/>
                              </a:cxn>
                              <a:cxn ang="0">
                                <a:pos x="csX72" y="csY72"/>
                              </a:cxn>
                              <a:cxn ang="0">
                                <a:pos x="csX73" y="csY73"/>
                              </a:cxn>
                              <a:cxn ang="0">
                                <a:pos x="csX74" y="csY74"/>
                              </a:cxn>
                              <a:cxn ang="0">
                                <a:pos x="csX75" y="csY75"/>
                              </a:cxn>
                              <a:cxn ang="0">
                                <a:pos x="csX76" y="csY76"/>
                              </a:cxn>
                              <a:cxn ang="0">
                                <a:pos x="csX77" y="csY77"/>
                              </a:cxn>
                              <a:cxn ang="0">
                                <a:pos x="csX78" y="csY78"/>
                              </a:cxn>
                              <a:cxn ang="0">
                                <a:pos x="csX79" y="csY79"/>
                              </a:cxn>
                              <a:cxn ang="0">
                                <a:pos x="csX80" y="csY80"/>
                              </a:cxn>
                              <a:cxn ang="0">
                                <a:pos x="csX81" y="csY81"/>
                              </a:cxn>
                              <a:cxn ang="0">
                                <a:pos x="csX82" y="csY82"/>
                              </a:cxn>
                              <a:cxn ang="0">
                                <a:pos x="csX83" y="csY83"/>
                              </a:cxn>
                              <a:cxn ang="0">
                                <a:pos x="csX84" y="csY84"/>
                              </a:cxn>
                              <a:cxn ang="0">
                                <a:pos x="csX85" y="csY85"/>
                              </a:cxn>
                              <a:cxn ang="0">
                                <a:pos x="csX86" y="csY86"/>
                              </a:cxn>
                              <a:cxn ang="0">
                                <a:pos x="csX87" y="csY87"/>
                              </a:cxn>
                              <a:cxn ang="0">
                                <a:pos x="csX88" y="csY88"/>
                              </a:cxn>
                              <a:cxn ang="0">
                                <a:pos x="csX89" y="csY89"/>
                              </a:cxn>
                              <a:cxn ang="0">
                                <a:pos x="csX90" y="csY90"/>
                              </a:cxn>
                              <a:cxn ang="0">
                                <a:pos x="csX91" y="csY91"/>
                              </a:cxn>
                              <a:cxn ang="0">
                                <a:pos x="csX92" y="csY92"/>
                              </a:cxn>
                              <a:cxn ang="0">
                                <a:pos x="csX93" y="csY93"/>
                              </a:cxn>
                              <a:cxn ang="0">
                                <a:pos x="csX94" y="csY94"/>
                              </a:cxn>
                              <a:cxn ang="0">
                                <a:pos x="csX95" y="csY95"/>
                              </a:cxn>
                              <a:cxn ang="0">
                                <a:pos x="csX96" y="csY96"/>
                              </a:cxn>
                              <a:cxn ang="0">
                                <a:pos x="csX97" y="csY97"/>
                              </a:cxn>
                              <a:cxn ang="0">
                                <a:pos x="csX98" y="csY98"/>
                              </a:cxn>
                              <a:cxn ang="0">
                                <a:pos x="csX99" y="csY99"/>
                              </a:cxn>
                              <a:cxn ang="0">
                                <a:pos x="csX100" y="csY100"/>
                              </a:cxn>
                              <a:cxn ang="0">
                                <a:pos x="csX101" y="csY101"/>
                              </a:cxn>
                              <a:cxn ang="0">
                                <a:pos x="csX102" y="csY102"/>
                              </a:cxn>
                              <a:cxn ang="0">
                                <a:pos x="csX103" y="csY103"/>
                              </a:cxn>
                              <a:cxn ang="0">
                                <a:pos x="csX104" y="csY104"/>
                              </a:cxn>
                              <a:cxn ang="0">
                                <a:pos x="csX105" y="csY105"/>
                              </a:cxn>
                              <a:cxn ang="0">
                                <a:pos x="csX106" y="csY106"/>
                              </a:cxn>
                              <a:cxn ang="0">
                                <a:pos x="csX107" y="csY107"/>
                              </a:cxn>
                              <a:cxn ang="0">
                                <a:pos x="csX108" y="csY108"/>
                              </a:cxn>
                              <a:cxn ang="0">
                                <a:pos x="csX109" y="csY109"/>
                              </a:cxn>
                              <a:cxn ang="0">
                                <a:pos x="csX110" y="csY110"/>
                              </a:cxn>
                              <a:cxn ang="0">
                                <a:pos x="csX111" y="csY111"/>
                              </a:cxn>
                              <a:cxn ang="0">
                                <a:pos x="csX112" y="csY112"/>
                              </a:cxn>
                              <a:cxn ang="0">
                                <a:pos x="csX113" y="csY113"/>
                              </a:cxn>
                              <a:cxn ang="0">
                                <a:pos x="csX114" y="csY114"/>
                              </a:cxn>
                              <a:cxn ang="0">
                                <a:pos x="csX115" y="csY115"/>
                              </a:cxn>
                              <a:cxn ang="0">
                                <a:pos x="csX116" y="csY116"/>
                              </a:cxn>
                              <a:cxn ang="0">
                                <a:pos x="csX117" y="csY117"/>
                              </a:cxn>
                              <a:cxn ang="0">
                                <a:pos x="csX118" y="csY118"/>
                              </a:cxn>
                            </a:cxnLst>
                            <a:rect l="l" t="t" r="r" b="b"/>
                            <a:pathLst>
                              <a:path w="1329975" h="251845">
                                <a:moveTo>
                                  <a:pt x="1218629" y="251841"/>
                                </a:moveTo>
                                <a:cubicBezTo>
                                  <a:pt x="1240917" y="251841"/>
                                  <a:pt x="1255300" y="240602"/>
                                  <a:pt x="1267873" y="210026"/>
                                </a:cubicBezTo>
                                <a:lnTo>
                                  <a:pt x="1329976" y="57150"/>
                                </a:lnTo>
                                <a:lnTo>
                                  <a:pt x="1306544" y="57150"/>
                                </a:lnTo>
                                <a:lnTo>
                                  <a:pt x="1258919" y="180499"/>
                                </a:lnTo>
                                <a:lnTo>
                                  <a:pt x="1205103" y="57150"/>
                                </a:lnTo>
                                <a:lnTo>
                                  <a:pt x="1180719" y="57150"/>
                                </a:lnTo>
                                <a:lnTo>
                                  <a:pt x="1247966" y="204597"/>
                                </a:lnTo>
                                <a:cubicBezTo>
                                  <a:pt x="1239107" y="225457"/>
                                  <a:pt x="1230821" y="232315"/>
                                  <a:pt x="1217676" y="232315"/>
                                </a:cubicBezTo>
                                <a:cubicBezTo>
                                  <a:pt x="1209589" y="232554"/>
                                  <a:pt x="1201579" y="230683"/>
                                  <a:pt x="1194435" y="226886"/>
                                </a:cubicBezTo>
                                <a:lnTo>
                                  <a:pt x="1187006" y="244316"/>
                                </a:lnTo>
                                <a:cubicBezTo>
                                  <a:pt x="1196736" y="249380"/>
                                  <a:pt x="1207565" y="251964"/>
                                  <a:pt x="1218533" y="251841"/>
                                </a:cubicBezTo>
                                <a:moveTo>
                                  <a:pt x="1135190" y="207740"/>
                                </a:moveTo>
                                <a:cubicBezTo>
                                  <a:pt x="1144464" y="207897"/>
                                  <a:pt x="1153632" y="205737"/>
                                  <a:pt x="1161860" y="201454"/>
                                </a:cubicBezTo>
                                <a:lnTo>
                                  <a:pt x="1161860" y="182404"/>
                                </a:lnTo>
                                <a:cubicBezTo>
                                  <a:pt x="1155200" y="185819"/>
                                  <a:pt x="1147817" y="187584"/>
                                  <a:pt x="1140333" y="187547"/>
                                </a:cubicBezTo>
                                <a:cubicBezTo>
                                  <a:pt x="1128421" y="189346"/>
                                  <a:pt x="1117307" y="181147"/>
                                  <a:pt x="1115509" y="169236"/>
                                </a:cubicBezTo>
                                <a:cubicBezTo>
                                  <a:pt x="1115196" y="167161"/>
                                  <a:pt x="1115184" y="165051"/>
                                  <a:pt x="1115473" y="162973"/>
                                </a:cubicBezTo>
                                <a:lnTo>
                                  <a:pt x="1115473" y="76486"/>
                                </a:lnTo>
                                <a:lnTo>
                                  <a:pt x="1162431" y="76486"/>
                                </a:lnTo>
                                <a:lnTo>
                                  <a:pt x="1162431" y="57436"/>
                                </a:lnTo>
                                <a:lnTo>
                                  <a:pt x="1115473" y="57436"/>
                                </a:lnTo>
                                <a:lnTo>
                                  <a:pt x="1115473" y="12478"/>
                                </a:lnTo>
                                <a:lnTo>
                                  <a:pt x="1093375" y="12478"/>
                                </a:lnTo>
                                <a:lnTo>
                                  <a:pt x="1093375" y="57150"/>
                                </a:lnTo>
                                <a:lnTo>
                                  <a:pt x="1072801" y="57150"/>
                                </a:lnTo>
                                <a:lnTo>
                                  <a:pt x="1072801" y="76200"/>
                                </a:lnTo>
                                <a:lnTo>
                                  <a:pt x="1093375" y="76200"/>
                                </a:lnTo>
                                <a:lnTo>
                                  <a:pt x="1093375" y="165545"/>
                                </a:lnTo>
                                <a:cubicBezTo>
                                  <a:pt x="1093375" y="195644"/>
                                  <a:pt x="1111472" y="207359"/>
                                  <a:pt x="1135190" y="207359"/>
                                </a:cubicBezTo>
                                <a:moveTo>
                                  <a:pt x="1018127" y="204788"/>
                                </a:moveTo>
                                <a:lnTo>
                                  <a:pt x="1040130" y="204788"/>
                                </a:lnTo>
                                <a:lnTo>
                                  <a:pt x="1040130" y="57150"/>
                                </a:lnTo>
                                <a:lnTo>
                                  <a:pt x="1018127" y="57150"/>
                                </a:lnTo>
                                <a:close/>
                                <a:moveTo>
                                  <a:pt x="1016699" y="24384"/>
                                </a:moveTo>
                                <a:lnTo>
                                  <a:pt x="1041845" y="24384"/>
                                </a:lnTo>
                                <a:lnTo>
                                  <a:pt x="1041845" y="0"/>
                                </a:lnTo>
                                <a:lnTo>
                                  <a:pt x="1016699" y="0"/>
                                </a:lnTo>
                                <a:close/>
                                <a:moveTo>
                                  <a:pt x="928211" y="207645"/>
                                </a:moveTo>
                                <a:cubicBezTo>
                                  <a:pt x="957739" y="207645"/>
                                  <a:pt x="980884" y="191262"/>
                                  <a:pt x="980884" y="163259"/>
                                </a:cubicBezTo>
                                <a:lnTo>
                                  <a:pt x="980884" y="162687"/>
                                </a:lnTo>
                                <a:cubicBezTo>
                                  <a:pt x="980884" y="136017"/>
                                  <a:pt x="956310" y="127159"/>
                                  <a:pt x="933259" y="120301"/>
                                </a:cubicBezTo>
                                <a:cubicBezTo>
                                  <a:pt x="913543" y="114300"/>
                                  <a:pt x="895159" y="108871"/>
                                  <a:pt x="895159" y="94774"/>
                                </a:cubicBezTo>
                                <a:lnTo>
                                  <a:pt x="895159" y="94202"/>
                                </a:lnTo>
                                <a:cubicBezTo>
                                  <a:pt x="895159" y="81915"/>
                                  <a:pt x="906399" y="72771"/>
                                  <a:pt x="923734" y="72771"/>
                                </a:cubicBezTo>
                                <a:cubicBezTo>
                                  <a:pt x="939385" y="73361"/>
                                  <a:pt x="954560" y="78309"/>
                                  <a:pt x="967550" y="87058"/>
                                </a:cubicBezTo>
                                <a:lnTo>
                                  <a:pt x="977075" y="70485"/>
                                </a:lnTo>
                                <a:cubicBezTo>
                                  <a:pt x="961195" y="60191"/>
                                  <a:pt x="942751" y="54549"/>
                                  <a:pt x="923830" y="54197"/>
                                </a:cubicBezTo>
                                <a:cubicBezTo>
                                  <a:pt x="894588" y="54197"/>
                                  <a:pt x="873443" y="71056"/>
                                  <a:pt x="873443" y="96488"/>
                                </a:cubicBezTo>
                                <a:lnTo>
                                  <a:pt x="873443" y="97060"/>
                                </a:lnTo>
                                <a:cubicBezTo>
                                  <a:pt x="873443" y="124301"/>
                                  <a:pt x="899160" y="132302"/>
                                  <a:pt x="922401" y="138875"/>
                                </a:cubicBezTo>
                                <a:cubicBezTo>
                                  <a:pt x="941451" y="144304"/>
                                  <a:pt x="959358" y="150114"/>
                                  <a:pt x="959358" y="164973"/>
                                </a:cubicBezTo>
                                <a:lnTo>
                                  <a:pt x="959358" y="165545"/>
                                </a:lnTo>
                                <a:cubicBezTo>
                                  <a:pt x="959358" y="179832"/>
                                  <a:pt x="946404" y="188976"/>
                                  <a:pt x="928688" y="188976"/>
                                </a:cubicBezTo>
                                <a:cubicBezTo>
                                  <a:pt x="909997" y="188327"/>
                                  <a:pt x="892019" y="181644"/>
                                  <a:pt x="877443" y="169926"/>
                                </a:cubicBezTo>
                                <a:lnTo>
                                  <a:pt x="866299" y="185642"/>
                                </a:lnTo>
                                <a:cubicBezTo>
                                  <a:pt x="883765" y="199442"/>
                                  <a:pt x="905288" y="207107"/>
                                  <a:pt x="927544" y="207455"/>
                                </a:cubicBezTo>
                                <a:moveTo>
                                  <a:pt x="768382" y="204597"/>
                                </a:moveTo>
                                <a:lnTo>
                                  <a:pt x="790384" y="204597"/>
                                </a:lnTo>
                                <a:lnTo>
                                  <a:pt x="790384" y="145828"/>
                                </a:lnTo>
                                <a:cubicBezTo>
                                  <a:pt x="790384" y="101251"/>
                                  <a:pt x="816769" y="78010"/>
                                  <a:pt x="849059" y="78010"/>
                                </a:cubicBezTo>
                                <a:lnTo>
                                  <a:pt x="850773" y="78010"/>
                                </a:lnTo>
                                <a:lnTo>
                                  <a:pt x="850773" y="54293"/>
                                </a:lnTo>
                                <a:cubicBezTo>
                                  <a:pt x="823963" y="53844"/>
                                  <a:pt x="799776" y="70325"/>
                                  <a:pt x="790385" y="95441"/>
                                </a:cubicBezTo>
                                <a:lnTo>
                                  <a:pt x="790384" y="56864"/>
                                </a:lnTo>
                                <a:lnTo>
                                  <a:pt x="768382" y="56864"/>
                                </a:lnTo>
                                <a:close/>
                                <a:moveTo>
                                  <a:pt x="617792" y="121825"/>
                                </a:moveTo>
                                <a:cubicBezTo>
                                  <a:pt x="620935" y="93250"/>
                                  <a:pt x="640366" y="72009"/>
                                  <a:pt x="665893" y="72009"/>
                                </a:cubicBezTo>
                                <a:cubicBezTo>
                                  <a:pt x="695039" y="72009"/>
                                  <a:pt x="710565" y="94869"/>
                                  <a:pt x="713518" y="121825"/>
                                </a:cubicBezTo>
                                <a:close/>
                                <a:moveTo>
                                  <a:pt x="617792" y="139541"/>
                                </a:moveTo>
                                <a:lnTo>
                                  <a:pt x="736378" y="139541"/>
                                </a:lnTo>
                                <a:lnTo>
                                  <a:pt x="736378" y="131826"/>
                                </a:lnTo>
                                <a:cubicBezTo>
                                  <a:pt x="736378" y="88297"/>
                                  <a:pt x="711232" y="53435"/>
                                  <a:pt x="667417" y="53435"/>
                                </a:cubicBezTo>
                                <a:cubicBezTo>
                                  <a:pt x="626459" y="53435"/>
                                  <a:pt x="596360" y="87725"/>
                                  <a:pt x="596360" y="130683"/>
                                </a:cubicBezTo>
                                <a:cubicBezTo>
                                  <a:pt x="594361" y="171350"/>
                                  <a:pt x="625708" y="205938"/>
                                  <a:pt x="666375" y="207938"/>
                                </a:cubicBezTo>
                                <a:cubicBezTo>
                                  <a:pt x="667674" y="208001"/>
                                  <a:pt x="668974" y="208031"/>
                                  <a:pt x="670274" y="208026"/>
                                </a:cubicBezTo>
                                <a:cubicBezTo>
                                  <a:pt x="693799" y="208666"/>
                                  <a:pt x="716299" y="198400"/>
                                  <a:pt x="731234" y="180213"/>
                                </a:cubicBezTo>
                                <a:lnTo>
                                  <a:pt x="717328" y="168497"/>
                                </a:lnTo>
                                <a:cubicBezTo>
                                  <a:pt x="705547" y="181911"/>
                                  <a:pt x="688507" y="189527"/>
                                  <a:pt x="670655" y="189357"/>
                                </a:cubicBezTo>
                                <a:cubicBezTo>
                                  <a:pt x="642864" y="189643"/>
                                  <a:pt x="619834" y="167876"/>
                                  <a:pt x="618554" y="140113"/>
                                </a:cubicBezTo>
                                <a:moveTo>
                                  <a:pt x="501110" y="206312"/>
                                </a:moveTo>
                                <a:lnTo>
                                  <a:pt x="520160" y="206312"/>
                                </a:lnTo>
                                <a:lnTo>
                                  <a:pt x="584549" y="57150"/>
                                </a:lnTo>
                                <a:lnTo>
                                  <a:pt x="560832" y="57150"/>
                                </a:lnTo>
                                <a:lnTo>
                                  <a:pt x="510731" y="179927"/>
                                </a:lnTo>
                                <a:lnTo>
                                  <a:pt x="460915" y="57150"/>
                                </a:lnTo>
                                <a:lnTo>
                                  <a:pt x="436531" y="57150"/>
                                </a:lnTo>
                                <a:close/>
                                <a:moveTo>
                                  <a:pt x="383953" y="205169"/>
                                </a:moveTo>
                                <a:lnTo>
                                  <a:pt x="406051" y="205169"/>
                                </a:lnTo>
                                <a:lnTo>
                                  <a:pt x="406051" y="57150"/>
                                </a:lnTo>
                                <a:lnTo>
                                  <a:pt x="383953" y="57150"/>
                                </a:lnTo>
                                <a:close/>
                                <a:moveTo>
                                  <a:pt x="382524" y="24765"/>
                                </a:moveTo>
                                <a:lnTo>
                                  <a:pt x="407765" y="24765"/>
                                </a:lnTo>
                                <a:lnTo>
                                  <a:pt x="407765" y="381"/>
                                </a:lnTo>
                                <a:lnTo>
                                  <a:pt x="382524" y="381"/>
                                </a:lnTo>
                                <a:close/>
                                <a:moveTo>
                                  <a:pt x="211074" y="205169"/>
                                </a:moveTo>
                                <a:lnTo>
                                  <a:pt x="233077" y="205169"/>
                                </a:lnTo>
                                <a:lnTo>
                                  <a:pt x="233077" y="120396"/>
                                </a:lnTo>
                                <a:cubicBezTo>
                                  <a:pt x="231493" y="96408"/>
                                  <a:pt x="249655" y="75677"/>
                                  <a:pt x="273644" y="74093"/>
                                </a:cubicBezTo>
                                <a:cubicBezTo>
                                  <a:pt x="274915" y="74010"/>
                                  <a:pt x="276189" y="73981"/>
                                  <a:pt x="277463" y="74009"/>
                                </a:cubicBezTo>
                                <a:cubicBezTo>
                                  <a:pt x="303562" y="74009"/>
                                  <a:pt x="318421" y="91154"/>
                                  <a:pt x="318421" y="118681"/>
                                </a:cubicBezTo>
                                <a:lnTo>
                                  <a:pt x="318421" y="205169"/>
                                </a:lnTo>
                                <a:lnTo>
                                  <a:pt x="340423" y="205169"/>
                                </a:lnTo>
                                <a:lnTo>
                                  <a:pt x="340423" y="113252"/>
                                </a:lnTo>
                                <a:cubicBezTo>
                                  <a:pt x="340423" y="78010"/>
                                  <a:pt x="319564" y="54007"/>
                                  <a:pt x="283750" y="54007"/>
                                </a:cubicBezTo>
                                <a:cubicBezTo>
                                  <a:pt x="262849" y="53324"/>
                                  <a:pt x="243308" y="64343"/>
                                  <a:pt x="233077" y="82582"/>
                                </a:cubicBezTo>
                                <a:lnTo>
                                  <a:pt x="233077" y="56864"/>
                                </a:lnTo>
                                <a:lnTo>
                                  <a:pt x="211074" y="56864"/>
                                </a:lnTo>
                                <a:close/>
                                <a:moveTo>
                                  <a:pt x="83344" y="208312"/>
                                </a:moveTo>
                                <a:cubicBezTo>
                                  <a:pt x="133445" y="208312"/>
                                  <a:pt x="166973" y="177927"/>
                                  <a:pt x="166973" y="119539"/>
                                </a:cubicBezTo>
                                <a:lnTo>
                                  <a:pt x="166973" y="4763"/>
                                </a:lnTo>
                                <a:lnTo>
                                  <a:pt x="144304" y="4763"/>
                                </a:lnTo>
                                <a:lnTo>
                                  <a:pt x="144304" y="121253"/>
                                </a:lnTo>
                                <a:cubicBezTo>
                                  <a:pt x="144304" y="165068"/>
                                  <a:pt x="120872" y="187357"/>
                                  <a:pt x="83915" y="187357"/>
                                </a:cubicBezTo>
                                <a:cubicBezTo>
                                  <a:pt x="46958" y="187357"/>
                                  <a:pt x="22670" y="163068"/>
                                  <a:pt x="22670" y="119825"/>
                                </a:cubicBezTo>
                                <a:lnTo>
                                  <a:pt x="22670" y="4763"/>
                                </a:lnTo>
                                <a:lnTo>
                                  <a:pt x="0" y="4763"/>
                                </a:lnTo>
                                <a:lnTo>
                                  <a:pt x="0" y="121253"/>
                                </a:lnTo>
                                <a:cubicBezTo>
                                  <a:pt x="0" y="178403"/>
                                  <a:pt x="33814" y="208312"/>
                                  <a:pt x="83344" y="208312"/>
                                </a:cubicBezTo>
                              </a:path>
                            </a:pathLst>
                          </a:custGeom>
                          <a:solidFill>
                            <a:srgbClr val="002A41"/>
                          </a:solidFill>
                          <a:ln w="9525" cap="flat">
                            <a:noFill/>
                            <a:prstDash val="solid"/>
                            <a:miter/>
                          </a:ln>
                        </wps:spPr>
                        <wps:bodyPr/>
                      </wps:wsp>
                      <wps:wsp>
                        <wps:cNvPr id="352763732" name="Freeform: Shape 352763732"/>
                        <wps:cNvSpPr/>
                        <wps:spPr>
                          <a:xfrm>
                            <a:off x="641032" y="282806"/>
                            <a:ext cx="1643824" cy="333981"/>
                          </a:xfrm>
                          <a:custGeom>
                            <a:avLst/>
                            <a:gdLst>
                              <a:gd name="csX0" fmla="*/ 1375029 w 1643824"/>
                              <a:gd name="csY0" fmla="*/ 329470 h 333981"/>
                              <a:gd name="csX1" fmla="*/ 1375029 w 1643824"/>
                              <a:gd name="csY1" fmla="*/ 311277 h 333981"/>
                              <a:gd name="csX2" fmla="*/ 1373791 w 1643824"/>
                              <a:gd name="csY2" fmla="*/ 311277 h 333981"/>
                              <a:gd name="csX3" fmla="*/ 1348835 w 1643824"/>
                              <a:gd name="csY3" fmla="*/ 306324 h 333981"/>
                              <a:gd name="csX4" fmla="*/ 1338167 w 1643824"/>
                              <a:gd name="csY4" fmla="*/ 282226 h 333981"/>
                              <a:gd name="csX5" fmla="*/ 1338167 w 1643824"/>
                              <a:gd name="csY5" fmla="*/ 190690 h 333981"/>
                              <a:gd name="csX6" fmla="*/ 1342930 w 1643824"/>
                              <a:gd name="csY6" fmla="*/ 156019 h 333981"/>
                              <a:gd name="csX7" fmla="*/ 1358551 w 1643824"/>
                              <a:gd name="csY7" fmla="*/ 130207 h 333981"/>
                              <a:gd name="csX8" fmla="*/ 1388554 w 1643824"/>
                              <a:gd name="csY8" fmla="*/ 120682 h 333981"/>
                              <a:gd name="csX9" fmla="*/ 1423892 w 1643824"/>
                              <a:gd name="csY9" fmla="*/ 136303 h 333981"/>
                              <a:gd name="csX10" fmla="*/ 1434084 w 1643824"/>
                              <a:gd name="csY10" fmla="*/ 180118 h 333981"/>
                              <a:gd name="csX11" fmla="*/ 1434084 w 1643824"/>
                              <a:gd name="csY11" fmla="*/ 329755 h 333981"/>
                              <a:gd name="csX12" fmla="*/ 1509522 w 1643824"/>
                              <a:gd name="csY12" fmla="*/ 329755 h 333981"/>
                              <a:gd name="csX13" fmla="*/ 1509522 w 1643824"/>
                              <a:gd name="csY13" fmla="*/ 311563 h 333981"/>
                              <a:gd name="csX14" fmla="*/ 1508189 w 1643824"/>
                              <a:gd name="csY14" fmla="*/ 311563 h 333981"/>
                              <a:gd name="csX15" fmla="*/ 1484185 w 1643824"/>
                              <a:gd name="csY15" fmla="*/ 306134 h 333981"/>
                              <a:gd name="csX16" fmla="*/ 1474660 w 1643824"/>
                              <a:gd name="csY16" fmla="*/ 280321 h 333981"/>
                              <a:gd name="csX17" fmla="*/ 1474660 w 1643824"/>
                              <a:gd name="csY17" fmla="*/ 184785 h 333981"/>
                              <a:gd name="csX18" fmla="*/ 1479232 w 1643824"/>
                              <a:gd name="csY18" fmla="*/ 152686 h 333981"/>
                              <a:gd name="csX19" fmla="*/ 1494187 w 1643824"/>
                              <a:gd name="csY19" fmla="*/ 129064 h 333981"/>
                              <a:gd name="csX20" fmla="*/ 1522762 w 1643824"/>
                              <a:gd name="csY20" fmla="*/ 120110 h 333981"/>
                              <a:gd name="csX21" fmla="*/ 1558195 w 1643824"/>
                              <a:gd name="csY21" fmla="*/ 135731 h 333981"/>
                              <a:gd name="csX22" fmla="*/ 1568387 w 1643824"/>
                              <a:gd name="csY22" fmla="*/ 179546 h 333981"/>
                              <a:gd name="csX23" fmla="*/ 1568387 w 1643824"/>
                              <a:gd name="csY23" fmla="*/ 329184 h 333981"/>
                              <a:gd name="csX24" fmla="*/ 1643825 w 1643824"/>
                              <a:gd name="csY24" fmla="*/ 329184 h 333981"/>
                              <a:gd name="csX25" fmla="*/ 1643825 w 1643824"/>
                              <a:gd name="csY25" fmla="*/ 310991 h 333981"/>
                              <a:gd name="csX26" fmla="*/ 1642491 w 1643824"/>
                              <a:gd name="csY26" fmla="*/ 310991 h 333981"/>
                              <a:gd name="csX27" fmla="*/ 1618488 w 1643824"/>
                              <a:gd name="csY27" fmla="*/ 305562 h 333981"/>
                              <a:gd name="csX28" fmla="*/ 1608963 w 1643824"/>
                              <a:gd name="csY28" fmla="*/ 279749 h 333981"/>
                              <a:gd name="csX29" fmla="*/ 1608963 w 1643824"/>
                              <a:gd name="csY29" fmla="*/ 177641 h 333981"/>
                              <a:gd name="csX30" fmla="*/ 1589913 w 1643824"/>
                              <a:gd name="csY30" fmla="*/ 112871 h 333981"/>
                              <a:gd name="csX31" fmla="*/ 1538002 w 1643824"/>
                              <a:gd name="csY31" fmla="*/ 92678 h 333981"/>
                              <a:gd name="csX32" fmla="*/ 1500473 w 1643824"/>
                              <a:gd name="csY32" fmla="*/ 100298 h 333981"/>
                              <a:gd name="csX33" fmla="*/ 1469898 w 1643824"/>
                              <a:gd name="csY33" fmla="*/ 132112 h 333981"/>
                              <a:gd name="csX34" fmla="*/ 1466469 w 1643824"/>
                              <a:gd name="csY34" fmla="*/ 132112 h 333981"/>
                              <a:gd name="csX35" fmla="*/ 1441323 w 1643824"/>
                              <a:gd name="csY35" fmla="*/ 101537 h 333981"/>
                              <a:gd name="csX36" fmla="*/ 1403223 w 1643824"/>
                              <a:gd name="csY36" fmla="*/ 92678 h 333981"/>
                              <a:gd name="csX37" fmla="*/ 1367028 w 1643824"/>
                              <a:gd name="csY37" fmla="*/ 100298 h 333981"/>
                              <a:gd name="csX38" fmla="*/ 1337786 w 1643824"/>
                              <a:gd name="csY38" fmla="*/ 132112 h 333981"/>
                              <a:gd name="csX39" fmla="*/ 1336262 w 1643824"/>
                              <a:gd name="csY39" fmla="*/ 132112 h 333981"/>
                              <a:gd name="csX40" fmla="*/ 1330643 w 1643824"/>
                              <a:gd name="csY40" fmla="*/ 96964 h 333981"/>
                              <a:gd name="csX41" fmla="*/ 1262539 w 1643824"/>
                              <a:gd name="csY41" fmla="*/ 96964 h 333981"/>
                              <a:gd name="csX42" fmla="*/ 1262539 w 1643824"/>
                              <a:gd name="csY42" fmla="*/ 115253 h 333981"/>
                              <a:gd name="csX43" fmla="*/ 1263777 w 1643824"/>
                              <a:gd name="csY43" fmla="*/ 115253 h 333981"/>
                              <a:gd name="csX44" fmla="*/ 1287685 w 1643824"/>
                              <a:gd name="csY44" fmla="*/ 120396 h 333981"/>
                              <a:gd name="csX45" fmla="*/ 1297210 w 1643824"/>
                              <a:gd name="csY45" fmla="*/ 144685 h 333981"/>
                              <a:gd name="csX46" fmla="*/ 1297210 w 1643824"/>
                              <a:gd name="csY46" fmla="*/ 280035 h 333981"/>
                              <a:gd name="csX47" fmla="*/ 1287685 w 1643824"/>
                              <a:gd name="csY47" fmla="*/ 305848 h 333981"/>
                              <a:gd name="csX48" fmla="*/ 1263587 w 1643824"/>
                              <a:gd name="csY48" fmla="*/ 311277 h 333981"/>
                              <a:gd name="csX49" fmla="*/ 1257967 w 1643824"/>
                              <a:gd name="csY49" fmla="*/ 311277 h 333981"/>
                              <a:gd name="csX50" fmla="*/ 1257967 w 1643824"/>
                              <a:gd name="csY50" fmla="*/ 329470 h 333981"/>
                              <a:gd name="csX51" fmla="*/ 1074420 w 1643824"/>
                              <a:gd name="csY51" fmla="*/ 266605 h 333981"/>
                              <a:gd name="csX52" fmla="*/ 1088517 w 1643824"/>
                              <a:gd name="csY52" fmla="*/ 227838 h 333981"/>
                              <a:gd name="csX53" fmla="*/ 1139476 w 1643824"/>
                              <a:gd name="csY53" fmla="*/ 212788 h 333981"/>
                              <a:gd name="csX54" fmla="*/ 1167289 w 1643824"/>
                              <a:gd name="csY54" fmla="*/ 211550 h 333981"/>
                              <a:gd name="csX55" fmla="*/ 1167289 w 1643824"/>
                              <a:gd name="csY55" fmla="*/ 246698 h 333981"/>
                              <a:gd name="csX56" fmla="*/ 1151668 w 1643824"/>
                              <a:gd name="csY56" fmla="*/ 290703 h 333981"/>
                              <a:gd name="csX57" fmla="*/ 1109567 w 1643824"/>
                              <a:gd name="csY57" fmla="*/ 306991 h 333981"/>
                              <a:gd name="csX58" fmla="*/ 1074420 w 1643824"/>
                              <a:gd name="csY58" fmla="*/ 266605 h 333981"/>
                              <a:gd name="csX59" fmla="*/ 1129093 w 1643824"/>
                              <a:gd name="csY59" fmla="*/ 328422 h 333981"/>
                              <a:gd name="csX60" fmla="*/ 1149477 w 1643824"/>
                              <a:gd name="csY60" fmla="*/ 313658 h 333981"/>
                              <a:gd name="csX61" fmla="*/ 1167289 w 1643824"/>
                              <a:gd name="csY61" fmla="*/ 292227 h 333981"/>
                              <a:gd name="csX62" fmla="*/ 1170718 w 1643824"/>
                              <a:gd name="csY62" fmla="*/ 292227 h 333981"/>
                              <a:gd name="csX63" fmla="*/ 1177671 w 1643824"/>
                              <a:gd name="csY63" fmla="*/ 329470 h 333981"/>
                              <a:gd name="csX64" fmla="*/ 1236250 w 1643824"/>
                              <a:gd name="csY64" fmla="*/ 329470 h 333981"/>
                              <a:gd name="csX65" fmla="*/ 1236250 w 1643824"/>
                              <a:gd name="csY65" fmla="*/ 311277 h 333981"/>
                              <a:gd name="csX66" fmla="*/ 1234916 w 1643824"/>
                              <a:gd name="csY66" fmla="*/ 311277 h 333981"/>
                              <a:gd name="csX67" fmla="*/ 1214152 w 1643824"/>
                              <a:gd name="csY67" fmla="*/ 304800 h 333981"/>
                              <a:gd name="csX68" fmla="*/ 1208056 w 1643824"/>
                              <a:gd name="csY68" fmla="*/ 280035 h 333981"/>
                              <a:gd name="csX69" fmla="*/ 1208056 w 1643824"/>
                              <a:gd name="csY69" fmla="*/ 167735 h 333981"/>
                              <a:gd name="csX70" fmla="*/ 1188339 w 1643824"/>
                              <a:gd name="csY70" fmla="*/ 109538 h 333981"/>
                              <a:gd name="csX71" fmla="*/ 1128713 w 1643824"/>
                              <a:gd name="csY71" fmla="*/ 92678 h 333981"/>
                              <a:gd name="csX72" fmla="*/ 1089374 w 1643824"/>
                              <a:gd name="csY72" fmla="*/ 96774 h 333981"/>
                              <a:gd name="csX73" fmla="*/ 1060799 w 1643824"/>
                              <a:gd name="csY73" fmla="*/ 110204 h 333981"/>
                              <a:gd name="csX74" fmla="*/ 1050512 w 1643824"/>
                              <a:gd name="csY74" fmla="*/ 134303 h 333981"/>
                              <a:gd name="csX75" fmla="*/ 1060037 w 1643824"/>
                              <a:gd name="csY75" fmla="*/ 155353 h 333981"/>
                              <a:gd name="csX76" fmla="*/ 1087564 w 1643824"/>
                              <a:gd name="csY76" fmla="*/ 161639 h 333981"/>
                              <a:gd name="csX77" fmla="*/ 1090422 w 1643824"/>
                              <a:gd name="csY77" fmla="*/ 137351 h 333981"/>
                              <a:gd name="csX78" fmla="*/ 1101852 w 1643824"/>
                              <a:gd name="csY78" fmla="*/ 120396 h 333981"/>
                              <a:gd name="csX79" fmla="*/ 1126712 w 1643824"/>
                              <a:gd name="csY79" fmla="*/ 114300 h 333981"/>
                              <a:gd name="csX80" fmla="*/ 1153192 w 1643824"/>
                              <a:gd name="csY80" fmla="*/ 121253 h 333981"/>
                              <a:gd name="csX81" fmla="*/ 1164527 w 1643824"/>
                              <a:gd name="csY81" fmla="*/ 140303 h 333981"/>
                              <a:gd name="csX82" fmla="*/ 1167098 w 1643824"/>
                              <a:gd name="csY82" fmla="*/ 167831 h 333981"/>
                              <a:gd name="csX83" fmla="*/ 1167098 w 1643824"/>
                              <a:gd name="csY83" fmla="*/ 193834 h 333981"/>
                              <a:gd name="csX84" fmla="*/ 1131094 w 1643824"/>
                              <a:gd name="csY84" fmla="*/ 195072 h 333981"/>
                              <a:gd name="csX85" fmla="*/ 1056704 w 1643824"/>
                              <a:gd name="csY85" fmla="*/ 213360 h 333981"/>
                              <a:gd name="csX86" fmla="*/ 1032224 w 1643824"/>
                              <a:gd name="csY86" fmla="*/ 264509 h 333981"/>
                              <a:gd name="csX87" fmla="*/ 1051274 w 1643824"/>
                              <a:gd name="csY87" fmla="*/ 316992 h 333981"/>
                              <a:gd name="csX88" fmla="*/ 1128903 w 1643824"/>
                              <a:gd name="csY88" fmla="*/ 328517 h 333981"/>
                              <a:gd name="csX89" fmla="*/ 876872 w 1643824"/>
                              <a:gd name="csY89" fmla="*/ 329565 h 333981"/>
                              <a:gd name="csX90" fmla="*/ 876872 w 1643824"/>
                              <a:gd name="csY90" fmla="*/ 311372 h 333981"/>
                              <a:gd name="csX91" fmla="*/ 875538 w 1643824"/>
                              <a:gd name="csY91" fmla="*/ 311372 h 333981"/>
                              <a:gd name="csX92" fmla="*/ 850678 w 1643824"/>
                              <a:gd name="csY92" fmla="*/ 306419 h 333981"/>
                              <a:gd name="csX93" fmla="*/ 840010 w 1643824"/>
                              <a:gd name="csY93" fmla="*/ 282321 h 333981"/>
                              <a:gd name="csX94" fmla="*/ 840010 w 1643824"/>
                              <a:gd name="csY94" fmla="*/ 190690 h 333981"/>
                              <a:gd name="csX95" fmla="*/ 852773 w 1643824"/>
                              <a:gd name="csY95" fmla="*/ 139541 h 333981"/>
                              <a:gd name="csX96" fmla="*/ 892493 w 1643824"/>
                              <a:gd name="csY96" fmla="*/ 120491 h 333981"/>
                              <a:gd name="csX97" fmla="*/ 929545 w 1643824"/>
                              <a:gd name="csY97" fmla="*/ 136112 h 333981"/>
                              <a:gd name="csX98" fmla="*/ 940213 w 1643824"/>
                              <a:gd name="csY98" fmla="*/ 179927 h 333981"/>
                              <a:gd name="csX99" fmla="*/ 940213 w 1643824"/>
                              <a:gd name="csY99" fmla="*/ 329565 h 333981"/>
                              <a:gd name="csX100" fmla="*/ 1015651 w 1643824"/>
                              <a:gd name="csY100" fmla="*/ 329565 h 333981"/>
                              <a:gd name="csX101" fmla="*/ 1015651 w 1643824"/>
                              <a:gd name="csY101" fmla="*/ 311372 h 333981"/>
                              <a:gd name="csX102" fmla="*/ 1014413 w 1643824"/>
                              <a:gd name="csY102" fmla="*/ 311372 h 333981"/>
                              <a:gd name="csX103" fmla="*/ 990314 w 1643824"/>
                              <a:gd name="csY103" fmla="*/ 305943 h 333981"/>
                              <a:gd name="csX104" fmla="*/ 980789 w 1643824"/>
                              <a:gd name="csY104" fmla="*/ 280130 h 333981"/>
                              <a:gd name="csX105" fmla="*/ 980789 w 1643824"/>
                              <a:gd name="csY105" fmla="*/ 177641 h 333981"/>
                              <a:gd name="csX106" fmla="*/ 961072 w 1643824"/>
                              <a:gd name="csY106" fmla="*/ 112871 h 333981"/>
                              <a:gd name="csX107" fmla="*/ 903922 w 1643824"/>
                              <a:gd name="csY107" fmla="*/ 92678 h 333981"/>
                              <a:gd name="csX108" fmla="*/ 840962 w 1643824"/>
                              <a:gd name="csY108" fmla="*/ 132112 h 333981"/>
                              <a:gd name="csX109" fmla="*/ 838772 w 1643824"/>
                              <a:gd name="csY109" fmla="*/ 132112 h 333981"/>
                              <a:gd name="csX110" fmla="*/ 840105 w 1643824"/>
                              <a:gd name="csY110" fmla="*/ 111728 h 333981"/>
                              <a:gd name="csX111" fmla="*/ 840105 w 1643824"/>
                              <a:gd name="csY111" fmla="*/ 95250 h 333981"/>
                              <a:gd name="csX112" fmla="*/ 840105 w 1643824"/>
                              <a:gd name="csY112" fmla="*/ 0 h 333981"/>
                              <a:gd name="csX113" fmla="*/ 760285 w 1643824"/>
                              <a:gd name="csY113" fmla="*/ 0 h 333981"/>
                              <a:gd name="csX114" fmla="*/ 760285 w 1643824"/>
                              <a:gd name="csY114" fmla="*/ 18193 h 333981"/>
                              <a:gd name="csX115" fmla="*/ 763810 w 1643824"/>
                              <a:gd name="csY115" fmla="*/ 18193 h 333981"/>
                              <a:gd name="csX116" fmla="*/ 788670 w 1643824"/>
                              <a:gd name="csY116" fmla="*/ 23432 h 333981"/>
                              <a:gd name="csX117" fmla="*/ 799338 w 1643824"/>
                              <a:gd name="csY117" fmla="*/ 47720 h 333981"/>
                              <a:gd name="csX118" fmla="*/ 799338 w 1643824"/>
                              <a:gd name="csY118" fmla="*/ 280035 h 333981"/>
                              <a:gd name="csX119" fmla="*/ 788956 w 1643824"/>
                              <a:gd name="csY119" fmla="*/ 305848 h 333981"/>
                              <a:gd name="csX120" fmla="*/ 763810 w 1643824"/>
                              <a:gd name="csY120" fmla="*/ 311277 h 333981"/>
                              <a:gd name="csX121" fmla="*/ 760285 w 1643824"/>
                              <a:gd name="csY121" fmla="*/ 311277 h 333981"/>
                              <a:gd name="csX122" fmla="*/ 760285 w 1643824"/>
                              <a:gd name="csY122" fmla="*/ 329470 h 333981"/>
                              <a:gd name="csX123" fmla="*/ 696468 w 1643824"/>
                              <a:gd name="csY123" fmla="*/ 329565 h 333981"/>
                              <a:gd name="csX124" fmla="*/ 696468 w 1643824"/>
                              <a:gd name="csY124" fmla="*/ 311372 h 333981"/>
                              <a:gd name="csX125" fmla="*/ 684276 w 1643824"/>
                              <a:gd name="csY125" fmla="*/ 311372 h 333981"/>
                              <a:gd name="csX126" fmla="*/ 659321 w 1643824"/>
                              <a:gd name="csY126" fmla="*/ 306419 h 333981"/>
                              <a:gd name="csX127" fmla="*/ 648748 w 1643824"/>
                              <a:gd name="csY127" fmla="*/ 282321 h 333981"/>
                              <a:gd name="csX128" fmla="*/ 648748 w 1643824"/>
                              <a:gd name="csY128" fmla="*/ 214217 h 333981"/>
                              <a:gd name="csX129" fmla="*/ 650843 w 1643824"/>
                              <a:gd name="csY129" fmla="*/ 185642 h 333981"/>
                              <a:gd name="csX130" fmla="*/ 657797 w 1643824"/>
                              <a:gd name="csY130" fmla="*/ 155067 h 333981"/>
                              <a:gd name="csX131" fmla="*/ 670846 w 1643824"/>
                              <a:gd name="csY131" fmla="*/ 130683 h 333981"/>
                              <a:gd name="csX132" fmla="*/ 691229 w 1643824"/>
                              <a:gd name="csY132" fmla="*/ 121158 h 333981"/>
                              <a:gd name="csX133" fmla="*/ 709041 w 1643824"/>
                              <a:gd name="csY133" fmla="*/ 129254 h 333981"/>
                              <a:gd name="csX134" fmla="*/ 714184 w 1643824"/>
                              <a:gd name="csY134" fmla="*/ 155067 h 333981"/>
                              <a:gd name="csX135" fmla="*/ 745712 w 1643824"/>
                              <a:gd name="csY135" fmla="*/ 146685 h 333981"/>
                              <a:gd name="csX136" fmla="*/ 755237 w 1643824"/>
                              <a:gd name="csY136" fmla="*/ 124492 h 333981"/>
                              <a:gd name="csX137" fmla="*/ 743712 w 1643824"/>
                              <a:gd name="csY137" fmla="*/ 101060 h 333981"/>
                              <a:gd name="csX138" fmla="*/ 708374 w 1643824"/>
                              <a:gd name="csY138" fmla="*/ 92869 h 333981"/>
                              <a:gd name="csX139" fmla="*/ 678465 w 1643824"/>
                              <a:gd name="csY139" fmla="*/ 99346 h 333981"/>
                              <a:gd name="csX140" fmla="*/ 661130 w 1643824"/>
                              <a:gd name="csY140" fmla="*/ 116491 h 333981"/>
                              <a:gd name="csX141" fmla="*/ 648938 w 1643824"/>
                              <a:gd name="csY141" fmla="*/ 140113 h 333981"/>
                              <a:gd name="csX142" fmla="*/ 646747 w 1643824"/>
                              <a:gd name="csY142" fmla="*/ 140113 h 333981"/>
                              <a:gd name="csX143" fmla="*/ 638556 w 1643824"/>
                              <a:gd name="csY143" fmla="*/ 97155 h 333981"/>
                              <a:gd name="csX144" fmla="*/ 571881 w 1643824"/>
                              <a:gd name="csY144" fmla="*/ 97155 h 333981"/>
                              <a:gd name="csX145" fmla="*/ 571881 w 1643824"/>
                              <a:gd name="csY145" fmla="*/ 115253 h 333981"/>
                              <a:gd name="csX146" fmla="*/ 573215 w 1643824"/>
                              <a:gd name="csY146" fmla="*/ 115253 h 333981"/>
                              <a:gd name="csX147" fmla="*/ 598170 w 1643824"/>
                              <a:gd name="csY147" fmla="*/ 120396 h 333981"/>
                              <a:gd name="csX148" fmla="*/ 608838 w 1643824"/>
                              <a:gd name="csY148" fmla="*/ 144685 h 333981"/>
                              <a:gd name="csX149" fmla="*/ 608838 w 1643824"/>
                              <a:gd name="csY149" fmla="*/ 280035 h 333981"/>
                              <a:gd name="csX150" fmla="*/ 598360 w 1643824"/>
                              <a:gd name="csY150" fmla="*/ 305848 h 333981"/>
                              <a:gd name="csX151" fmla="*/ 573214 w 1643824"/>
                              <a:gd name="csY151" fmla="*/ 311277 h 333981"/>
                              <a:gd name="csX152" fmla="*/ 571881 w 1643824"/>
                              <a:gd name="csY152" fmla="*/ 311277 h 333981"/>
                              <a:gd name="csX153" fmla="*/ 571881 w 1643824"/>
                              <a:gd name="csY153" fmla="*/ 329470 h 333981"/>
                              <a:gd name="csX154" fmla="*/ 447389 w 1643824"/>
                              <a:gd name="csY154" fmla="*/ 326327 h 333981"/>
                              <a:gd name="csX155" fmla="*/ 479012 w 1643824"/>
                              <a:gd name="csY155" fmla="*/ 294323 h 333981"/>
                              <a:gd name="csX156" fmla="*/ 481203 w 1643824"/>
                              <a:gd name="csY156" fmla="*/ 294323 h 333981"/>
                              <a:gd name="csX157" fmla="*/ 486823 w 1643824"/>
                              <a:gd name="csY157" fmla="*/ 329470 h 333981"/>
                              <a:gd name="csX158" fmla="*/ 555879 w 1643824"/>
                              <a:gd name="csY158" fmla="*/ 329470 h 333981"/>
                              <a:gd name="csX159" fmla="*/ 555879 w 1643824"/>
                              <a:gd name="csY159" fmla="*/ 311277 h 333981"/>
                              <a:gd name="csX160" fmla="*/ 554545 w 1643824"/>
                              <a:gd name="csY160" fmla="*/ 311277 h 333981"/>
                              <a:gd name="csX161" fmla="*/ 529590 w 1643824"/>
                              <a:gd name="csY161" fmla="*/ 306324 h 333981"/>
                              <a:gd name="csX162" fmla="*/ 518922 w 1643824"/>
                              <a:gd name="csY162" fmla="*/ 282226 h 333981"/>
                              <a:gd name="csX163" fmla="*/ 518922 w 1643824"/>
                              <a:gd name="csY163" fmla="*/ 96964 h 333981"/>
                              <a:gd name="csX164" fmla="*/ 440912 w 1643824"/>
                              <a:gd name="csY164" fmla="*/ 96964 h 333981"/>
                              <a:gd name="csX165" fmla="*/ 440912 w 1643824"/>
                              <a:gd name="csY165" fmla="*/ 115253 h 333981"/>
                              <a:gd name="csX166" fmla="*/ 442246 w 1643824"/>
                              <a:gd name="csY166" fmla="*/ 115253 h 333981"/>
                              <a:gd name="csX167" fmla="*/ 467392 w 1643824"/>
                              <a:gd name="csY167" fmla="*/ 120587 h 333981"/>
                              <a:gd name="csX168" fmla="*/ 477774 w 1643824"/>
                              <a:gd name="csY168" fmla="*/ 146494 h 333981"/>
                              <a:gd name="csX169" fmla="*/ 477774 w 1643824"/>
                              <a:gd name="csY169" fmla="*/ 235839 h 333981"/>
                              <a:gd name="csX170" fmla="*/ 464820 w 1643824"/>
                              <a:gd name="csY170" fmla="*/ 286798 h 333981"/>
                              <a:gd name="csX171" fmla="*/ 423100 w 1643824"/>
                              <a:gd name="csY171" fmla="*/ 305848 h 333981"/>
                              <a:gd name="csX172" fmla="*/ 387096 w 1643824"/>
                              <a:gd name="csY172" fmla="*/ 290322 h 333981"/>
                              <a:gd name="csX173" fmla="*/ 377571 w 1643824"/>
                              <a:gd name="csY173" fmla="*/ 246507 h 333981"/>
                              <a:gd name="csX174" fmla="*/ 377571 w 1643824"/>
                              <a:gd name="csY174" fmla="*/ 96964 h 333981"/>
                              <a:gd name="csX175" fmla="*/ 299942 w 1643824"/>
                              <a:gd name="csY175" fmla="*/ 96964 h 333981"/>
                              <a:gd name="csX176" fmla="*/ 299942 w 1643824"/>
                              <a:gd name="csY176" fmla="*/ 115253 h 333981"/>
                              <a:gd name="csX177" fmla="*/ 301276 w 1643824"/>
                              <a:gd name="csY177" fmla="*/ 115253 h 333981"/>
                              <a:gd name="csX178" fmla="*/ 326136 w 1643824"/>
                              <a:gd name="csY178" fmla="*/ 120396 h 333981"/>
                              <a:gd name="csX179" fmla="*/ 336804 w 1643824"/>
                              <a:gd name="csY179" fmla="*/ 144685 h 333981"/>
                              <a:gd name="csX180" fmla="*/ 336804 w 1643824"/>
                              <a:gd name="csY180" fmla="*/ 248793 h 333981"/>
                              <a:gd name="csX181" fmla="*/ 355854 w 1643824"/>
                              <a:gd name="csY181" fmla="*/ 313658 h 333981"/>
                              <a:gd name="csX182" fmla="*/ 408813 w 1643824"/>
                              <a:gd name="csY182" fmla="*/ 333851 h 333981"/>
                              <a:gd name="csX183" fmla="*/ 447770 w 1643824"/>
                              <a:gd name="csY183" fmla="*/ 326231 h 333981"/>
                              <a:gd name="csX184" fmla="*/ 84963 w 1643824"/>
                              <a:gd name="csY184" fmla="*/ 41910 h 333981"/>
                              <a:gd name="csX185" fmla="*/ 123063 w 1643824"/>
                              <a:gd name="csY185" fmla="*/ 41910 h 333981"/>
                              <a:gd name="csX186" fmla="*/ 200025 w 1643824"/>
                              <a:gd name="csY186" fmla="*/ 76200 h 333981"/>
                              <a:gd name="csX187" fmla="*/ 225838 w 1643824"/>
                              <a:gd name="csY187" fmla="*/ 174688 h 333981"/>
                              <a:gd name="csX188" fmla="*/ 200025 w 1643824"/>
                              <a:gd name="csY188" fmla="*/ 273368 h 333981"/>
                              <a:gd name="csX189" fmla="*/ 122587 w 1643824"/>
                              <a:gd name="csY189" fmla="*/ 307848 h 333981"/>
                              <a:gd name="csX190" fmla="*/ 84487 w 1643824"/>
                              <a:gd name="csY190" fmla="*/ 307848 h 333981"/>
                              <a:gd name="csX191" fmla="*/ 132588 w 1643824"/>
                              <a:gd name="csY191" fmla="*/ 329946 h 333981"/>
                              <a:gd name="csX192" fmla="*/ 210884 w 1643824"/>
                              <a:gd name="csY192" fmla="*/ 310896 h 333981"/>
                              <a:gd name="csX193" fmla="*/ 258509 w 1643824"/>
                              <a:gd name="csY193" fmla="*/ 257080 h 333981"/>
                              <a:gd name="csX194" fmla="*/ 274415 w 1643824"/>
                              <a:gd name="csY194" fmla="*/ 174688 h 333981"/>
                              <a:gd name="csX195" fmla="*/ 237077 w 1643824"/>
                              <a:gd name="csY195" fmla="*/ 60388 h 333981"/>
                              <a:gd name="csX196" fmla="*/ 132969 w 1643824"/>
                              <a:gd name="csY196" fmla="*/ 20098 h 333981"/>
                              <a:gd name="csX197" fmla="*/ 0 w 1643824"/>
                              <a:gd name="csY197" fmla="*/ 20098 h 333981"/>
                              <a:gd name="csX198" fmla="*/ 0 w 1643824"/>
                              <a:gd name="csY198" fmla="*/ 38290 h 333981"/>
                              <a:gd name="csX199" fmla="*/ 5620 w 1643824"/>
                              <a:gd name="csY199" fmla="*/ 38290 h 333981"/>
                              <a:gd name="csX200" fmla="*/ 30575 w 1643824"/>
                              <a:gd name="csY200" fmla="*/ 43529 h 333981"/>
                              <a:gd name="csX201" fmla="*/ 41148 w 1643824"/>
                              <a:gd name="csY201" fmla="*/ 67818 h 333981"/>
                              <a:gd name="csX202" fmla="*/ 41148 w 1643824"/>
                              <a:gd name="csY202" fmla="*/ 280035 h 333981"/>
                              <a:gd name="csX203" fmla="*/ 30766 w 1643824"/>
                              <a:gd name="csY203" fmla="*/ 305848 h 333981"/>
                              <a:gd name="csX204" fmla="*/ 5620 w 1643824"/>
                              <a:gd name="csY204" fmla="*/ 311277 h 333981"/>
                              <a:gd name="csX205" fmla="*/ 0 w 1643824"/>
                              <a:gd name="csY205" fmla="*/ 311277 h 333981"/>
                              <a:gd name="csX206" fmla="*/ 0 w 1643824"/>
                              <a:gd name="csY206" fmla="*/ 329470 h 333981"/>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 ang="0">
                                <a:pos x="csX48" y="csY48"/>
                              </a:cxn>
                              <a:cxn ang="0">
                                <a:pos x="csX49" y="csY49"/>
                              </a:cxn>
                              <a:cxn ang="0">
                                <a:pos x="csX50" y="csY50"/>
                              </a:cxn>
                              <a:cxn ang="0">
                                <a:pos x="csX51" y="csY51"/>
                              </a:cxn>
                              <a:cxn ang="0">
                                <a:pos x="csX52" y="csY52"/>
                              </a:cxn>
                              <a:cxn ang="0">
                                <a:pos x="csX53" y="csY53"/>
                              </a:cxn>
                              <a:cxn ang="0">
                                <a:pos x="csX54" y="csY54"/>
                              </a:cxn>
                              <a:cxn ang="0">
                                <a:pos x="csX55" y="csY55"/>
                              </a:cxn>
                              <a:cxn ang="0">
                                <a:pos x="csX56" y="csY56"/>
                              </a:cxn>
                              <a:cxn ang="0">
                                <a:pos x="csX57" y="csY57"/>
                              </a:cxn>
                              <a:cxn ang="0">
                                <a:pos x="csX58" y="csY58"/>
                              </a:cxn>
                              <a:cxn ang="0">
                                <a:pos x="csX59" y="csY59"/>
                              </a:cxn>
                              <a:cxn ang="0">
                                <a:pos x="csX60" y="csY60"/>
                              </a:cxn>
                              <a:cxn ang="0">
                                <a:pos x="csX61" y="csY61"/>
                              </a:cxn>
                              <a:cxn ang="0">
                                <a:pos x="csX62" y="csY62"/>
                              </a:cxn>
                              <a:cxn ang="0">
                                <a:pos x="csX63" y="csY63"/>
                              </a:cxn>
                              <a:cxn ang="0">
                                <a:pos x="csX64" y="csY64"/>
                              </a:cxn>
                              <a:cxn ang="0">
                                <a:pos x="csX65" y="csY65"/>
                              </a:cxn>
                              <a:cxn ang="0">
                                <a:pos x="csX66" y="csY66"/>
                              </a:cxn>
                              <a:cxn ang="0">
                                <a:pos x="csX67" y="csY67"/>
                              </a:cxn>
                              <a:cxn ang="0">
                                <a:pos x="csX68" y="csY68"/>
                              </a:cxn>
                              <a:cxn ang="0">
                                <a:pos x="csX69" y="csY69"/>
                              </a:cxn>
                              <a:cxn ang="0">
                                <a:pos x="csX70" y="csY70"/>
                              </a:cxn>
                              <a:cxn ang="0">
                                <a:pos x="csX71" y="csY71"/>
                              </a:cxn>
                              <a:cxn ang="0">
                                <a:pos x="csX72" y="csY72"/>
                              </a:cxn>
                              <a:cxn ang="0">
                                <a:pos x="csX73" y="csY73"/>
                              </a:cxn>
                              <a:cxn ang="0">
                                <a:pos x="csX74" y="csY74"/>
                              </a:cxn>
                              <a:cxn ang="0">
                                <a:pos x="csX75" y="csY75"/>
                              </a:cxn>
                              <a:cxn ang="0">
                                <a:pos x="csX76" y="csY76"/>
                              </a:cxn>
                              <a:cxn ang="0">
                                <a:pos x="csX77" y="csY77"/>
                              </a:cxn>
                              <a:cxn ang="0">
                                <a:pos x="csX78" y="csY78"/>
                              </a:cxn>
                              <a:cxn ang="0">
                                <a:pos x="csX79" y="csY79"/>
                              </a:cxn>
                              <a:cxn ang="0">
                                <a:pos x="csX80" y="csY80"/>
                              </a:cxn>
                              <a:cxn ang="0">
                                <a:pos x="csX81" y="csY81"/>
                              </a:cxn>
                              <a:cxn ang="0">
                                <a:pos x="csX82" y="csY82"/>
                              </a:cxn>
                              <a:cxn ang="0">
                                <a:pos x="csX83" y="csY83"/>
                              </a:cxn>
                              <a:cxn ang="0">
                                <a:pos x="csX84" y="csY84"/>
                              </a:cxn>
                              <a:cxn ang="0">
                                <a:pos x="csX85" y="csY85"/>
                              </a:cxn>
                              <a:cxn ang="0">
                                <a:pos x="csX86" y="csY86"/>
                              </a:cxn>
                              <a:cxn ang="0">
                                <a:pos x="csX87" y="csY87"/>
                              </a:cxn>
                              <a:cxn ang="0">
                                <a:pos x="csX88" y="csY88"/>
                              </a:cxn>
                              <a:cxn ang="0">
                                <a:pos x="csX89" y="csY89"/>
                              </a:cxn>
                              <a:cxn ang="0">
                                <a:pos x="csX90" y="csY90"/>
                              </a:cxn>
                              <a:cxn ang="0">
                                <a:pos x="csX91" y="csY91"/>
                              </a:cxn>
                              <a:cxn ang="0">
                                <a:pos x="csX92" y="csY92"/>
                              </a:cxn>
                              <a:cxn ang="0">
                                <a:pos x="csX93" y="csY93"/>
                              </a:cxn>
                              <a:cxn ang="0">
                                <a:pos x="csX94" y="csY94"/>
                              </a:cxn>
                              <a:cxn ang="0">
                                <a:pos x="csX95" y="csY95"/>
                              </a:cxn>
                              <a:cxn ang="0">
                                <a:pos x="csX96" y="csY96"/>
                              </a:cxn>
                              <a:cxn ang="0">
                                <a:pos x="csX97" y="csY97"/>
                              </a:cxn>
                              <a:cxn ang="0">
                                <a:pos x="csX98" y="csY98"/>
                              </a:cxn>
                              <a:cxn ang="0">
                                <a:pos x="csX99" y="csY99"/>
                              </a:cxn>
                              <a:cxn ang="0">
                                <a:pos x="csX100" y="csY100"/>
                              </a:cxn>
                              <a:cxn ang="0">
                                <a:pos x="csX101" y="csY101"/>
                              </a:cxn>
                              <a:cxn ang="0">
                                <a:pos x="csX102" y="csY102"/>
                              </a:cxn>
                              <a:cxn ang="0">
                                <a:pos x="csX103" y="csY103"/>
                              </a:cxn>
                              <a:cxn ang="0">
                                <a:pos x="csX104" y="csY104"/>
                              </a:cxn>
                              <a:cxn ang="0">
                                <a:pos x="csX105" y="csY105"/>
                              </a:cxn>
                              <a:cxn ang="0">
                                <a:pos x="csX106" y="csY106"/>
                              </a:cxn>
                              <a:cxn ang="0">
                                <a:pos x="csX107" y="csY107"/>
                              </a:cxn>
                              <a:cxn ang="0">
                                <a:pos x="csX108" y="csY108"/>
                              </a:cxn>
                              <a:cxn ang="0">
                                <a:pos x="csX109" y="csY109"/>
                              </a:cxn>
                              <a:cxn ang="0">
                                <a:pos x="csX110" y="csY110"/>
                              </a:cxn>
                              <a:cxn ang="0">
                                <a:pos x="csX111" y="csY111"/>
                              </a:cxn>
                              <a:cxn ang="0">
                                <a:pos x="csX112" y="csY112"/>
                              </a:cxn>
                              <a:cxn ang="0">
                                <a:pos x="csX113" y="csY113"/>
                              </a:cxn>
                              <a:cxn ang="0">
                                <a:pos x="csX114" y="csY114"/>
                              </a:cxn>
                              <a:cxn ang="0">
                                <a:pos x="csX115" y="csY115"/>
                              </a:cxn>
                              <a:cxn ang="0">
                                <a:pos x="csX116" y="csY116"/>
                              </a:cxn>
                              <a:cxn ang="0">
                                <a:pos x="csX117" y="csY117"/>
                              </a:cxn>
                              <a:cxn ang="0">
                                <a:pos x="csX118" y="csY118"/>
                              </a:cxn>
                              <a:cxn ang="0">
                                <a:pos x="csX119" y="csY119"/>
                              </a:cxn>
                              <a:cxn ang="0">
                                <a:pos x="csX120" y="csY120"/>
                              </a:cxn>
                              <a:cxn ang="0">
                                <a:pos x="csX121" y="csY121"/>
                              </a:cxn>
                              <a:cxn ang="0">
                                <a:pos x="csX122" y="csY122"/>
                              </a:cxn>
                              <a:cxn ang="0">
                                <a:pos x="csX123" y="csY123"/>
                              </a:cxn>
                              <a:cxn ang="0">
                                <a:pos x="csX124" y="csY124"/>
                              </a:cxn>
                              <a:cxn ang="0">
                                <a:pos x="csX125" y="csY125"/>
                              </a:cxn>
                              <a:cxn ang="0">
                                <a:pos x="csX126" y="csY126"/>
                              </a:cxn>
                              <a:cxn ang="0">
                                <a:pos x="csX127" y="csY127"/>
                              </a:cxn>
                              <a:cxn ang="0">
                                <a:pos x="csX128" y="csY128"/>
                              </a:cxn>
                              <a:cxn ang="0">
                                <a:pos x="csX129" y="csY129"/>
                              </a:cxn>
                              <a:cxn ang="0">
                                <a:pos x="csX130" y="csY130"/>
                              </a:cxn>
                              <a:cxn ang="0">
                                <a:pos x="csX131" y="csY131"/>
                              </a:cxn>
                              <a:cxn ang="0">
                                <a:pos x="csX132" y="csY132"/>
                              </a:cxn>
                              <a:cxn ang="0">
                                <a:pos x="csX133" y="csY133"/>
                              </a:cxn>
                              <a:cxn ang="0">
                                <a:pos x="csX134" y="csY134"/>
                              </a:cxn>
                              <a:cxn ang="0">
                                <a:pos x="csX135" y="csY135"/>
                              </a:cxn>
                              <a:cxn ang="0">
                                <a:pos x="csX136" y="csY136"/>
                              </a:cxn>
                              <a:cxn ang="0">
                                <a:pos x="csX137" y="csY137"/>
                              </a:cxn>
                              <a:cxn ang="0">
                                <a:pos x="csX138" y="csY138"/>
                              </a:cxn>
                              <a:cxn ang="0">
                                <a:pos x="csX139" y="csY139"/>
                              </a:cxn>
                              <a:cxn ang="0">
                                <a:pos x="csX140" y="csY140"/>
                              </a:cxn>
                              <a:cxn ang="0">
                                <a:pos x="csX141" y="csY141"/>
                              </a:cxn>
                              <a:cxn ang="0">
                                <a:pos x="csX142" y="csY142"/>
                              </a:cxn>
                              <a:cxn ang="0">
                                <a:pos x="csX143" y="csY143"/>
                              </a:cxn>
                              <a:cxn ang="0">
                                <a:pos x="csX144" y="csY144"/>
                              </a:cxn>
                              <a:cxn ang="0">
                                <a:pos x="csX145" y="csY145"/>
                              </a:cxn>
                              <a:cxn ang="0">
                                <a:pos x="csX146" y="csY146"/>
                              </a:cxn>
                              <a:cxn ang="0">
                                <a:pos x="csX147" y="csY147"/>
                              </a:cxn>
                              <a:cxn ang="0">
                                <a:pos x="csX148" y="csY148"/>
                              </a:cxn>
                              <a:cxn ang="0">
                                <a:pos x="csX149" y="csY149"/>
                              </a:cxn>
                              <a:cxn ang="0">
                                <a:pos x="csX150" y="csY150"/>
                              </a:cxn>
                              <a:cxn ang="0">
                                <a:pos x="csX151" y="csY151"/>
                              </a:cxn>
                              <a:cxn ang="0">
                                <a:pos x="csX152" y="csY152"/>
                              </a:cxn>
                              <a:cxn ang="0">
                                <a:pos x="csX153" y="csY153"/>
                              </a:cxn>
                              <a:cxn ang="0">
                                <a:pos x="csX154" y="csY154"/>
                              </a:cxn>
                              <a:cxn ang="0">
                                <a:pos x="csX155" y="csY155"/>
                              </a:cxn>
                              <a:cxn ang="0">
                                <a:pos x="csX156" y="csY156"/>
                              </a:cxn>
                              <a:cxn ang="0">
                                <a:pos x="csX157" y="csY157"/>
                              </a:cxn>
                              <a:cxn ang="0">
                                <a:pos x="csX158" y="csY158"/>
                              </a:cxn>
                              <a:cxn ang="0">
                                <a:pos x="csX159" y="csY159"/>
                              </a:cxn>
                              <a:cxn ang="0">
                                <a:pos x="csX160" y="csY160"/>
                              </a:cxn>
                              <a:cxn ang="0">
                                <a:pos x="csX161" y="csY161"/>
                              </a:cxn>
                              <a:cxn ang="0">
                                <a:pos x="csX162" y="csY162"/>
                              </a:cxn>
                              <a:cxn ang="0">
                                <a:pos x="csX163" y="csY163"/>
                              </a:cxn>
                              <a:cxn ang="0">
                                <a:pos x="csX164" y="csY164"/>
                              </a:cxn>
                              <a:cxn ang="0">
                                <a:pos x="csX165" y="csY165"/>
                              </a:cxn>
                              <a:cxn ang="0">
                                <a:pos x="csX166" y="csY166"/>
                              </a:cxn>
                              <a:cxn ang="0">
                                <a:pos x="csX167" y="csY167"/>
                              </a:cxn>
                              <a:cxn ang="0">
                                <a:pos x="csX168" y="csY168"/>
                              </a:cxn>
                              <a:cxn ang="0">
                                <a:pos x="csX169" y="csY169"/>
                              </a:cxn>
                              <a:cxn ang="0">
                                <a:pos x="csX170" y="csY170"/>
                              </a:cxn>
                              <a:cxn ang="0">
                                <a:pos x="csX171" y="csY171"/>
                              </a:cxn>
                              <a:cxn ang="0">
                                <a:pos x="csX172" y="csY172"/>
                              </a:cxn>
                              <a:cxn ang="0">
                                <a:pos x="csX173" y="csY173"/>
                              </a:cxn>
                              <a:cxn ang="0">
                                <a:pos x="csX174" y="csY174"/>
                              </a:cxn>
                              <a:cxn ang="0">
                                <a:pos x="csX175" y="csY175"/>
                              </a:cxn>
                              <a:cxn ang="0">
                                <a:pos x="csX176" y="csY176"/>
                              </a:cxn>
                              <a:cxn ang="0">
                                <a:pos x="csX177" y="csY177"/>
                              </a:cxn>
                              <a:cxn ang="0">
                                <a:pos x="csX178" y="csY178"/>
                              </a:cxn>
                              <a:cxn ang="0">
                                <a:pos x="csX179" y="csY179"/>
                              </a:cxn>
                              <a:cxn ang="0">
                                <a:pos x="csX180" y="csY180"/>
                              </a:cxn>
                              <a:cxn ang="0">
                                <a:pos x="csX181" y="csY181"/>
                              </a:cxn>
                              <a:cxn ang="0">
                                <a:pos x="csX182" y="csY182"/>
                              </a:cxn>
                              <a:cxn ang="0">
                                <a:pos x="csX183" y="csY183"/>
                              </a:cxn>
                              <a:cxn ang="0">
                                <a:pos x="csX184" y="csY184"/>
                              </a:cxn>
                              <a:cxn ang="0">
                                <a:pos x="csX185" y="csY185"/>
                              </a:cxn>
                              <a:cxn ang="0">
                                <a:pos x="csX186" y="csY186"/>
                              </a:cxn>
                              <a:cxn ang="0">
                                <a:pos x="csX187" y="csY187"/>
                              </a:cxn>
                              <a:cxn ang="0">
                                <a:pos x="csX188" y="csY188"/>
                              </a:cxn>
                              <a:cxn ang="0">
                                <a:pos x="csX189" y="csY189"/>
                              </a:cxn>
                              <a:cxn ang="0">
                                <a:pos x="csX190" y="csY190"/>
                              </a:cxn>
                              <a:cxn ang="0">
                                <a:pos x="csX191" y="csY191"/>
                              </a:cxn>
                              <a:cxn ang="0">
                                <a:pos x="csX192" y="csY192"/>
                              </a:cxn>
                              <a:cxn ang="0">
                                <a:pos x="csX193" y="csY193"/>
                              </a:cxn>
                              <a:cxn ang="0">
                                <a:pos x="csX194" y="csY194"/>
                              </a:cxn>
                              <a:cxn ang="0">
                                <a:pos x="csX195" y="csY195"/>
                              </a:cxn>
                              <a:cxn ang="0">
                                <a:pos x="csX196" y="csY196"/>
                              </a:cxn>
                              <a:cxn ang="0">
                                <a:pos x="csX197" y="csY197"/>
                              </a:cxn>
                              <a:cxn ang="0">
                                <a:pos x="csX198" y="csY198"/>
                              </a:cxn>
                              <a:cxn ang="0">
                                <a:pos x="csX199" y="csY199"/>
                              </a:cxn>
                              <a:cxn ang="0">
                                <a:pos x="csX200" y="csY200"/>
                              </a:cxn>
                              <a:cxn ang="0">
                                <a:pos x="csX201" y="csY201"/>
                              </a:cxn>
                              <a:cxn ang="0">
                                <a:pos x="csX202" y="csY202"/>
                              </a:cxn>
                              <a:cxn ang="0">
                                <a:pos x="csX203" y="csY203"/>
                              </a:cxn>
                              <a:cxn ang="0">
                                <a:pos x="csX204" y="csY204"/>
                              </a:cxn>
                              <a:cxn ang="0">
                                <a:pos x="csX205" y="csY205"/>
                              </a:cxn>
                              <a:cxn ang="0">
                                <a:pos x="csX206" y="csY206"/>
                              </a:cxn>
                            </a:cxnLst>
                            <a:rect l="l" t="t" r="r" b="b"/>
                            <a:pathLst>
                              <a:path w="1643824" h="333981">
                                <a:moveTo>
                                  <a:pt x="1375029" y="329470"/>
                                </a:moveTo>
                                <a:lnTo>
                                  <a:pt x="1375029" y="311277"/>
                                </a:lnTo>
                                <a:lnTo>
                                  <a:pt x="1373791" y="311277"/>
                                </a:lnTo>
                                <a:cubicBezTo>
                                  <a:pt x="1365208" y="311490"/>
                                  <a:pt x="1356686" y="309798"/>
                                  <a:pt x="1348835" y="306324"/>
                                </a:cubicBezTo>
                                <a:cubicBezTo>
                                  <a:pt x="1341692" y="302990"/>
                                  <a:pt x="1338167" y="294989"/>
                                  <a:pt x="1338167" y="282226"/>
                                </a:cubicBezTo>
                                <a:lnTo>
                                  <a:pt x="1338167" y="190690"/>
                                </a:lnTo>
                                <a:cubicBezTo>
                                  <a:pt x="1338080" y="178965"/>
                                  <a:pt x="1339684" y="167288"/>
                                  <a:pt x="1342930" y="156019"/>
                                </a:cubicBezTo>
                                <a:cubicBezTo>
                                  <a:pt x="1345617" y="146122"/>
                                  <a:pt x="1351030" y="137179"/>
                                  <a:pt x="1358551" y="130207"/>
                                </a:cubicBezTo>
                                <a:cubicBezTo>
                                  <a:pt x="1366986" y="123350"/>
                                  <a:pt x="1377708" y="119946"/>
                                  <a:pt x="1388554" y="120682"/>
                                </a:cubicBezTo>
                                <a:cubicBezTo>
                                  <a:pt x="1402262" y="119308"/>
                                  <a:pt x="1415682" y="125241"/>
                                  <a:pt x="1423892" y="136303"/>
                                </a:cubicBezTo>
                                <a:cubicBezTo>
                                  <a:pt x="1431390" y="149640"/>
                                  <a:pt x="1434926" y="164840"/>
                                  <a:pt x="1434084" y="180118"/>
                                </a:cubicBezTo>
                                <a:lnTo>
                                  <a:pt x="1434084" y="329755"/>
                                </a:lnTo>
                                <a:lnTo>
                                  <a:pt x="1509522" y="329755"/>
                                </a:lnTo>
                                <a:lnTo>
                                  <a:pt x="1509522" y="311563"/>
                                </a:lnTo>
                                <a:lnTo>
                                  <a:pt x="1508189" y="311563"/>
                                </a:lnTo>
                                <a:cubicBezTo>
                                  <a:pt x="1499850" y="311887"/>
                                  <a:pt x="1491573" y="310015"/>
                                  <a:pt x="1484185" y="306134"/>
                                </a:cubicBezTo>
                                <a:cubicBezTo>
                                  <a:pt x="1477899" y="302514"/>
                                  <a:pt x="1474660" y="293942"/>
                                  <a:pt x="1474660" y="280321"/>
                                </a:cubicBezTo>
                                <a:lnTo>
                                  <a:pt x="1474660" y="184785"/>
                                </a:lnTo>
                                <a:cubicBezTo>
                                  <a:pt x="1474553" y="173916"/>
                                  <a:pt x="1476095" y="163093"/>
                                  <a:pt x="1479232" y="152686"/>
                                </a:cubicBezTo>
                                <a:cubicBezTo>
                                  <a:pt x="1481835" y="143535"/>
                                  <a:pt x="1487029" y="135331"/>
                                  <a:pt x="1494187" y="129064"/>
                                </a:cubicBezTo>
                                <a:cubicBezTo>
                                  <a:pt x="1502301" y="122694"/>
                                  <a:pt x="1512464" y="119510"/>
                                  <a:pt x="1522762" y="120110"/>
                                </a:cubicBezTo>
                                <a:cubicBezTo>
                                  <a:pt x="1536501" y="118702"/>
                                  <a:pt x="1549966" y="124638"/>
                                  <a:pt x="1558195" y="135731"/>
                                </a:cubicBezTo>
                                <a:cubicBezTo>
                                  <a:pt x="1565692" y="149069"/>
                                  <a:pt x="1569228" y="164269"/>
                                  <a:pt x="1568387" y="179546"/>
                                </a:cubicBezTo>
                                <a:lnTo>
                                  <a:pt x="1568387" y="329184"/>
                                </a:lnTo>
                                <a:lnTo>
                                  <a:pt x="1643825" y="329184"/>
                                </a:lnTo>
                                <a:lnTo>
                                  <a:pt x="1643825" y="310991"/>
                                </a:lnTo>
                                <a:lnTo>
                                  <a:pt x="1642491" y="310991"/>
                                </a:lnTo>
                                <a:cubicBezTo>
                                  <a:pt x="1634153" y="311316"/>
                                  <a:pt x="1625875" y="309443"/>
                                  <a:pt x="1618488" y="305562"/>
                                </a:cubicBezTo>
                                <a:cubicBezTo>
                                  <a:pt x="1612202" y="301943"/>
                                  <a:pt x="1608963" y="293370"/>
                                  <a:pt x="1608963" y="279749"/>
                                </a:cubicBezTo>
                                <a:lnTo>
                                  <a:pt x="1608963" y="177641"/>
                                </a:lnTo>
                                <a:cubicBezTo>
                                  <a:pt x="1608963" y="147923"/>
                                  <a:pt x="1602613" y="126333"/>
                                  <a:pt x="1589913" y="112871"/>
                                </a:cubicBezTo>
                                <a:cubicBezTo>
                                  <a:pt x="1576320" y="98985"/>
                                  <a:pt x="1557405" y="91627"/>
                                  <a:pt x="1538002" y="92678"/>
                                </a:cubicBezTo>
                                <a:cubicBezTo>
                                  <a:pt x="1525098" y="92572"/>
                                  <a:pt x="1512314" y="95168"/>
                                  <a:pt x="1500473" y="100298"/>
                                </a:cubicBezTo>
                                <a:cubicBezTo>
                                  <a:pt x="1486966" y="107125"/>
                                  <a:pt x="1476184" y="118345"/>
                                  <a:pt x="1469898" y="132112"/>
                                </a:cubicBezTo>
                                <a:lnTo>
                                  <a:pt x="1466469" y="132112"/>
                                </a:lnTo>
                                <a:cubicBezTo>
                                  <a:pt x="1462201" y="119137"/>
                                  <a:pt x="1453230" y="108229"/>
                                  <a:pt x="1441323" y="101537"/>
                                </a:cubicBezTo>
                                <a:cubicBezTo>
                                  <a:pt x="1429545" y="95496"/>
                                  <a:pt x="1416458" y="92453"/>
                                  <a:pt x="1403223" y="92678"/>
                                </a:cubicBezTo>
                                <a:cubicBezTo>
                                  <a:pt x="1390740" y="92482"/>
                                  <a:pt x="1378372" y="95085"/>
                                  <a:pt x="1367028" y="100298"/>
                                </a:cubicBezTo>
                                <a:cubicBezTo>
                                  <a:pt x="1354120" y="107491"/>
                                  <a:pt x="1343868" y="118645"/>
                                  <a:pt x="1337786" y="132112"/>
                                </a:cubicBezTo>
                                <a:lnTo>
                                  <a:pt x="1336262" y="132112"/>
                                </a:lnTo>
                                <a:lnTo>
                                  <a:pt x="1330643" y="96964"/>
                                </a:lnTo>
                                <a:lnTo>
                                  <a:pt x="1262539" y="96964"/>
                                </a:lnTo>
                                <a:lnTo>
                                  <a:pt x="1262539" y="115253"/>
                                </a:lnTo>
                                <a:lnTo>
                                  <a:pt x="1263777" y="115253"/>
                                </a:lnTo>
                                <a:cubicBezTo>
                                  <a:pt x="1272049" y="114958"/>
                                  <a:pt x="1280265" y="116725"/>
                                  <a:pt x="1287685" y="120396"/>
                                </a:cubicBezTo>
                                <a:cubicBezTo>
                                  <a:pt x="1294067" y="123920"/>
                                  <a:pt x="1297210" y="132016"/>
                                  <a:pt x="1297210" y="144685"/>
                                </a:cubicBezTo>
                                <a:lnTo>
                                  <a:pt x="1297210" y="280035"/>
                                </a:lnTo>
                                <a:cubicBezTo>
                                  <a:pt x="1297210" y="293656"/>
                                  <a:pt x="1294162" y="302228"/>
                                  <a:pt x="1287685" y="305848"/>
                                </a:cubicBezTo>
                                <a:cubicBezTo>
                                  <a:pt x="1280269" y="309745"/>
                                  <a:pt x="1271957" y="311618"/>
                                  <a:pt x="1263587" y="311277"/>
                                </a:cubicBezTo>
                                <a:lnTo>
                                  <a:pt x="1257967" y="311277"/>
                                </a:lnTo>
                                <a:lnTo>
                                  <a:pt x="1257967" y="329470"/>
                                </a:lnTo>
                                <a:close/>
                                <a:moveTo>
                                  <a:pt x="1074420" y="266605"/>
                                </a:moveTo>
                                <a:cubicBezTo>
                                  <a:pt x="1073421" y="252270"/>
                                  <a:pt x="1078544" y="238183"/>
                                  <a:pt x="1088517" y="227838"/>
                                </a:cubicBezTo>
                                <a:cubicBezTo>
                                  <a:pt x="1097915" y="219012"/>
                                  <a:pt x="1114901" y="213995"/>
                                  <a:pt x="1139476" y="212788"/>
                                </a:cubicBezTo>
                                <a:lnTo>
                                  <a:pt x="1167289" y="211550"/>
                                </a:lnTo>
                                <a:lnTo>
                                  <a:pt x="1167289" y="246698"/>
                                </a:lnTo>
                                <a:cubicBezTo>
                                  <a:pt x="1168118" y="262856"/>
                                  <a:pt x="1162500" y="278684"/>
                                  <a:pt x="1151668" y="290703"/>
                                </a:cubicBezTo>
                                <a:cubicBezTo>
                                  <a:pt x="1140567" y="301838"/>
                                  <a:pt x="1125272" y="307756"/>
                                  <a:pt x="1109567" y="306991"/>
                                </a:cubicBezTo>
                                <a:cubicBezTo>
                                  <a:pt x="1086136" y="306991"/>
                                  <a:pt x="1074420" y="293465"/>
                                  <a:pt x="1074420" y="266605"/>
                                </a:cubicBezTo>
                                <a:moveTo>
                                  <a:pt x="1129093" y="328422"/>
                                </a:moveTo>
                                <a:cubicBezTo>
                                  <a:pt x="1136798" y="324898"/>
                                  <a:pt x="1143726" y="319880"/>
                                  <a:pt x="1149477" y="313658"/>
                                </a:cubicBezTo>
                                <a:cubicBezTo>
                                  <a:pt x="1155794" y="306839"/>
                                  <a:pt x="1161740" y="299685"/>
                                  <a:pt x="1167289" y="292227"/>
                                </a:cubicBezTo>
                                <a:lnTo>
                                  <a:pt x="1170718" y="292227"/>
                                </a:lnTo>
                                <a:lnTo>
                                  <a:pt x="1177671" y="329470"/>
                                </a:lnTo>
                                <a:lnTo>
                                  <a:pt x="1236250" y="329470"/>
                                </a:lnTo>
                                <a:lnTo>
                                  <a:pt x="1236250" y="311277"/>
                                </a:lnTo>
                                <a:lnTo>
                                  <a:pt x="1234916" y="311277"/>
                                </a:lnTo>
                                <a:cubicBezTo>
                                  <a:pt x="1227400" y="312049"/>
                                  <a:pt x="1219896" y="309708"/>
                                  <a:pt x="1214152" y="304800"/>
                                </a:cubicBezTo>
                                <a:cubicBezTo>
                                  <a:pt x="1209238" y="297533"/>
                                  <a:pt x="1207076" y="288752"/>
                                  <a:pt x="1208056" y="280035"/>
                                </a:cubicBezTo>
                                <a:lnTo>
                                  <a:pt x="1208056" y="167735"/>
                                </a:lnTo>
                                <a:cubicBezTo>
                                  <a:pt x="1208056" y="140208"/>
                                  <a:pt x="1201484" y="120872"/>
                                  <a:pt x="1188339" y="109538"/>
                                </a:cubicBezTo>
                                <a:cubicBezTo>
                                  <a:pt x="1175194" y="98203"/>
                                  <a:pt x="1155287" y="92678"/>
                                  <a:pt x="1128713" y="92678"/>
                                </a:cubicBezTo>
                                <a:cubicBezTo>
                                  <a:pt x="1115486" y="92527"/>
                                  <a:pt x="1102286" y="93902"/>
                                  <a:pt x="1089374" y="96774"/>
                                </a:cubicBezTo>
                                <a:cubicBezTo>
                                  <a:pt x="1078896" y="98851"/>
                                  <a:pt x="1069085" y="103462"/>
                                  <a:pt x="1060799" y="110204"/>
                                </a:cubicBezTo>
                                <a:cubicBezTo>
                                  <a:pt x="1053950" y="116302"/>
                                  <a:pt x="1050178" y="125138"/>
                                  <a:pt x="1050512" y="134303"/>
                                </a:cubicBezTo>
                                <a:cubicBezTo>
                                  <a:pt x="1049767" y="142506"/>
                                  <a:pt x="1053383" y="150498"/>
                                  <a:pt x="1060037" y="155353"/>
                                </a:cubicBezTo>
                                <a:cubicBezTo>
                                  <a:pt x="1068403" y="160090"/>
                                  <a:pt x="1077972" y="162276"/>
                                  <a:pt x="1087564" y="161639"/>
                                </a:cubicBezTo>
                                <a:cubicBezTo>
                                  <a:pt x="1087469" y="153454"/>
                                  <a:pt x="1088430" y="145290"/>
                                  <a:pt x="1090422" y="137351"/>
                                </a:cubicBezTo>
                                <a:cubicBezTo>
                                  <a:pt x="1092010" y="130483"/>
                                  <a:pt x="1096081" y="124444"/>
                                  <a:pt x="1101852" y="120396"/>
                                </a:cubicBezTo>
                                <a:cubicBezTo>
                                  <a:pt x="1109354" y="115951"/>
                                  <a:pt x="1118005" y="113830"/>
                                  <a:pt x="1126712" y="114300"/>
                                </a:cubicBezTo>
                                <a:cubicBezTo>
                                  <a:pt x="1136066" y="113618"/>
                                  <a:pt x="1145380" y="116064"/>
                                  <a:pt x="1153192" y="121253"/>
                                </a:cubicBezTo>
                                <a:cubicBezTo>
                                  <a:pt x="1159081" y="126083"/>
                                  <a:pt x="1163091" y="132823"/>
                                  <a:pt x="1164527" y="140303"/>
                                </a:cubicBezTo>
                                <a:cubicBezTo>
                                  <a:pt x="1166355" y="149362"/>
                                  <a:pt x="1167217" y="158590"/>
                                  <a:pt x="1167098" y="167831"/>
                                </a:cubicBezTo>
                                <a:lnTo>
                                  <a:pt x="1167098" y="193834"/>
                                </a:lnTo>
                                <a:lnTo>
                                  <a:pt x="1131094" y="195072"/>
                                </a:lnTo>
                                <a:cubicBezTo>
                                  <a:pt x="1097852" y="196310"/>
                                  <a:pt x="1072991" y="202311"/>
                                  <a:pt x="1056704" y="213360"/>
                                </a:cubicBezTo>
                                <a:cubicBezTo>
                                  <a:pt x="1040064" y="224874"/>
                                  <a:pt x="1030754" y="244328"/>
                                  <a:pt x="1032224" y="264509"/>
                                </a:cubicBezTo>
                                <a:cubicBezTo>
                                  <a:pt x="1032224" y="288227"/>
                                  <a:pt x="1038511" y="305753"/>
                                  <a:pt x="1051274" y="316992"/>
                                </a:cubicBezTo>
                                <a:cubicBezTo>
                                  <a:pt x="1073267" y="334350"/>
                                  <a:pt x="1102816" y="338737"/>
                                  <a:pt x="1128903" y="328517"/>
                                </a:cubicBezTo>
                                <a:moveTo>
                                  <a:pt x="876872" y="329565"/>
                                </a:moveTo>
                                <a:lnTo>
                                  <a:pt x="876872" y="311372"/>
                                </a:lnTo>
                                <a:lnTo>
                                  <a:pt x="875538" y="311372"/>
                                </a:lnTo>
                                <a:cubicBezTo>
                                  <a:pt x="866985" y="311603"/>
                                  <a:pt x="858489" y="309910"/>
                                  <a:pt x="850678" y="306419"/>
                                </a:cubicBezTo>
                                <a:cubicBezTo>
                                  <a:pt x="843534" y="303086"/>
                                  <a:pt x="840010" y="295085"/>
                                  <a:pt x="840010" y="282321"/>
                                </a:cubicBezTo>
                                <a:lnTo>
                                  <a:pt x="840010" y="190690"/>
                                </a:lnTo>
                                <a:cubicBezTo>
                                  <a:pt x="839111" y="172754"/>
                                  <a:pt x="843553" y="154953"/>
                                  <a:pt x="852773" y="139541"/>
                                </a:cubicBezTo>
                                <a:cubicBezTo>
                                  <a:pt x="861719" y="126621"/>
                                  <a:pt x="876817" y="119379"/>
                                  <a:pt x="892493" y="120491"/>
                                </a:cubicBezTo>
                                <a:cubicBezTo>
                                  <a:pt x="910114" y="120491"/>
                                  <a:pt x="922496" y="125730"/>
                                  <a:pt x="929545" y="136112"/>
                                </a:cubicBezTo>
                                <a:cubicBezTo>
                                  <a:pt x="937396" y="149324"/>
                                  <a:pt x="941111" y="164585"/>
                                  <a:pt x="940213" y="179927"/>
                                </a:cubicBezTo>
                                <a:lnTo>
                                  <a:pt x="940213" y="329565"/>
                                </a:lnTo>
                                <a:lnTo>
                                  <a:pt x="1015651" y="329565"/>
                                </a:lnTo>
                                <a:lnTo>
                                  <a:pt x="1015651" y="311372"/>
                                </a:lnTo>
                                <a:lnTo>
                                  <a:pt x="1014413" y="311372"/>
                                </a:lnTo>
                                <a:cubicBezTo>
                                  <a:pt x="1006042" y="311713"/>
                                  <a:pt x="997730" y="309841"/>
                                  <a:pt x="990314" y="305943"/>
                                </a:cubicBezTo>
                                <a:cubicBezTo>
                                  <a:pt x="984123" y="302324"/>
                                  <a:pt x="980789" y="293751"/>
                                  <a:pt x="980789" y="280130"/>
                                </a:cubicBezTo>
                                <a:lnTo>
                                  <a:pt x="980789" y="177641"/>
                                </a:lnTo>
                                <a:cubicBezTo>
                                  <a:pt x="980789" y="147923"/>
                                  <a:pt x="974217" y="126333"/>
                                  <a:pt x="961072" y="112871"/>
                                </a:cubicBezTo>
                                <a:cubicBezTo>
                                  <a:pt x="945634" y="98527"/>
                                  <a:pt x="924945" y="91217"/>
                                  <a:pt x="903922" y="92678"/>
                                </a:cubicBezTo>
                                <a:cubicBezTo>
                                  <a:pt x="876836" y="91671"/>
                                  <a:pt x="851879" y="107302"/>
                                  <a:pt x="840962" y="132112"/>
                                </a:cubicBezTo>
                                <a:lnTo>
                                  <a:pt x="838772" y="132112"/>
                                </a:lnTo>
                                <a:cubicBezTo>
                                  <a:pt x="839343" y="124301"/>
                                  <a:pt x="839724" y="117538"/>
                                  <a:pt x="840105" y="111728"/>
                                </a:cubicBezTo>
                                <a:cubicBezTo>
                                  <a:pt x="840486" y="105918"/>
                                  <a:pt x="840105" y="100489"/>
                                  <a:pt x="840105" y="95250"/>
                                </a:cubicBezTo>
                                <a:lnTo>
                                  <a:pt x="840105" y="0"/>
                                </a:lnTo>
                                <a:lnTo>
                                  <a:pt x="760285" y="0"/>
                                </a:lnTo>
                                <a:lnTo>
                                  <a:pt x="760285" y="18193"/>
                                </a:lnTo>
                                <a:lnTo>
                                  <a:pt x="763810" y="18193"/>
                                </a:lnTo>
                                <a:cubicBezTo>
                                  <a:pt x="772388" y="18018"/>
                                  <a:pt x="780892" y="19810"/>
                                  <a:pt x="788670" y="23432"/>
                                </a:cubicBezTo>
                                <a:cubicBezTo>
                                  <a:pt x="795814" y="26861"/>
                                  <a:pt x="799338" y="35052"/>
                                  <a:pt x="799338" y="47720"/>
                                </a:cubicBezTo>
                                <a:lnTo>
                                  <a:pt x="799338" y="280035"/>
                                </a:lnTo>
                                <a:cubicBezTo>
                                  <a:pt x="799338" y="293656"/>
                                  <a:pt x="795814" y="302228"/>
                                  <a:pt x="788956" y="305848"/>
                                </a:cubicBezTo>
                                <a:cubicBezTo>
                                  <a:pt x="781135" y="309660"/>
                                  <a:pt x="772507" y="311523"/>
                                  <a:pt x="763810" y="311277"/>
                                </a:cubicBezTo>
                                <a:lnTo>
                                  <a:pt x="760285" y="311277"/>
                                </a:lnTo>
                                <a:lnTo>
                                  <a:pt x="760285" y="329470"/>
                                </a:lnTo>
                                <a:close/>
                                <a:moveTo>
                                  <a:pt x="696468" y="329565"/>
                                </a:moveTo>
                                <a:lnTo>
                                  <a:pt x="696468" y="311372"/>
                                </a:lnTo>
                                <a:lnTo>
                                  <a:pt x="684276" y="311372"/>
                                </a:lnTo>
                                <a:cubicBezTo>
                                  <a:pt x="675695" y="311576"/>
                                  <a:pt x="667174" y="309885"/>
                                  <a:pt x="659321" y="306419"/>
                                </a:cubicBezTo>
                                <a:cubicBezTo>
                                  <a:pt x="652272" y="303086"/>
                                  <a:pt x="648748" y="295085"/>
                                  <a:pt x="648748" y="282321"/>
                                </a:cubicBezTo>
                                <a:lnTo>
                                  <a:pt x="648748" y="214217"/>
                                </a:lnTo>
                                <a:cubicBezTo>
                                  <a:pt x="648801" y="204656"/>
                                  <a:pt x="649501" y="195109"/>
                                  <a:pt x="650843" y="185642"/>
                                </a:cubicBezTo>
                                <a:cubicBezTo>
                                  <a:pt x="652305" y="175275"/>
                                  <a:pt x="654631" y="165047"/>
                                  <a:pt x="657797" y="155067"/>
                                </a:cubicBezTo>
                                <a:cubicBezTo>
                                  <a:pt x="660477" y="146150"/>
                                  <a:pt x="664914" y="137860"/>
                                  <a:pt x="670846" y="130683"/>
                                </a:cubicBezTo>
                                <a:cubicBezTo>
                                  <a:pt x="675853" y="124592"/>
                                  <a:pt x="683345" y="121091"/>
                                  <a:pt x="691229" y="121158"/>
                                </a:cubicBezTo>
                                <a:cubicBezTo>
                                  <a:pt x="698181" y="120513"/>
                                  <a:pt x="704956" y="123592"/>
                                  <a:pt x="709041" y="129254"/>
                                </a:cubicBezTo>
                                <a:cubicBezTo>
                                  <a:pt x="713066" y="137232"/>
                                  <a:pt x="714844" y="146155"/>
                                  <a:pt x="714184" y="155067"/>
                                </a:cubicBezTo>
                                <a:cubicBezTo>
                                  <a:pt x="725370" y="156282"/>
                                  <a:pt x="736607" y="153294"/>
                                  <a:pt x="745712" y="146685"/>
                                </a:cubicBezTo>
                                <a:cubicBezTo>
                                  <a:pt x="751947" y="141013"/>
                                  <a:pt x="755420" y="132919"/>
                                  <a:pt x="755237" y="124492"/>
                                </a:cubicBezTo>
                                <a:cubicBezTo>
                                  <a:pt x="755669" y="115221"/>
                                  <a:pt x="751319" y="106377"/>
                                  <a:pt x="743712" y="101060"/>
                                </a:cubicBezTo>
                                <a:cubicBezTo>
                                  <a:pt x="733025" y="94835"/>
                                  <a:pt x="720709" y="91980"/>
                                  <a:pt x="708374" y="92869"/>
                                </a:cubicBezTo>
                                <a:cubicBezTo>
                                  <a:pt x="698007" y="92340"/>
                                  <a:pt x="687685" y="94575"/>
                                  <a:pt x="678465" y="99346"/>
                                </a:cubicBezTo>
                                <a:cubicBezTo>
                                  <a:pt x="671375" y="103562"/>
                                  <a:pt x="665424" y="109448"/>
                                  <a:pt x="661130" y="116491"/>
                                </a:cubicBezTo>
                                <a:cubicBezTo>
                                  <a:pt x="656515" y="124068"/>
                                  <a:pt x="652441" y="131961"/>
                                  <a:pt x="648938" y="140113"/>
                                </a:cubicBezTo>
                                <a:lnTo>
                                  <a:pt x="646747" y="140113"/>
                                </a:lnTo>
                                <a:lnTo>
                                  <a:pt x="638556" y="97155"/>
                                </a:lnTo>
                                <a:lnTo>
                                  <a:pt x="571881" y="97155"/>
                                </a:lnTo>
                                <a:lnTo>
                                  <a:pt x="571881" y="115253"/>
                                </a:lnTo>
                                <a:lnTo>
                                  <a:pt x="573215" y="115253"/>
                                </a:lnTo>
                                <a:cubicBezTo>
                                  <a:pt x="581814" y="115067"/>
                                  <a:pt x="590345" y="116825"/>
                                  <a:pt x="598170" y="120396"/>
                                </a:cubicBezTo>
                                <a:cubicBezTo>
                                  <a:pt x="605218" y="123920"/>
                                  <a:pt x="608838" y="132016"/>
                                  <a:pt x="608838" y="144685"/>
                                </a:cubicBezTo>
                                <a:lnTo>
                                  <a:pt x="608838" y="280035"/>
                                </a:lnTo>
                                <a:cubicBezTo>
                                  <a:pt x="608838" y="293656"/>
                                  <a:pt x="605314" y="302228"/>
                                  <a:pt x="598360" y="305848"/>
                                </a:cubicBezTo>
                                <a:cubicBezTo>
                                  <a:pt x="590539" y="309660"/>
                                  <a:pt x="581912" y="311523"/>
                                  <a:pt x="573214" y="311277"/>
                                </a:cubicBezTo>
                                <a:lnTo>
                                  <a:pt x="571881" y="311277"/>
                                </a:lnTo>
                                <a:lnTo>
                                  <a:pt x="571881" y="329470"/>
                                </a:lnTo>
                                <a:close/>
                                <a:moveTo>
                                  <a:pt x="447389" y="326327"/>
                                </a:moveTo>
                                <a:cubicBezTo>
                                  <a:pt x="461260" y="319561"/>
                                  <a:pt x="472414" y="308274"/>
                                  <a:pt x="479012" y="294323"/>
                                </a:cubicBezTo>
                                <a:lnTo>
                                  <a:pt x="481203" y="294323"/>
                                </a:lnTo>
                                <a:lnTo>
                                  <a:pt x="486823" y="329470"/>
                                </a:lnTo>
                                <a:lnTo>
                                  <a:pt x="555879" y="329470"/>
                                </a:lnTo>
                                <a:lnTo>
                                  <a:pt x="555879" y="311277"/>
                                </a:lnTo>
                                <a:lnTo>
                                  <a:pt x="554545" y="311277"/>
                                </a:lnTo>
                                <a:cubicBezTo>
                                  <a:pt x="545963" y="311490"/>
                                  <a:pt x="537440" y="309798"/>
                                  <a:pt x="529590" y="306324"/>
                                </a:cubicBezTo>
                                <a:cubicBezTo>
                                  <a:pt x="522446" y="302990"/>
                                  <a:pt x="518922" y="294989"/>
                                  <a:pt x="518922" y="282226"/>
                                </a:cubicBezTo>
                                <a:lnTo>
                                  <a:pt x="518922" y="96964"/>
                                </a:lnTo>
                                <a:lnTo>
                                  <a:pt x="440912" y="96964"/>
                                </a:lnTo>
                                <a:lnTo>
                                  <a:pt x="440912" y="115253"/>
                                </a:lnTo>
                                <a:lnTo>
                                  <a:pt x="442246" y="115253"/>
                                </a:lnTo>
                                <a:cubicBezTo>
                                  <a:pt x="450931" y="115021"/>
                                  <a:pt x="459548" y="116849"/>
                                  <a:pt x="467392" y="120587"/>
                                </a:cubicBezTo>
                                <a:cubicBezTo>
                                  <a:pt x="474345" y="124301"/>
                                  <a:pt x="477774" y="132874"/>
                                  <a:pt x="477774" y="146494"/>
                                </a:cubicBezTo>
                                <a:lnTo>
                                  <a:pt x="477774" y="235839"/>
                                </a:lnTo>
                                <a:cubicBezTo>
                                  <a:pt x="478636" y="253737"/>
                                  <a:pt x="474124" y="271484"/>
                                  <a:pt x="464820" y="286798"/>
                                </a:cubicBezTo>
                                <a:cubicBezTo>
                                  <a:pt x="455208" y="300014"/>
                                  <a:pt x="439383" y="307239"/>
                                  <a:pt x="423100" y="305848"/>
                                </a:cubicBezTo>
                                <a:cubicBezTo>
                                  <a:pt x="405479" y="305848"/>
                                  <a:pt x="393478" y="300704"/>
                                  <a:pt x="387096" y="290322"/>
                                </a:cubicBezTo>
                                <a:cubicBezTo>
                                  <a:pt x="380090" y="276821"/>
                                  <a:pt x="376803" y="261698"/>
                                  <a:pt x="377571" y="246507"/>
                                </a:cubicBezTo>
                                <a:lnTo>
                                  <a:pt x="377571" y="96964"/>
                                </a:lnTo>
                                <a:lnTo>
                                  <a:pt x="299942" y="96964"/>
                                </a:lnTo>
                                <a:lnTo>
                                  <a:pt x="299942" y="115253"/>
                                </a:lnTo>
                                <a:lnTo>
                                  <a:pt x="301276" y="115253"/>
                                </a:lnTo>
                                <a:cubicBezTo>
                                  <a:pt x="309846" y="115048"/>
                                  <a:pt x="318350" y="116808"/>
                                  <a:pt x="326136" y="120396"/>
                                </a:cubicBezTo>
                                <a:cubicBezTo>
                                  <a:pt x="333280" y="123920"/>
                                  <a:pt x="336804" y="132016"/>
                                  <a:pt x="336804" y="144685"/>
                                </a:cubicBezTo>
                                <a:lnTo>
                                  <a:pt x="336804" y="248793"/>
                                </a:lnTo>
                                <a:cubicBezTo>
                                  <a:pt x="336804" y="278575"/>
                                  <a:pt x="343154" y="300196"/>
                                  <a:pt x="355854" y="313658"/>
                                </a:cubicBezTo>
                                <a:cubicBezTo>
                                  <a:pt x="369770" y="327710"/>
                                  <a:pt x="389074" y="335071"/>
                                  <a:pt x="408813" y="333851"/>
                                </a:cubicBezTo>
                                <a:cubicBezTo>
                                  <a:pt x="422182" y="333984"/>
                                  <a:pt x="435437" y="331392"/>
                                  <a:pt x="447770" y="326231"/>
                                </a:cubicBezTo>
                                <a:moveTo>
                                  <a:pt x="84963" y="41910"/>
                                </a:moveTo>
                                <a:lnTo>
                                  <a:pt x="123063" y="41910"/>
                                </a:lnTo>
                                <a:cubicBezTo>
                                  <a:pt x="157163" y="41910"/>
                                  <a:pt x="182880" y="53340"/>
                                  <a:pt x="200025" y="76200"/>
                                </a:cubicBezTo>
                                <a:cubicBezTo>
                                  <a:pt x="217170" y="99060"/>
                                  <a:pt x="225838" y="131921"/>
                                  <a:pt x="225838" y="174688"/>
                                </a:cubicBezTo>
                                <a:cubicBezTo>
                                  <a:pt x="225838" y="217456"/>
                                  <a:pt x="217265" y="250888"/>
                                  <a:pt x="200025" y="273368"/>
                                </a:cubicBezTo>
                                <a:cubicBezTo>
                                  <a:pt x="182785" y="295847"/>
                                  <a:pt x="157067" y="307848"/>
                                  <a:pt x="122587" y="307848"/>
                                </a:cubicBezTo>
                                <a:lnTo>
                                  <a:pt x="84487" y="307848"/>
                                </a:lnTo>
                                <a:close/>
                                <a:moveTo>
                                  <a:pt x="132588" y="329946"/>
                                </a:moveTo>
                                <a:cubicBezTo>
                                  <a:pt x="159945" y="330954"/>
                                  <a:pt x="187047" y="324360"/>
                                  <a:pt x="210884" y="310896"/>
                                </a:cubicBezTo>
                                <a:cubicBezTo>
                                  <a:pt x="231951" y="298325"/>
                                  <a:pt x="248593" y="279519"/>
                                  <a:pt x="258509" y="257080"/>
                                </a:cubicBezTo>
                                <a:cubicBezTo>
                                  <a:pt x="269673" y="231079"/>
                                  <a:pt x="275098" y="202976"/>
                                  <a:pt x="274415" y="174688"/>
                                </a:cubicBezTo>
                                <a:cubicBezTo>
                                  <a:pt x="274415" y="125539"/>
                                  <a:pt x="261969" y="87439"/>
                                  <a:pt x="237077" y="60388"/>
                                </a:cubicBezTo>
                                <a:cubicBezTo>
                                  <a:pt x="212185" y="33337"/>
                                  <a:pt x="177482" y="19907"/>
                                  <a:pt x="132969" y="20098"/>
                                </a:cubicBezTo>
                                <a:lnTo>
                                  <a:pt x="0" y="20098"/>
                                </a:lnTo>
                                <a:lnTo>
                                  <a:pt x="0" y="38290"/>
                                </a:lnTo>
                                <a:lnTo>
                                  <a:pt x="5620" y="38290"/>
                                </a:lnTo>
                                <a:cubicBezTo>
                                  <a:pt x="14232" y="38081"/>
                                  <a:pt x="22775" y="39874"/>
                                  <a:pt x="30575" y="43529"/>
                                </a:cubicBezTo>
                                <a:cubicBezTo>
                                  <a:pt x="37624" y="46958"/>
                                  <a:pt x="41148" y="55055"/>
                                  <a:pt x="41148" y="67818"/>
                                </a:cubicBezTo>
                                <a:lnTo>
                                  <a:pt x="41148" y="280035"/>
                                </a:lnTo>
                                <a:cubicBezTo>
                                  <a:pt x="41148" y="293656"/>
                                  <a:pt x="37719" y="302228"/>
                                  <a:pt x="30766" y="305848"/>
                                </a:cubicBezTo>
                                <a:cubicBezTo>
                                  <a:pt x="22945" y="309660"/>
                                  <a:pt x="14317" y="311523"/>
                                  <a:pt x="5620" y="311277"/>
                                </a:cubicBezTo>
                                <a:lnTo>
                                  <a:pt x="0" y="311277"/>
                                </a:lnTo>
                                <a:lnTo>
                                  <a:pt x="0" y="329470"/>
                                </a:lnTo>
                                <a:close/>
                              </a:path>
                            </a:pathLst>
                          </a:custGeom>
                          <a:solidFill>
                            <a:srgbClr val="002A41"/>
                          </a:solidFill>
                          <a:ln w="9525" cap="flat">
                            <a:noFill/>
                            <a:prstDash val="solid"/>
                            <a:miter/>
                          </a:ln>
                        </wps:spPr>
                        <wps:bodyPr/>
                      </wps:wsp>
                      <wps:wsp>
                        <wps:cNvPr id="1763950119" name="Freeform: Shape 1763950119"/>
                        <wps:cNvSpPr/>
                        <wps:spPr>
                          <a:xfrm>
                            <a:off x="318320" y="-3"/>
                            <a:ext cx="276332" cy="286334"/>
                          </a:xfrm>
                          <a:custGeom>
                            <a:avLst/>
                            <a:gdLst>
                              <a:gd name="csX0" fmla="*/ 274420 w 276332"/>
                              <a:gd name="csY0" fmla="*/ 271285 h 286334"/>
                              <a:gd name="csX1" fmla="*/ 264324 w 276332"/>
                              <a:gd name="csY1" fmla="*/ 56592 h 286334"/>
                              <a:gd name="csX2" fmla="*/ 230224 w 276332"/>
                              <a:gd name="csY2" fmla="*/ 21730 h 286334"/>
                              <a:gd name="csX3" fmla="*/ 13149 w 276332"/>
                              <a:gd name="csY3" fmla="*/ 13 h 286334"/>
                              <a:gd name="csX4" fmla="*/ 5 w 276332"/>
                              <a:gd name="csY4" fmla="*/ 232042 h 286334"/>
                              <a:gd name="csX5" fmla="*/ 5 w 276332"/>
                              <a:gd name="csY5" fmla="*/ 269095 h 286334"/>
                              <a:gd name="csX6" fmla="*/ 8673 w 276332"/>
                              <a:gd name="csY6" fmla="*/ 269952 h 286334"/>
                              <a:gd name="csX7" fmla="*/ 15054 w 276332"/>
                              <a:gd name="csY7" fmla="*/ 276810 h 286334"/>
                              <a:gd name="csX8" fmla="*/ 16197 w 276332"/>
                              <a:gd name="csY8" fmla="*/ 286335 h 286334"/>
                              <a:gd name="csX9" fmla="*/ 274420 w 276332"/>
                              <a:gd name="csY9" fmla="*/ 271285 h 286334"/>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Lst>
                            <a:rect l="l" t="t" r="r" b="b"/>
                            <a:pathLst>
                              <a:path w="276332" h="286334">
                                <a:moveTo>
                                  <a:pt x="274420" y="271285"/>
                                </a:moveTo>
                                <a:cubicBezTo>
                                  <a:pt x="278896" y="199567"/>
                                  <a:pt x="275510" y="127574"/>
                                  <a:pt x="264324" y="56592"/>
                                </a:cubicBezTo>
                                <a:cubicBezTo>
                                  <a:pt x="261529" y="38901"/>
                                  <a:pt x="247849" y="24915"/>
                                  <a:pt x="230224" y="21730"/>
                                </a:cubicBezTo>
                                <a:cubicBezTo>
                                  <a:pt x="158824" y="6922"/>
                                  <a:pt x="86068" y="-357"/>
                                  <a:pt x="13149" y="13"/>
                                </a:cubicBezTo>
                                <a:cubicBezTo>
                                  <a:pt x="4225" y="77032"/>
                                  <a:pt x="-165" y="154509"/>
                                  <a:pt x="5" y="232042"/>
                                </a:cubicBezTo>
                                <a:lnTo>
                                  <a:pt x="5" y="269095"/>
                                </a:lnTo>
                                <a:lnTo>
                                  <a:pt x="8673" y="269952"/>
                                </a:lnTo>
                                <a:cubicBezTo>
                                  <a:pt x="12864" y="269952"/>
                                  <a:pt x="14483" y="272619"/>
                                  <a:pt x="15054" y="276810"/>
                                </a:cubicBezTo>
                                <a:cubicBezTo>
                                  <a:pt x="15626" y="281001"/>
                                  <a:pt x="16197" y="286335"/>
                                  <a:pt x="16197" y="286335"/>
                                </a:cubicBezTo>
                                <a:cubicBezTo>
                                  <a:pt x="16197" y="286335"/>
                                  <a:pt x="173074" y="285192"/>
                                  <a:pt x="274420" y="271285"/>
                                </a:cubicBezTo>
                                <a:close/>
                              </a:path>
                            </a:pathLst>
                          </a:custGeom>
                          <a:solidFill>
                            <a:srgbClr val="68246D"/>
                          </a:solidFill>
                          <a:ln w="9525" cap="flat">
                            <a:noFill/>
                            <a:prstDash val="solid"/>
                            <a:miter/>
                          </a:ln>
                        </wps:spPr>
                        <wps:bodyPr/>
                      </wps:wsp>
                      <wps:wsp>
                        <wps:cNvPr id="1843716735" name="Freeform: Shape 1843716735"/>
                        <wps:cNvSpPr/>
                        <wps:spPr>
                          <a:xfrm>
                            <a:off x="11620" y="327070"/>
                            <a:ext cx="266033" cy="346070"/>
                          </a:xfrm>
                          <a:custGeom>
                            <a:avLst/>
                            <a:gdLst>
                              <a:gd name="csX0" fmla="*/ 265843 w 266033"/>
                              <a:gd name="csY0" fmla="*/ 17839 h 346070"/>
                              <a:gd name="csX1" fmla="*/ 257080 w 266033"/>
                              <a:gd name="csY1" fmla="*/ 16696 h 346070"/>
                              <a:gd name="csX2" fmla="*/ 250698 w 266033"/>
                              <a:gd name="csY2" fmla="*/ 9743 h 346070"/>
                              <a:gd name="csX3" fmla="*/ 249555 w 266033"/>
                              <a:gd name="csY3" fmla="*/ 218 h 346070"/>
                              <a:gd name="csX4" fmla="*/ 0 w 266033"/>
                              <a:gd name="csY4" fmla="*/ 14600 h 346070"/>
                              <a:gd name="csX5" fmla="*/ 247650 w 266033"/>
                              <a:gd name="csY5" fmla="*/ 346070 h 346070"/>
                              <a:gd name="csX6" fmla="*/ 266033 w 266033"/>
                              <a:gd name="csY6" fmla="*/ 52319 h 346070"/>
                              <a:gd name="csX7" fmla="*/ 266033 w 266033"/>
                              <a:gd name="csY7" fmla="*/ 17267 h 34607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Lst>
                            <a:rect l="l" t="t" r="r" b="b"/>
                            <a:pathLst>
                              <a:path w="266033" h="346070">
                                <a:moveTo>
                                  <a:pt x="265843" y="17839"/>
                                </a:moveTo>
                                <a:lnTo>
                                  <a:pt x="257080" y="16696"/>
                                </a:lnTo>
                                <a:cubicBezTo>
                                  <a:pt x="252889" y="16220"/>
                                  <a:pt x="251174" y="14029"/>
                                  <a:pt x="250698" y="9743"/>
                                </a:cubicBezTo>
                                <a:cubicBezTo>
                                  <a:pt x="250222" y="5456"/>
                                  <a:pt x="249555" y="218"/>
                                  <a:pt x="249555" y="218"/>
                                </a:cubicBezTo>
                                <a:cubicBezTo>
                                  <a:pt x="166130" y="-1117"/>
                                  <a:pt x="82720" y="3690"/>
                                  <a:pt x="0" y="14600"/>
                                </a:cubicBezTo>
                                <a:cubicBezTo>
                                  <a:pt x="13621" y="92991"/>
                                  <a:pt x="103251" y="270251"/>
                                  <a:pt x="247650" y="346070"/>
                                </a:cubicBezTo>
                                <a:cubicBezTo>
                                  <a:pt x="254794" y="287396"/>
                                  <a:pt x="266033" y="144236"/>
                                  <a:pt x="266033" y="52319"/>
                                </a:cubicBezTo>
                                <a:lnTo>
                                  <a:pt x="266033" y="17267"/>
                                </a:lnTo>
                                <a:close/>
                              </a:path>
                            </a:pathLst>
                          </a:custGeom>
                          <a:solidFill>
                            <a:srgbClr val="68246D"/>
                          </a:solidFill>
                          <a:ln w="9525" cap="flat">
                            <a:noFill/>
                            <a:prstDash val="solid"/>
                            <a:miter/>
                          </a:ln>
                        </wps:spPr>
                        <wps:bodyPr/>
                      </wps:wsp>
                      <wps:wsp>
                        <wps:cNvPr id="532695745" name="Freeform: Shape 532695745"/>
                        <wps:cNvSpPr/>
                        <wps:spPr>
                          <a:xfrm>
                            <a:off x="318515" y="327642"/>
                            <a:ext cx="266700" cy="346070"/>
                          </a:xfrm>
                          <a:custGeom>
                            <a:avLst/>
                            <a:gdLst>
                              <a:gd name="csX0" fmla="*/ 16478 w 266700"/>
                              <a:gd name="csY0" fmla="*/ 217 h 346070"/>
                              <a:gd name="csX1" fmla="*/ 266700 w 266700"/>
                              <a:gd name="csY1" fmla="*/ 14600 h 346070"/>
                              <a:gd name="csX2" fmla="*/ 19050 w 266700"/>
                              <a:gd name="csY2" fmla="*/ 346070 h 346070"/>
                              <a:gd name="csX3" fmla="*/ 0 w 266700"/>
                              <a:gd name="csY3" fmla="*/ 52319 h 346070"/>
                              <a:gd name="csX4" fmla="*/ 0 w 266700"/>
                              <a:gd name="csY4" fmla="*/ 17267 h 346070"/>
                              <a:gd name="csX5" fmla="*/ 8382 w 266700"/>
                              <a:gd name="csY5" fmla="*/ 16505 h 346070"/>
                              <a:gd name="csX6" fmla="*/ 14764 w 266700"/>
                              <a:gd name="csY6" fmla="*/ 9552 h 346070"/>
                              <a:gd name="csX7" fmla="*/ 15811 w 266700"/>
                              <a:gd name="csY7" fmla="*/ 27 h 34607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Lst>
                            <a:rect l="l" t="t" r="r" b="b"/>
                            <a:pathLst>
                              <a:path w="266700" h="346070">
                                <a:moveTo>
                                  <a:pt x="16478" y="217"/>
                                </a:moveTo>
                                <a:cubicBezTo>
                                  <a:pt x="100125" y="-1117"/>
                                  <a:pt x="183757" y="3690"/>
                                  <a:pt x="266700" y="14600"/>
                                </a:cubicBezTo>
                                <a:cubicBezTo>
                                  <a:pt x="252984" y="92991"/>
                                  <a:pt x="163449" y="270251"/>
                                  <a:pt x="19050" y="346070"/>
                                </a:cubicBezTo>
                                <a:cubicBezTo>
                                  <a:pt x="11906" y="287396"/>
                                  <a:pt x="0" y="144235"/>
                                  <a:pt x="0" y="52319"/>
                                </a:cubicBezTo>
                                <a:lnTo>
                                  <a:pt x="0" y="17267"/>
                                </a:lnTo>
                                <a:lnTo>
                                  <a:pt x="8382" y="16505"/>
                                </a:lnTo>
                                <a:cubicBezTo>
                                  <a:pt x="12478" y="16029"/>
                                  <a:pt x="14192" y="13838"/>
                                  <a:pt x="14764" y="9552"/>
                                </a:cubicBezTo>
                                <a:cubicBezTo>
                                  <a:pt x="15335" y="5266"/>
                                  <a:pt x="15811" y="27"/>
                                  <a:pt x="15811" y="27"/>
                                </a:cubicBezTo>
                                <a:close/>
                              </a:path>
                            </a:pathLst>
                          </a:custGeom>
                          <a:solidFill>
                            <a:srgbClr val="68246D"/>
                          </a:solidFill>
                          <a:ln w="9525" cap="flat">
                            <a:noFill/>
                            <a:prstDash val="solid"/>
                            <a:miter/>
                          </a:ln>
                        </wps:spPr>
                        <wps:bodyPr/>
                      </wps:wsp>
                      <wps:wsp>
                        <wps:cNvPr id="907456610" name="Freeform: Shape 907456610"/>
                        <wps:cNvSpPr/>
                        <wps:spPr>
                          <a:xfrm>
                            <a:off x="143820" y="168973"/>
                            <a:ext cx="5341" cy="2676"/>
                          </a:xfrm>
                          <a:custGeom>
                            <a:avLst/>
                            <a:gdLst>
                              <a:gd name="csX0" fmla="*/ 293 w 5341"/>
                              <a:gd name="csY0" fmla="*/ 200 h 2676"/>
                              <a:gd name="csX1" fmla="*/ 293 w 5341"/>
                              <a:gd name="csY1" fmla="*/ 2676 h 2676"/>
                              <a:gd name="csX2" fmla="*/ 3151 w 5341"/>
                              <a:gd name="csY2" fmla="*/ 1724 h 2676"/>
                              <a:gd name="csX3" fmla="*/ 5341 w 5341"/>
                              <a:gd name="csY3" fmla="*/ 9 h 2676"/>
                              <a:gd name="csX4" fmla="*/ 293 w 5341"/>
                              <a:gd name="csY4" fmla="*/ 200 h 2676"/>
                            </a:gdLst>
                            <a:ahLst/>
                            <a:cxnLst>
                              <a:cxn ang="0">
                                <a:pos x="csX0" y="csY0"/>
                              </a:cxn>
                              <a:cxn ang="0">
                                <a:pos x="csX1" y="csY1"/>
                              </a:cxn>
                              <a:cxn ang="0">
                                <a:pos x="csX2" y="csY2"/>
                              </a:cxn>
                              <a:cxn ang="0">
                                <a:pos x="csX3" y="csY3"/>
                              </a:cxn>
                              <a:cxn ang="0">
                                <a:pos x="csX4" y="csY4"/>
                              </a:cxn>
                            </a:cxnLst>
                            <a:rect l="l" t="t" r="r" b="b"/>
                            <a:pathLst>
                              <a:path w="5341" h="2676">
                                <a:moveTo>
                                  <a:pt x="293" y="200"/>
                                </a:moveTo>
                                <a:cubicBezTo>
                                  <a:pt x="-98" y="979"/>
                                  <a:pt x="-98" y="1897"/>
                                  <a:pt x="293" y="2676"/>
                                </a:cubicBezTo>
                                <a:cubicBezTo>
                                  <a:pt x="1302" y="2563"/>
                                  <a:pt x="2275" y="2238"/>
                                  <a:pt x="3151" y="1724"/>
                                </a:cubicBezTo>
                                <a:cubicBezTo>
                                  <a:pt x="3926" y="1212"/>
                                  <a:pt x="4658" y="639"/>
                                  <a:pt x="5341" y="9"/>
                                </a:cubicBezTo>
                                <a:cubicBezTo>
                                  <a:pt x="3656" y="-26"/>
                                  <a:pt x="1971" y="38"/>
                                  <a:pt x="293" y="200"/>
                                </a:cubicBezTo>
                                <a:close/>
                              </a:path>
                            </a:pathLst>
                          </a:custGeom>
                          <a:solidFill>
                            <a:srgbClr val="702567"/>
                          </a:solidFill>
                          <a:ln w="9525" cap="flat">
                            <a:noFill/>
                            <a:prstDash val="solid"/>
                            <a:miter/>
                          </a:ln>
                        </wps:spPr>
                        <wps:bodyPr/>
                      </wps:wsp>
                      <wps:wsp>
                        <wps:cNvPr id="1672044704" name="Freeform: Shape 1672044704"/>
                        <wps:cNvSpPr/>
                        <wps:spPr>
                          <a:xfrm>
                            <a:off x="1428" y="134216"/>
                            <a:ext cx="276034" cy="152506"/>
                          </a:xfrm>
                          <a:custGeom>
                            <a:avLst/>
                            <a:gdLst>
                              <a:gd name="csX0" fmla="*/ 141256 w 276034"/>
                              <a:gd name="csY0" fmla="*/ 0 h 152506"/>
                              <a:gd name="csX1" fmla="*/ 0 w 276034"/>
                              <a:gd name="csY1" fmla="*/ 137065 h 152506"/>
                              <a:gd name="csX2" fmla="*/ 258509 w 276034"/>
                              <a:gd name="csY2" fmla="*/ 152400 h 152506"/>
                              <a:gd name="csX3" fmla="*/ 259842 w 276034"/>
                              <a:gd name="csY3" fmla="*/ 152400 h 152506"/>
                              <a:gd name="csX4" fmla="*/ 260890 w 276034"/>
                              <a:gd name="csY4" fmla="*/ 142875 h 152506"/>
                              <a:gd name="csX5" fmla="*/ 267272 w 276034"/>
                              <a:gd name="csY5" fmla="*/ 136017 h 152506"/>
                              <a:gd name="csX6" fmla="*/ 276035 w 276034"/>
                              <a:gd name="csY6" fmla="*/ 135160 h 152506"/>
                              <a:gd name="csX7" fmla="*/ 128968 w 276034"/>
                              <a:gd name="csY7" fmla="*/ 40291 h 152506"/>
                              <a:gd name="csX8" fmla="*/ 131540 w 276034"/>
                              <a:gd name="csY8" fmla="*/ 45530 h 152506"/>
                              <a:gd name="csX9" fmla="*/ 139160 w 276034"/>
                              <a:gd name="csY9" fmla="*/ 42958 h 152506"/>
                              <a:gd name="csX10" fmla="*/ 139160 w 276034"/>
                              <a:gd name="csY10" fmla="*/ 43815 h 152506"/>
                              <a:gd name="csX11" fmla="*/ 128302 w 276034"/>
                              <a:gd name="csY11" fmla="*/ 48673 h 152506"/>
                              <a:gd name="csX12" fmla="*/ 124993 w 276034"/>
                              <a:gd name="csY12" fmla="*/ 46126 h 152506"/>
                              <a:gd name="csX13" fmla="*/ 124968 w 276034"/>
                              <a:gd name="csY13" fmla="*/ 45720 h 152506"/>
                              <a:gd name="csX14" fmla="*/ 128968 w 276034"/>
                              <a:gd name="csY14" fmla="*/ 40291 h 152506"/>
                              <a:gd name="csX15" fmla="*/ 174974 w 276034"/>
                              <a:gd name="csY15" fmla="*/ 73152 h 152506"/>
                              <a:gd name="csX16" fmla="*/ 170498 w 276034"/>
                              <a:gd name="csY16" fmla="*/ 78200 h 152506"/>
                              <a:gd name="csX17" fmla="*/ 169640 w 276034"/>
                              <a:gd name="csY17" fmla="*/ 79629 h 152506"/>
                              <a:gd name="csX18" fmla="*/ 169640 w 276034"/>
                              <a:gd name="csY18" fmla="*/ 75629 h 152506"/>
                              <a:gd name="csX19" fmla="*/ 167450 w 276034"/>
                              <a:gd name="csY19" fmla="*/ 73724 h 152506"/>
                              <a:gd name="csX20" fmla="*/ 163456 w 276034"/>
                              <a:gd name="csY20" fmla="*/ 85027 h 152506"/>
                              <a:gd name="csX21" fmla="*/ 163830 w 276034"/>
                              <a:gd name="csY21" fmla="*/ 85725 h 152506"/>
                              <a:gd name="csX22" fmla="*/ 165068 w 276034"/>
                              <a:gd name="csY22" fmla="*/ 80772 h 152506"/>
                              <a:gd name="csX23" fmla="*/ 165830 w 276034"/>
                              <a:gd name="csY23" fmla="*/ 78486 h 152506"/>
                              <a:gd name="csX24" fmla="*/ 167068 w 276034"/>
                              <a:gd name="csY24" fmla="*/ 82677 h 152506"/>
                              <a:gd name="csX25" fmla="*/ 165735 w 276034"/>
                              <a:gd name="csY25" fmla="*/ 89059 h 152506"/>
                              <a:gd name="csX26" fmla="*/ 166497 w 276034"/>
                              <a:gd name="csY26" fmla="*/ 91059 h 152506"/>
                              <a:gd name="csX27" fmla="*/ 166497 w 276034"/>
                              <a:gd name="csY27" fmla="*/ 88106 h 152506"/>
                              <a:gd name="csX28" fmla="*/ 168021 w 276034"/>
                              <a:gd name="csY28" fmla="*/ 85249 h 152506"/>
                              <a:gd name="csX29" fmla="*/ 168021 w 276034"/>
                              <a:gd name="csY29" fmla="*/ 83344 h 152506"/>
                              <a:gd name="csX30" fmla="*/ 169736 w 276034"/>
                              <a:gd name="csY30" fmla="*/ 87820 h 152506"/>
                              <a:gd name="csX31" fmla="*/ 168307 w 276034"/>
                              <a:gd name="csY31" fmla="*/ 92392 h 152506"/>
                              <a:gd name="csX32" fmla="*/ 167545 w 276034"/>
                              <a:gd name="csY32" fmla="*/ 94964 h 152506"/>
                              <a:gd name="csX33" fmla="*/ 160782 w 276034"/>
                              <a:gd name="csY33" fmla="*/ 102870 h 152506"/>
                              <a:gd name="csX34" fmla="*/ 156591 w 276034"/>
                              <a:gd name="csY34" fmla="*/ 101918 h 152506"/>
                              <a:gd name="csX35" fmla="*/ 148685 w 276034"/>
                              <a:gd name="csY35" fmla="*/ 112776 h 152506"/>
                              <a:gd name="csX36" fmla="*/ 150400 w 276034"/>
                              <a:gd name="csY36" fmla="*/ 116395 h 152506"/>
                              <a:gd name="csX37" fmla="*/ 155639 w 276034"/>
                              <a:gd name="csY37" fmla="*/ 119920 h 152506"/>
                              <a:gd name="csX38" fmla="*/ 151067 w 276034"/>
                              <a:gd name="csY38" fmla="*/ 121730 h 152506"/>
                              <a:gd name="csX39" fmla="*/ 154210 w 276034"/>
                              <a:gd name="csY39" fmla="*/ 126873 h 152506"/>
                              <a:gd name="csX40" fmla="*/ 149447 w 276034"/>
                              <a:gd name="csY40" fmla="*/ 126873 h 152506"/>
                              <a:gd name="csX41" fmla="*/ 148019 w 276034"/>
                              <a:gd name="csY41" fmla="*/ 130302 h 152506"/>
                              <a:gd name="csX42" fmla="*/ 145637 w 276034"/>
                              <a:gd name="csY42" fmla="*/ 128302 h 152506"/>
                              <a:gd name="csX43" fmla="*/ 141923 w 276034"/>
                              <a:gd name="csY43" fmla="*/ 131159 h 152506"/>
                              <a:gd name="csX44" fmla="*/ 139655 w 276034"/>
                              <a:gd name="csY44" fmla="*/ 134003 h 152506"/>
                              <a:gd name="csX45" fmla="*/ 139256 w 276034"/>
                              <a:gd name="csY45" fmla="*/ 134017 h 152506"/>
                              <a:gd name="csX46" fmla="*/ 138303 w 276034"/>
                              <a:gd name="csY46" fmla="*/ 137351 h 152506"/>
                              <a:gd name="csX47" fmla="*/ 137446 w 276034"/>
                              <a:gd name="csY47" fmla="*/ 133731 h 152506"/>
                              <a:gd name="csX48" fmla="*/ 136779 w 276034"/>
                              <a:gd name="csY48" fmla="*/ 131255 h 152506"/>
                              <a:gd name="csX49" fmla="*/ 133636 w 276034"/>
                              <a:gd name="csY49" fmla="*/ 131921 h 152506"/>
                              <a:gd name="csX50" fmla="*/ 132017 w 276034"/>
                              <a:gd name="csY50" fmla="*/ 134398 h 152506"/>
                              <a:gd name="csX51" fmla="*/ 132969 w 276034"/>
                              <a:gd name="csY51" fmla="*/ 130207 h 152506"/>
                              <a:gd name="csX52" fmla="*/ 134207 w 276034"/>
                              <a:gd name="csY52" fmla="*/ 127635 h 152506"/>
                              <a:gd name="csX53" fmla="*/ 134207 w 276034"/>
                              <a:gd name="csY53" fmla="*/ 127064 h 152506"/>
                              <a:gd name="csX54" fmla="*/ 132112 w 276034"/>
                              <a:gd name="csY54" fmla="*/ 126111 h 152506"/>
                              <a:gd name="csX55" fmla="*/ 129731 w 276034"/>
                              <a:gd name="csY55" fmla="*/ 127635 h 152506"/>
                              <a:gd name="csX56" fmla="*/ 130874 w 276034"/>
                              <a:gd name="csY56" fmla="*/ 123825 h 152506"/>
                              <a:gd name="csX57" fmla="*/ 135160 w 276034"/>
                              <a:gd name="csY57" fmla="*/ 122492 h 152506"/>
                              <a:gd name="csX58" fmla="*/ 139160 w 276034"/>
                              <a:gd name="csY58" fmla="*/ 123920 h 152506"/>
                              <a:gd name="csX59" fmla="*/ 142685 w 276034"/>
                              <a:gd name="csY59" fmla="*/ 122015 h 152506"/>
                              <a:gd name="csX60" fmla="*/ 143351 w 276034"/>
                              <a:gd name="csY60" fmla="*/ 120967 h 152506"/>
                              <a:gd name="csX61" fmla="*/ 142685 w 276034"/>
                              <a:gd name="csY61" fmla="*/ 116967 h 152506"/>
                              <a:gd name="csX62" fmla="*/ 137922 w 276034"/>
                              <a:gd name="csY62" fmla="*/ 109728 h 152506"/>
                              <a:gd name="csX63" fmla="*/ 141351 w 276034"/>
                              <a:gd name="csY63" fmla="*/ 102108 h 152506"/>
                              <a:gd name="csX64" fmla="*/ 140018 w 276034"/>
                              <a:gd name="csY64" fmla="*/ 102108 h 152506"/>
                              <a:gd name="csX65" fmla="*/ 134874 w 276034"/>
                              <a:gd name="csY65" fmla="*/ 100584 h 152506"/>
                              <a:gd name="csX66" fmla="*/ 131921 w 276034"/>
                              <a:gd name="csY66" fmla="*/ 104013 h 152506"/>
                              <a:gd name="csX67" fmla="*/ 132779 w 276034"/>
                              <a:gd name="csY67" fmla="*/ 106966 h 152506"/>
                              <a:gd name="csX68" fmla="*/ 133636 w 276034"/>
                              <a:gd name="csY68" fmla="*/ 110585 h 152506"/>
                              <a:gd name="csX69" fmla="*/ 128397 w 276034"/>
                              <a:gd name="csY69" fmla="*/ 110014 h 152506"/>
                              <a:gd name="csX70" fmla="*/ 126206 w 276034"/>
                              <a:gd name="csY70" fmla="*/ 113443 h 152506"/>
                              <a:gd name="csX71" fmla="*/ 121815 w 276034"/>
                              <a:gd name="csY71" fmla="*/ 111085 h 152506"/>
                              <a:gd name="csX72" fmla="*/ 120206 w 276034"/>
                              <a:gd name="csY72" fmla="*/ 112109 h 152506"/>
                              <a:gd name="csX73" fmla="*/ 117729 w 276034"/>
                              <a:gd name="csY73" fmla="*/ 114205 h 152506"/>
                              <a:gd name="csX74" fmla="*/ 116110 w 276034"/>
                              <a:gd name="csY74" fmla="*/ 114205 h 152506"/>
                              <a:gd name="csX75" fmla="*/ 114395 w 276034"/>
                              <a:gd name="csY75" fmla="*/ 116681 h 152506"/>
                              <a:gd name="csX76" fmla="*/ 115062 w 276034"/>
                              <a:gd name="csY76" fmla="*/ 113252 h 152506"/>
                              <a:gd name="csX77" fmla="*/ 115824 w 276034"/>
                              <a:gd name="csY77" fmla="*/ 110490 h 152506"/>
                              <a:gd name="csX78" fmla="*/ 111824 w 276034"/>
                              <a:gd name="csY78" fmla="*/ 110490 h 152506"/>
                              <a:gd name="csX79" fmla="*/ 109633 w 276034"/>
                              <a:gd name="csY79" fmla="*/ 112586 h 152506"/>
                              <a:gd name="csX80" fmla="*/ 111252 w 276034"/>
                              <a:gd name="csY80" fmla="*/ 108776 h 152506"/>
                              <a:gd name="csX81" fmla="*/ 114586 w 276034"/>
                              <a:gd name="csY81" fmla="*/ 106966 h 152506"/>
                              <a:gd name="csX82" fmla="*/ 114586 w 276034"/>
                              <a:gd name="csY82" fmla="*/ 106394 h 152506"/>
                              <a:gd name="csX83" fmla="*/ 114586 w 276034"/>
                              <a:gd name="csY83" fmla="*/ 106394 h 152506"/>
                              <a:gd name="csX84" fmla="*/ 112586 w 276034"/>
                              <a:gd name="csY84" fmla="*/ 104108 h 152506"/>
                              <a:gd name="csX85" fmla="*/ 110109 w 276034"/>
                              <a:gd name="csY85" fmla="*/ 104775 h 152506"/>
                              <a:gd name="csX86" fmla="*/ 113252 w 276034"/>
                              <a:gd name="csY86" fmla="*/ 102489 h 152506"/>
                              <a:gd name="csX87" fmla="*/ 115443 w 276034"/>
                              <a:gd name="csY87" fmla="*/ 101632 h 152506"/>
                              <a:gd name="csX88" fmla="*/ 117539 w 276034"/>
                              <a:gd name="csY88" fmla="*/ 102965 h 152506"/>
                              <a:gd name="csX89" fmla="*/ 123920 w 276034"/>
                              <a:gd name="csY89" fmla="*/ 105728 h 152506"/>
                              <a:gd name="csX90" fmla="*/ 126303 w 276034"/>
                              <a:gd name="csY90" fmla="*/ 103348 h 152506"/>
                              <a:gd name="csX91" fmla="*/ 126302 w 276034"/>
                              <a:gd name="csY91" fmla="*/ 103251 h 152506"/>
                              <a:gd name="csX92" fmla="*/ 123825 w 276034"/>
                              <a:gd name="csY92" fmla="*/ 95345 h 152506"/>
                              <a:gd name="csX93" fmla="*/ 129730 w 276034"/>
                              <a:gd name="csY93" fmla="*/ 89630 h 152506"/>
                              <a:gd name="csX94" fmla="*/ 140303 w 276034"/>
                              <a:gd name="csY94" fmla="*/ 92583 h 152506"/>
                              <a:gd name="csX95" fmla="*/ 143256 w 276034"/>
                              <a:gd name="csY95" fmla="*/ 91821 h 152506"/>
                              <a:gd name="csX96" fmla="*/ 134398 w 276034"/>
                              <a:gd name="csY96" fmla="*/ 85439 h 152506"/>
                              <a:gd name="csX97" fmla="*/ 131636 w 276034"/>
                              <a:gd name="csY97" fmla="*/ 80582 h 152506"/>
                              <a:gd name="csX98" fmla="*/ 126778 w 276034"/>
                              <a:gd name="csY98" fmla="*/ 85439 h 152506"/>
                              <a:gd name="csX99" fmla="*/ 124778 w 276034"/>
                              <a:gd name="csY99" fmla="*/ 84106 h 152506"/>
                              <a:gd name="csX100" fmla="*/ 121253 w 276034"/>
                              <a:gd name="csY100" fmla="*/ 88011 h 152506"/>
                              <a:gd name="csX101" fmla="*/ 117158 w 276034"/>
                              <a:gd name="csY101" fmla="*/ 84106 h 152506"/>
                              <a:gd name="csX102" fmla="*/ 113919 w 276034"/>
                              <a:gd name="csY102" fmla="*/ 85439 h 152506"/>
                              <a:gd name="csX103" fmla="*/ 110395 w 276034"/>
                              <a:gd name="csY103" fmla="*/ 87154 h 152506"/>
                              <a:gd name="csX104" fmla="*/ 108585 w 276034"/>
                              <a:gd name="csY104" fmla="*/ 90011 h 152506"/>
                              <a:gd name="csX105" fmla="*/ 108585 w 276034"/>
                              <a:gd name="csY105" fmla="*/ 86106 h 152506"/>
                              <a:gd name="csX106" fmla="*/ 109252 w 276034"/>
                              <a:gd name="csY106" fmla="*/ 83249 h 152506"/>
                              <a:gd name="csX107" fmla="*/ 106204 w 276034"/>
                              <a:gd name="csY107" fmla="*/ 82582 h 152506"/>
                              <a:gd name="csX108" fmla="*/ 103632 w 276034"/>
                              <a:gd name="csY108" fmla="*/ 84201 h 152506"/>
                              <a:gd name="csX109" fmla="*/ 105918 w 276034"/>
                              <a:gd name="csY109" fmla="*/ 80582 h 152506"/>
                              <a:gd name="csX110" fmla="*/ 108776 w 276034"/>
                              <a:gd name="csY110" fmla="*/ 79153 h 152506"/>
                              <a:gd name="csX111" fmla="*/ 108776 w 276034"/>
                              <a:gd name="csY111" fmla="*/ 78677 h 152506"/>
                              <a:gd name="csX112" fmla="*/ 107537 w 276034"/>
                              <a:gd name="csY112" fmla="*/ 76295 h 152506"/>
                              <a:gd name="csX113" fmla="*/ 104870 w 276034"/>
                              <a:gd name="csY113" fmla="*/ 76295 h 152506"/>
                              <a:gd name="csX114" fmla="*/ 109061 w 276034"/>
                              <a:gd name="csY114" fmla="*/ 74867 h 152506"/>
                              <a:gd name="csX115" fmla="*/ 112681 w 276034"/>
                              <a:gd name="csY115" fmla="*/ 76581 h 152506"/>
                              <a:gd name="csX116" fmla="*/ 117920 w 276034"/>
                              <a:gd name="csY116" fmla="*/ 78391 h 152506"/>
                              <a:gd name="csX117" fmla="*/ 131731 w 276034"/>
                              <a:gd name="csY117" fmla="*/ 68866 h 152506"/>
                              <a:gd name="csX118" fmla="*/ 129254 w 276034"/>
                              <a:gd name="csY118" fmla="*/ 68866 h 152506"/>
                              <a:gd name="csX119" fmla="*/ 119729 w 276034"/>
                              <a:gd name="csY119" fmla="*/ 72676 h 152506"/>
                              <a:gd name="csX120" fmla="*/ 121063 w 276034"/>
                              <a:gd name="csY120" fmla="*/ 68104 h 152506"/>
                              <a:gd name="csX121" fmla="*/ 114681 w 276034"/>
                              <a:gd name="csY121" fmla="*/ 68770 h 152506"/>
                              <a:gd name="csX122" fmla="*/ 116491 w 276034"/>
                              <a:gd name="csY122" fmla="*/ 65246 h 152506"/>
                              <a:gd name="csX123" fmla="*/ 113157 w 276034"/>
                              <a:gd name="csY123" fmla="*/ 62960 h 152506"/>
                              <a:gd name="csX124" fmla="*/ 111252 w 276034"/>
                              <a:gd name="csY124" fmla="*/ 62960 h 152506"/>
                              <a:gd name="csX125" fmla="*/ 108299 w 276034"/>
                              <a:gd name="csY125" fmla="*/ 61055 h 152506"/>
                              <a:gd name="csX126" fmla="*/ 105251 w 276034"/>
                              <a:gd name="csY126" fmla="*/ 62008 h 152506"/>
                              <a:gd name="csX127" fmla="*/ 108395 w 276034"/>
                              <a:gd name="csY127" fmla="*/ 59150 h 152506"/>
                              <a:gd name="csX128" fmla="*/ 110204 w 276034"/>
                              <a:gd name="csY128" fmla="*/ 57912 h 152506"/>
                              <a:gd name="csX129" fmla="*/ 110204 w 276034"/>
                              <a:gd name="csY129" fmla="*/ 57245 h 152506"/>
                              <a:gd name="csX130" fmla="*/ 107633 w 276034"/>
                              <a:gd name="csY130" fmla="*/ 54864 h 152506"/>
                              <a:gd name="csX131" fmla="*/ 104585 w 276034"/>
                              <a:gd name="csY131" fmla="*/ 54388 h 152506"/>
                              <a:gd name="csX132" fmla="*/ 108299 w 276034"/>
                              <a:gd name="csY132" fmla="*/ 53245 h 152506"/>
                              <a:gd name="csX133" fmla="*/ 111728 w 276034"/>
                              <a:gd name="csY133" fmla="*/ 53245 h 152506"/>
                              <a:gd name="csX134" fmla="*/ 111728 w 276034"/>
                              <a:gd name="csY134" fmla="*/ 50387 h 152506"/>
                              <a:gd name="csX135" fmla="*/ 109918 w 276034"/>
                              <a:gd name="csY135" fmla="*/ 48482 h 152506"/>
                              <a:gd name="csX136" fmla="*/ 114205 w 276034"/>
                              <a:gd name="csY136" fmla="*/ 50006 h 152506"/>
                              <a:gd name="csX137" fmla="*/ 116491 w 276034"/>
                              <a:gd name="csY137" fmla="*/ 52292 h 152506"/>
                              <a:gd name="csX138" fmla="*/ 118777 w 276034"/>
                              <a:gd name="csY138" fmla="*/ 58674 h 152506"/>
                              <a:gd name="csX139" fmla="*/ 124397 w 276034"/>
                              <a:gd name="csY139" fmla="*/ 60769 h 152506"/>
                              <a:gd name="csX140" fmla="*/ 130112 w 276034"/>
                              <a:gd name="csY140" fmla="*/ 62293 h 152506"/>
                              <a:gd name="csX141" fmla="*/ 128302 w 276034"/>
                              <a:gd name="csY141" fmla="*/ 58484 h 152506"/>
                              <a:gd name="csX142" fmla="*/ 133064 w 276034"/>
                              <a:gd name="csY142" fmla="*/ 59150 h 152506"/>
                              <a:gd name="csX143" fmla="*/ 132017 w 276034"/>
                              <a:gd name="csY143" fmla="*/ 56197 h 152506"/>
                              <a:gd name="csX144" fmla="*/ 135350 w 276034"/>
                              <a:gd name="csY144" fmla="*/ 56197 h 152506"/>
                              <a:gd name="csX145" fmla="*/ 141827 w 276034"/>
                              <a:gd name="csY145" fmla="*/ 50673 h 152506"/>
                              <a:gd name="csX146" fmla="*/ 134017 w 276034"/>
                              <a:gd name="csY146" fmla="*/ 53150 h 152506"/>
                              <a:gd name="csX147" fmla="*/ 134017 w 276034"/>
                              <a:gd name="csY147" fmla="*/ 50482 h 152506"/>
                              <a:gd name="csX148" fmla="*/ 135726 w 276034"/>
                              <a:gd name="csY148" fmla="*/ 48577 h 152506"/>
                              <a:gd name="csX149" fmla="*/ 135922 w 276034"/>
                              <a:gd name="csY149" fmla="*/ 48577 h 152506"/>
                              <a:gd name="csX150" fmla="*/ 137636 w 276034"/>
                              <a:gd name="csY150" fmla="*/ 48578 h 152506"/>
                              <a:gd name="csX151" fmla="*/ 139637 w 276034"/>
                              <a:gd name="csY151" fmla="*/ 44577 h 152506"/>
                              <a:gd name="csX152" fmla="*/ 137255 w 276034"/>
                              <a:gd name="csY152" fmla="*/ 42863 h 152506"/>
                              <a:gd name="csX153" fmla="*/ 135065 w 276034"/>
                              <a:gd name="csY153" fmla="*/ 43529 h 152506"/>
                              <a:gd name="csX154" fmla="*/ 133826 w 276034"/>
                              <a:gd name="csY154" fmla="*/ 45529 h 152506"/>
                              <a:gd name="csX155" fmla="*/ 133160 w 276034"/>
                              <a:gd name="csY155" fmla="*/ 43625 h 152506"/>
                              <a:gd name="csX156" fmla="*/ 132493 w 276034"/>
                              <a:gd name="csY156" fmla="*/ 42196 h 152506"/>
                              <a:gd name="csX157" fmla="*/ 132493 w 276034"/>
                              <a:gd name="csY157" fmla="*/ 41624 h 152506"/>
                              <a:gd name="csX158" fmla="*/ 133441 w 276034"/>
                              <a:gd name="csY158" fmla="*/ 39103 h 152506"/>
                              <a:gd name="csX159" fmla="*/ 133922 w 276034"/>
                              <a:gd name="csY159" fmla="*/ 38957 h 152506"/>
                              <a:gd name="csX160" fmla="*/ 137351 w 276034"/>
                              <a:gd name="csY160" fmla="*/ 38100 h 152506"/>
                              <a:gd name="csX161" fmla="*/ 140208 w 276034"/>
                              <a:gd name="csY161" fmla="*/ 35814 h 152506"/>
                              <a:gd name="csX162" fmla="*/ 142589 w 276034"/>
                              <a:gd name="csY162" fmla="*/ 34385 h 152506"/>
                              <a:gd name="csX163" fmla="*/ 147066 w 276034"/>
                              <a:gd name="csY163" fmla="*/ 34385 h 152506"/>
                              <a:gd name="csX164" fmla="*/ 151638 w 276034"/>
                              <a:gd name="csY164" fmla="*/ 30004 h 152506"/>
                              <a:gd name="csX165" fmla="*/ 153734 w 276034"/>
                              <a:gd name="csY165" fmla="*/ 34385 h 152506"/>
                              <a:gd name="csX166" fmla="*/ 158115 w 276034"/>
                              <a:gd name="csY166" fmla="*/ 33242 h 152506"/>
                              <a:gd name="csX167" fmla="*/ 155448 w 276034"/>
                              <a:gd name="csY167" fmla="*/ 38291 h 152506"/>
                              <a:gd name="csX168" fmla="*/ 160020 w 276034"/>
                              <a:gd name="csY168" fmla="*/ 37529 h 152506"/>
                              <a:gd name="csX169" fmla="*/ 156972 w 276034"/>
                              <a:gd name="csY169" fmla="*/ 42672 h 152506"/>
                              <a:gd name="csX170" fmla="*/ 162116 w 276034"/>
                              <a:gd name="csY170" fmla="*/ 47816 h 152506"/>
                              <a:gd name="csX171" fmla="*/ 157544 w 276034"/>
                              <a:gd name="csY171" fmla="*/ 47816 h 152506"/>
                              <a:gd name="csX172" fmla="*/ 162687 w 276034"/>
                              <a:gd name="csY172" fmla="*/ 57150 h 152506"/>
                              <a:gd name="csX173" fmla="*/ 158591 w 276034"/>
                              <a:gd name="csY173" fmla="*/ 55150 h 152506"/>
                              <a:gd name="csX174" fmla="*/ 158591 w 276034"/>
                              <a:gd name="csY174" fmla="*/ 63246 h 152506"/>
                              <a:gd name="csX175" fmla="*/ 155734 w 276034"/>
                              <a:gd name="csY175" fmla="*/ 61055 h 152506"/>
                              <a:gd name="csX176" fmla="*/ 154496 w 276034"/>
                              <a:gd name="csY176" fmla="*/ 68199 h 152506"/>
                              <a:gd name="csX177" fmla="*/ 151543 w 276034"/>
                              <a:gd name="csY177" fmla="*/ 66104 h 152506"/>
                              <a:gd name="csX178" fmla="*/ 149543 w 276034"/>
                              <a:gd name="csY178" fmla="*/ 73628 h 152506"/>
                              <a:gd name="csX179" fmla="*/ 153734 w 276034"/>
                              <a:gd name="csY179" fmla="*/ 88202 h 152506"/>
                              <a:gd name="csX180" fmla="*/ 156496 w 276034"/>
                              <a:gd name="csY180" fmla="*/ 96107 h 152506"/>
                              <a:gd name="csX181" fmla="*/ 161163 w 276034"/>
                              <a:gd name="csY181" fmla="*/ 100203 h 152506"/>
                              <a:gd name="csX182" fmla="*/ 165259 w 276034"/>
                              <a:gd name="csY182" fmla="*/ 95631 h 152506"/>
                              <a:gd name="csX183" fmla="*/ 159734 w 276034"/>
                              <a:gd name="csY183" fmla="*/ 80296 h 152506"/>
                              <a:gd name="csX184" fmla="*/ 163925 w 276034"/>
                              <a:gd name="csY184" fmla="*/ 69152 h 152506"/>
                              <a:gd name="csX185" fmla="*/ 159258 w 276034"/>
                              <a:gd name="csY185" fmla="*/ 66675 h 152506"/>
                              <a:gd name="csX186" fmla="*/ 165640 w 276034"/>
                              <a:gd name="csY186" fmla="*/ 63437 h 152506"/>
                              <a:gd name="csX187" fmla="*/ 168307 w 276034"/>
                              <a:gd name="csY187" fmla="*/ 65723 h 152506"/>
                              <a:gd name="csX188" fmla="*/ 167164 w 276034"/>
                              <a:gd name="csY188" fmla="*/ 69342 h 152506"/>
                              <a:gd name="csX189" fmla="*/ 170498 w 276034"/>
                              <a:gd name="csY189" fmla="*/ 62960 h 152506"/>
                              <a:gd name="csX190" fmla="*/ 168116 w 276034"/>
                              <a:gd name="csY190" fmla="*/ 54007 h 152506"/>
                              <a:gd name="csX191" fmla="*/ 168116 w 276034"/>
                              <a:gd name="csY191" fmla="*/ 53150 h 152506"/>
                              <a:gd name="csX192" fmla="*/ 175832 w 276034"/>
                              <a:gd name="csY192" fmla="*/ 63913 h 152506"/>
                              <a:gd name="csX193" fmla="*/ 169736 w 276034"/>
                              <a:gd name="csY193" fmla="*/ 70676 h 152506"/>
                              <a:gd name="csX194" fmla="*/ 174974 w 276034"/>
                              <a:gd name="csY194" fmla="*/ 73152 h 152506"/>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 ang="0">
                                <a:pos x="csX48" y="csY48"/>
                              </a:cxn>
                              <a:cxn ang="0">
                                <a:pos x="csX49" y="csY49"/>
                              </a:cxn>
                              <a:cxn ang="0">
                                <a:pos x="csX50" y="csY50"/>
                              </a:cxn>
                              <a:cxn ang="0">
                                <a:pos x="csX51" y="csY51"/>
                              </a:cxn>
                              <a:cxn ang="0">
                                <a:pos x="csX52" y="csY52"/>
                              </a:cxn>
                              <a:cxn ang="0">
                                <a:pos x="csX53" y="csY53"/>
                              </a:cxn>
                              <a:cxn ang="0">
                                <a:pos x="csX54" y="csY54"/>
                              </a:cxn>
                              <a:cxn ang="0">
                                <a:pos x="csX55" y="csY55"/>
                              </a:cxn>
                              <a:cxn ang="0">
                                <a:pos x="csX56" y="csY56"/>
                              </a:cxn>
                              <a:cxn ang="0">
                                <a:pos x="csX57" y="csY57"/>
                              </a:cxn>
                              <a:cxn ang="0">
                                <a:pos x="csX58" y="csY58"/>
                              </a:cxn>
                              <a:cxn ang="0">
                                <a:pos x="csX59" y="csY59"/>
                              </a:cxn>
                              <a:cxn ang="0">
                                <a:pos x="csX60" y="csY60"/>
                              </a:cxn>
                              <a:cxn ang="0">
                                <a:pos x="csX61" y="csY61"/>
                              </a:cxn>
                              <a:cxn ang="0">
                                <a:pos x="csX62" y="csY62"/>
                              </a:cxn>
                              <a:cxn ang="0">
                                <a:pos x="csX63" y="csY63"/>
                              </a:cxn>
                              <a:cxn ang="0">
                                <a:pos x="csX64" y="csY64"/>
                              </a:cxn>
                              <a:cxn ang="0">
                                <a:pos x="csX65" y="csY65"/>
                              </a:cxn>
                              <a:cxn ang="0">
                                <a:pos x="csX66" y="csY66"/>
                              </a:cxn>
                              <a:cxn ang="0">
                                <a:pos x="csX67" y="csY67"/>
                              </a:cxn>
                              <a:cxn ang="0">
                                <a:pos x="csX68" y="csY68"/>
                              </a:cxn>
                              <a:cxn ang="0">
                                <a:pos x="csX69" y="csY69"/>
                              </a:cxn>
                              <a:cxn ang="0">
                                <a:pos x="csX70" y="csY70"/>
                              </a:cxn>
                              <a:cxn ang="0">
                                <a:pos x="csX71" y="csY71"/>
                              </a:cxn>
                              <a:cxn ang="0">
                                <a:pos x="csX72" y="csY72"/>
                              </a:cxn>
                              <a:cxn ang="0">
                                <a:pos x="csX73" y="csY73"/>
                              </a:cxn>
                              <a:cxn ang="0">
                                <a:pos x="csX74" y="csY74"/>
                              </a:cxn>
                              <a:cxn ang="0">
                                <a:pos x="csX75" y="csY75"/>
                              </a:cxn>
                              <a:cxn ang="0">
                                <a:pos x="csX76" y="csY76"/>
                              </a:cxn>
                              <a:cxn ang="0">
                                <a:pos x="csX77" y="csY77"/>
                              </a:cxn>
                              <a:cxn ang="0">
                                <a:pos x="csX78" y="csY78"/>
                              </a:cxn>
                              <a:cxn ang="0">
                                <a:pos x="csX79" y="csY79"/>
                              </a:cxn>
                              <a:cxn ang="0">
                                <a:pos x="csX80" y="csY80"/>
                              </a:cxn>
                              <a:cxn ang="0">
                                <a:pos x="csX81" y="csY81"/>
                              </a:cxn>
                              <a:cxn ang="0">
                                <a:pos x="csX82" y="csY82"/>
                              </a:cxn>
                              <a:cxn ang="0">
                                <a:pos x="csX83" y="csY83"/>
                              </a:cxn>
                              <a:cxn ang="0">
                                <a:pos x="csX84" y="csY84"/>
                              </a:cxn>
                              <a:cxn ang="0">
                                <a:pos x="csX85" y="csY85"/>
                              </a:cxn>
                              <a:cxn ang="0">
                                <a:pos x="csX86" y="csY86"/>
                              </a:cxn>
                              <a:cxn ang="0">
                                <a:pos x="csX87" y="csY87"/>
                              </a:cxn>
                              <a:cxn ang="0">
                                <a:pos x="csX88" y="csY88"/>
                              </a:cxn>
                              <a:cxn ang="0">
                                <a:pos x="csX89" y="csY89"/>
                              </a:cxn>
                              <a:cxn ang="0">
                                <a:pos x="csX90" y="csY90"/>
                              </a:cxn>
                              <a:cxn ang="0">
                                <a:pos x="csX91" y="csY91"/>
                              </a:cxn>
                              <a:cxn ang="0">
                                <a:pos x="csX92" y="csY92"/>
                              </a:cxn>
                              <a:cxn ang="0">
                                <a:pos x="csX93" y="csY93"/>
                              </a:cxn>
                              <a:cxn ang="0">
                                <a:pos x="csX94" y="csY94"/>
                              </a:cxn>
                              <a:cxn ang="0">
                                <a:pos x="csX95" y="csY95"/>
                              </a:cxn>
                              <a:cxn ang="0">
                                <a:pos x="csX96" y="csY96"/>
                              </a:cxn>
                              <a:cxn ang="0">
                                <a:pos x="csX97" y="csY97"/>
                              </a:cxn>
                              <a:cxn ang="0">
                                <a:pos x="csX98" y="csY98"/>
                              </a:cxn>
                              <a:cxn ang="0">
                                <a:pos x="csX99" y="csY99"/>
                              </a:cxn>
                              <a:cxn ang="0">
                                <a:pos x="csX100" y="csY100"/>
                              </a:cxn>
                              <a:cxn ang="0">
                                <a:pos x="csX101" y="csY101"/>
                              </a:cxn>
                              <a:cxn ang="0">
                                <a:pos x="csX102" y="csY102"/>
                              </a:cxn>
                              <a:cxn ang="0">
                                <a:pos x="csX103" y="csY103"/>
                              </a:cxn>
                              <a:cxn ang="0">
                                <a:pos x="csX104" y="csY104"/>
                              </a:cxn>
                              <a:cxn ang="0">
                                <a:pos x="csX105" y="csY105"/>
                              </a:cxn>
                              <a:cxn ang="0">
                                <a:pos x="csX106" y="csY106"/>
                              </a:cxn>
                              <a:cxn ang="0">
                                <a:pos x="csX107" y="csY107"/>
                              </a:cxn>
                              <a:cxn ang="0">
                                <a:pos x="csX108" y="csY108"/>
                              </a:cxn>
                              <a:cxn ang="0">
                                <a:pos x="csX109" y="csY109"/>
                              </a:cxn>
                              <a:cxn ang="0">
                                <a:pos x="csX110" y="csY110"/>
                              </a:cxn>
                              <a:cxn ang="0">
                                <a:pos x="csX111" y="csY111"/>
                              </a:cxn>
                              <a:cxn ang="0">
                                <a:pos x="csX112" y="csY112"/>
                              </a:cxn>
                              <a:cxn ang="0">
                                <a:pos x="csX113" y="csY113"/>
                              </a:cxn>
                              <a:cxn ang="0">
                                <a:pos x="csX114" y="csY114"/>
                              </a:cxn>
                              <a:cxn ang="0">
                                <a:pos x="csX115" y="csY115"/>
                              </a:cxn>
                              <a:cxn ang="0">
                                <a:pos x="csX116" y="csY116"/>
                              </a:cxn>
                              <a:cxn ang="0">
                                <a:pos x="csX117" y="csY117"/>
                              </a:cxn>
                              <a:cxn ang="0">
                                <a:pos x="csX118" y="csY118"/>
                              </a:cxn>
                              <a:cxn ang="0">
                                <a:pos x="csX119" y="csY119"/>
                              </a:cxn>
                              <a:cxn ang="0">
                                <a:pos x="csX120" y="csY120"/>
                              </a:cxn>
                              <a:cxn ang="0">
                                <a:pos x="csX121" y="csY121"/>
                              </a:cxn>
                              <a:cxn ang="0">
                                <a:pos x="csX122" y="csY122"/>
                              </a:cxn>
                              <a:cxn ang="0">
                                <a:pos x="csX123" y="csY123"/>
                              </a:cxn>
                              <a:cxn ang="0">
                                <a:pos x="csX124" y="csY124"/>
                              </a:cxn>
                              <a:cxn ang="0">
                                <a:pos x="csX125" y="csY125"/>
                              </a:cxn>
                              <a:cxn ang="0">
                                <a:pos x="csX126" y="csY126"/>
                              </a:cxn>
                              <a:cxn ang="0">
                                <a:pos x="csX127" y="csY127"/>
                              </a:cxn>
                              <a:cxn ang="0">
                                <a:pos x="csX128" y="csY128"/>
                              </a:cxn>
                              <a:cxn ang="0">
                                <a:pos x="csX129" y="csY129"/>
                              </a:cxn>
                              <a:cxn ang="0">
                                <a:pos x="csX130" y="csY130"/>
                              </a:cxn>
                              <a:cxn ang="0">
                                <a:pos x="csX131" y="csY131"/>
                              </a:cxn>
                              <a:cxn ang="0">
                                <a:pos x="csX132" y="csY132"/>
                              </a:cxn>
                              <a:cxn ang="0">
                                <a:pos x="csX133" y="csY133"/>
                              </a:cxn>
                              <a:cxn ang="0">
                                <a:pos x="csX134" y="csY134"/>
                              </a:cxn>
                              <a:cxn ang="0">
                                <a:pos x="csX135" y="csY135"/>
                              </a:cxn>
                              <a:cxn ang="0">
                                <a:pos x="csX136" y="csY136"/>
                              </a:cxn>
                              <a:cxn ang="0">
                                <a:pos x="csX137" y="csY137"/>
                              </a:cxn>
                              <a:cxn ang="0">
                                <a:pos x="csX138" y="csY138"/>
                              </a:cxn>
                              <a:cxn ang="0">
                                <a:pos x="csX139" y="csY139"/>
                              </a:cxn>
                              <a:cxn ang="0">
                                <a:pos x="csX140" y="csY140"/>
                              </a:cxn>
                              <a:cxn ang="0">
                                <a:pos x="csX141" y="csY141"/>
                              </a:cxn>
                              <a:cxn ang="0">
                                <a:pos x="csX142" y="csY142"/>
                              </a:cxn>
                              <a:cxn ang="0">
                                <a:pos x="csX143" y="csY143"/>
                              </a:cxn>
                              <a:cxn ang="0">
                                <a:pos x="csX144" y="csY144"/>
                              </a:cxn>
                              <a:cxn ang="0">
                                <a:pos x="csX145" y="csY145"/>
                              </a:cxn>
                              <a:cxn ang="0">
                                <a:pos x="csX146" y="csY146"/>
                              </a:cxn>
                              <a:cxn ang="0">
                                <a:pos x="csX147" y="csY147"/>
                              </a:cxn>
                              <a:cxn ang="0">
                                <a:pos x="csX148" y="csY148"/>
                              </a:cxn>
                              <a:cxn ang="0">
                                <a:pos x="csX149" y="csY149"/>
                              </a:cxn>
                              <a:cxn ang="0">
                                <a:pos x="csX150" y="csY150"/>
                              </a:cxn>
                              <a:cxn ang="0">
                                <a:pos x="csX151" y="csY151"/>
                              </a:cxn>
                              <a:cxn ang="0">
                                <a:pos x="csX152" y="csY152"/>
                              </a:cxn>
                              <a:cxn ang="0">
                                <a:pos x="csX153" y="csY153"/>
                              </a:cxn>
                              <a:cxn ang="0">
                                <a:pos x="csX154" y="csY154"/>
                              </a:cxn>
                              <a:cxn ang="0">
                                <a:pos x="csX155" y="csY155"/>
                              </a:cxn>
                              <a:cxn ang="0">
                                <a:pos x="csX156" y="csY156"/>
                              </a:cxn>
                              <a:cxn ang="0">
                                <a:pos x="csX157" y="csY157"/>
                              </a:cxn>
                              <a:cxn ang="0">
                                <a:pos x="csX158" y="csY158"/>
                              </a:cxn>
                              <a:cxn ang="0">
                                <a:pos x="csX159" y="csY159"/>
                              </a:cxn>
                              <a:cxn ang="0">
                                <a:pos x="csX160" y="csY160"/>
                              </a:cxn>
                              <a:cxn ang="0">
                                <a:pos x="csX161" y="csY161"/>
                              </a:cxn>
                              <a:cxn ang="0">
                                <a:pos x="csX162" y="csY162"/>
                              </a:cxn>
                              <a:cxn ang="0">
                                <a:pos x="csX163" y="csY163"/>
                              </a:cxn>
                              <a:cxn ang="0">
                                <a:pos x="csX164" y="csY164"/>
                              </a:cxn>
                              <a:cxn ang="0">
                                <a:pos x="csX165" y="csY165"/>
                              </a:cxn>
                              <a:cxn ang="0">
                                <a:pos x="csX166" y="csY166"/>
                              </a:cxn>
                              <a:cxn ang="0">
                                <a:pos x="csX167" y="csY167"/>
                              </a:cxn>
                              <a:cxn ang="0">
                                <a:pos x="csX168" y="csY168"/>
                              </a:cxn>
                              <a:cxn ang="0">
                                <a:pos x="csX169" y="csY169"/>
                              </a:cxn>
                              <a:cxn ang="0">
                                <a:pos x="csX170" y="csY170"/>
                              </a:cxn>
                              <a:cxn ang="0">
                                <a:pos x="csX171" y="csY171"/>
                              </a:cxn>
                              <a:cxn ang="0">
                                <a:pos x="csX172" y="csY172"/>
                              </a:cxn>
                              <a:cxn ang="0">
                                <a:pos x="csX173" y="csY173"/>
                              </a:cxn>
                              <a:cxn ang="0">
                                <a:pos x="csX174" y="csY174"/>
                              </a:cxn>
                              <a:cxn ang="0">
                                <a:pos x="csX175" y="csY175"/>
                              </a:cxn>
                              <a:cxn ang="0">
                                <a:pos x="csX176" y="csY176"/>
                              </a:cxn>
                              <a:cxn ang="0">
                                <a:pos x="csX177" y="csY177"/>
                              </a:cxn>
                              <a:cxn ang="0">
                                <a:pos x="csX178" y="csY178"/>
                              </a:cxn>
                              <a:cxn ang="0">
                                <a:pos x="csX179" y="csY179"/>
                              </a:cxn>
                              <a:cxn ang="0">
                                <a:pos x="csX180" y="csY180"/>
                              </a:cxn>
                              <a:cxn ang="0">
                                <a:pos x="csX181" y="csY181"/>
                              </a:cxn>
                              <a:cxn ang="0">
                                <a:pos x="csX182" y="csY182"/>
                              </a:cxn>
                              <a:cxn ang="0">
                                <a:pos x="csX183" y="csY183"/>
                              </a:cxn>
                              <a:cxn ang="0">
                                <a:pos x="csX184" y="csY184"/>
                              </a:cxn>
                              <a:cxn ang="0">
                                <a:pos x="csX185" y="csY185"/>
                              </a:cxn>
                              <a:cxn ang="0">
                                <a:pos x="csX186" y="csY186"/>
                              </a:cxn>
                              <a:cxn ang="0">
                                <a:pos x="csX187" y="csY187"/>
                              </a:cxn>
                              <a:cxn ang="0">
                                <a:pos x="csX188" y="csY188"/>
                              </a:cxn>
                              <a:cxn ang="0">
                                <a:pos x="csX189" y="csY189"/>
                              </a:cxn>
                              <a:cxn ang="0">
                                <a:pos x="csX190" y="csY190"/>
                              </a:cxn>
                              <a:cxn ang="0">
                                <a:pos x="csX191" y="csY191"/>
                              </a:cxn>
                              <a:cxn ang="0">
                                <a:pos x="csX192" y="csY192"/>
                              </a:cxn>
                              <a:cxn ang="0">
                                <a:pos x="csX193" y="csY193"/>
                              </a:cxn>
                              <a:cxn ang="0">
                                <a:pos x="csX194" y="csY194"/>
                              </a:cxn>
                            </a:cxnLst>
                            <a:rect l="l" t="t" r="r" b="b"/>
                            <a:pathLst>
                              <a:path w="276034" h="152506">
                                <a:moveTo>
                                  <a:pt x="141256" y="0"/>
                                </a:moveTo>
                                <a:lnTo>
                                  <a:pt x="0" y="137065"/>
                                </a:lnTo>
                                <a:cubicBezTo>
                                  <a:pt x="85706" y="148203"/>
                                  <a:pt x="172087" y="153328"/>
                                  <a:pt x="258509" y="152400"/>
                                </a:cubicBezTo>
                                <a:lnTo>
                                  <a:pt x="259842" y="152400"/>
                                </a:lnTo>
                                <a:cubicBezTo>
                                  <a:pt x="259842" y="152400"/>
                                  <a:pt x="260414" y="147733"/>
                                  <a:pt x="260890" y="142875"/>
                                </a:cubicBezTo>
                                <a:cubicBezTo>
                                  <a:pt x="261366" y="138017"/>
                                  <a:pt x="263081" y="136398"/>
                                  <a:pt x="267272" y="136017"/>
                                </a:cubicBezTo>
                                <a:lnTo>
                                  <a:pt x="276035" y="135160"/>
                                </a:lnTo>
                                <a:close/>
                                <a:moveTo>
                                  <a:pt x="128968" y="40291"/>
                                </a:moveTo>
                                <a:cubicBezTo>
                                  <a:pt x="128302" y="42577"/>
                                  <a:pt x="128397" y="45530"/>
                                  <a:pt x="131540" y="45530"/>
                                </a:cubicBezTo>
                                <a:cubicBezTo>
                                  <a:pt x="134216" y="45146"/>
                                  <a:pt x="136799" y="44274"/>
                                  <a:pt x="139160" y="42958"/>
                                </a:cubicBezTo>
                                <a:lnTo>
                                  <a:pt x="139160" y="43815"/>
                                </a:lnTo>
                                <a:cubicBezTo>
                                  <a:pt x="135970" y="46261"/>
                                  <a:pt x="132251" y="47924"/>
                                  <a:pt x="128302" y="48673"/>
                                </a:cubicBezTo>
                                <a:cubicBezTo>
                                  <a:pt x="126685" y="48883"/>
                                  <a:pt x="125203" y="47743"/>
                                  <a:pt x="124993" y="46126"/>
                                </a:cubicBezTo>
                                <a:cubicBezTo>
                                  <a:pt x="124975" y="45991"/>
                                  <a:pt x="124967" y="45856"/>
                                  <a:pt x="124968" y="45720"/>
                                </a:cubicBezTo>
                                <a:cubicBezTo>
                                  <a:pt x="125349" y="43339"/>
                                  <a:pt x="127064" y="42577"/>
                                  <a:pt x="128968" y="40291"/>
                                </a:cubicBezTo>
                                <a:close/>
                                <a:moveTo>
                                  <a:pt x="174974" y="73152"/>
                                </a:moveTo>
                                <a:cubicBezTo>
                                  <a:pt x="174974" y="75629"/>
                                  <a:pt x="171164" y="77057"/>
                                  <a:pt x="170498" y="78200"/>
                                </a:cubicBezTo>
                                <a:cubicBezTo>
                                  <a:pt x="170092" y="78594"/>
                                  <a:pt x="169797" y="79086"/>
                                  <a:pt x="169640" y="79629"/>
                                </a:cubicBezTo>
                                <a:cubicBezTo>
                                  <a:pt x="169164" y="78010"/>
                                  <a:pt x="169640" y="76771"/>
                                  <a:pt x="169640" y="75629"/>
                                </a:cubicBezTo>
                                <a:cubicBezTo>
                                  <a:pt x="169640" y="74486"/>
                                  <a:pt x="168688" y="73724"/>
                                  <a:pt x="167450" y="73724"/>
                                </a:cubicBezTo>
                                <a:cubicBezTo>
                                  <a:pt x="163225" y="75742"/>
                                  <a:pt x="161437" y="80803"/>
                                  <a:pt x="163456" y="85027"/>
                                </a:cubicBezTo>
                                <a:cubicBezTo>
                                  <a:pt x="163570" y="85266"/>
                                  <a:pt x="163694" y="85498"/>
                                  <a:pt x="163830" y="85725"/>
                                </a:cubicBezTo>
                                <a:cubicBezTo>
                                  <a:pt x="163558" y="83975"/>
                                  <a:pt x="164005" y="82189"/>
                                  <a:pt x="165068" y="80772"/>
                                </a:cubicBezTo>
                                <a:cubicBezTo>
                                  <a:pt x="165590" y="80127"/>
                                  <a:pt x="165861" y="79315"/>
                                  <a:pt x="165830" y="78486"/>
                                </a:cubicBezTo>
                                <a:cubicBezTo>
                                  <a:pt x="166615" y="79745"/>
                                  <a:pt x="167043" y="81194"/>
                                  <a:pt x="167068" y="82677"/>
                                </a:cubicBezTo>
                                <a:cubicBezTo>
                                  <a:pt x="167069" y="85916"/>
                                  <a:pt x="164687" y="86582"/>
                                  <a:pt x="165735" y="89059"/>
                                </a:cubicBezTo>
                                <a:cubicBezTo>
                                  <a:pt x="165735" y="89726"/>
                                  <a:pt x="166211" y="90202"/>
                                  <a:pt x="166497" y="91059"/>
                                </a:cubicBezTo>
                                <a:cubicBezTo>
                                  <a:pt x="166344" y="90081"/>
                                  <a:pt x="166344" y="89085"/>
                                  <a:pt x="166497" y="88106"/>
                                </a:cubicBezTo>
                                <a:cubicBezTo>
                                  <a:pt x="166497" y="87344"/>
                                  <a:pt x="167926" y="85820"/>
                                  <a:pt x="168021" y="85249"/>
                                </a:cubicBezTo>
                                <a:cubicBezTo>
                                  <a:pt x="168167" y="84622"/>
                                  <a:pt x="168167" y="83970"/>
                                  <a:pt x="168021" y="83344"/>
                                </a:cubicBezTo>
                                <a:cubicBezTo>
                                  <a:pt x="169170" y="84545"/>
                                  <a:pt x="169788" y="86159"/>
                                  <a:pt x="169736" y="87820"/>
                                </a:cubicBezTo>
                                <a:cubicBezTo>
                                  <a:pt x="169731" y="89454"/>
                                  <a:pt x="169233" y="91047"/>
                                  <a:pt x="168307" y="92392"/>
                                </a:cubicBezTo>
                                <a:cubicBezTo>
                                  <a:pt x="167933" y="93210"/>
                                  <a:pt x="167676" y="94075"/>
                                  <a:pt x="167545" y="94964"/>
                                </a:cubicBezTo>
                                <a:cubicBezTo>
                                  <a:pt x="166878" y="100298"/>
                                  <a:pt x="164211" y="102870"/>
                                  <a:pt x="160782" y="102870"/>
                                </a:cubicBezTo>
                                <a:cubicBezTo>
                                  <a:pt x="159331" y="102876"/>
                                  <a:pt x="157897" y="102550"/>
                                  <a:pt x="156591" y="101918"/>
                                </a:cubicBezTo>
                                <a:cubicBezTo>
                                  <a:pt x="156591" y="108776"/>
                                  <a:pt x="148685" y="108299"/>
                                  <a:pt x="148685" y="112776"/>
                                </a:cubicBezTo>
                                <a:cubicBezTo>
                                  <a:pt x="148818" y="114145"/>
                                  <a:pt x="149424" y="115426"/>
                                  <a:pt x="150400" y="116395"/>
                                </a:cubicBezTo>
                                <a:cubicBezTo>
                                  <a:pt x="152260" y="117392"/>
                                  <a:pt x="154015" y="118573"/>
                                  <a:pt x="155639" y="119920"/>
                                </a:cubicBezTo>
                                <a:cubicBezTo>
                                  <a:pt x="153940" y="119918"/>
                                  <a:pt x="152304" y="120566"/>
                                  <a:pt x="151067" y="121730"/>
                                </a:cubicBezTo>
                                <a:cubicBezTo>
                                  <a:pt x="153924" y="123158"/>
                                  <a:pt x="153829" y="124778"/>
                                  <a:pt x="154210" y="126873"/>
                                </a:cubicBezTo>
                                <a:cubicBezTo>
                                  <a:pt x="151448" y="125540"/>
                                  <a:pt x="150114" y="126302"/>
                                  <a:pt x="149447" y="126873"/>
                                </a:cubicBezTo>
                                <a:cubicBezTo>
                                  <a:pt x="148781" y="127445"/>
                                  <a:pt x="149447" y="128969"/>
                                  <a:pt x="148019" y="130302"/>
                                </a:cubicBezTo>
                                <a:cubicBezTo>
                                  <a:pt x="148019" y="129254"/>
                                  <a:pt x="146876" y="128302"/>
                                  <a:pt x="145637" y="128302"/>
                                </a:cubicBezTo>
                                <a:cubicBezTo>
                                  <a:pt x="144086" y="128757"/>
                                  <a:pt x="142761" y="129776"/>
                                  <a:pt x="141923" y="131159"/>
                                </a:cubicBezTo>
                                <a:cubicBezTo>
                                  <a:pt x="142082" y="132571"/>
                                  <a:pt x="141067" y="133844"/>
                                  <a:pt x="139655" y="134003"/>
                                </a:cubicBezTo>
                                <a:cubicBezTo>
                                  <a:pt x="139522" y="134018"/>
                                  <a:pt x="139389" y="134023"/>
                                  <a:pt x="139256" y="134017"/>
                                </a:cubicBezTo>
                                <a:cubicBezTo>
                                  <a:pt x="138392" y="134894"/>
                                  <a:pt x="138033" y="136150"/>
                                  <a:pt x="138303" y="137351"/>
                                </a:cubicBezTo>
                                <a:cubicBezTo>
                                  <a:pt x="137255" y="136303"/>
                                  <a:pt x="137065" y="135636"/>
                                  <a:pt x="137446" y="133731"/>
                                </a:cubicBezTo>
                                <a:cubicBezTo>
                                  <a:pt x="136208" y="133731"/>
                                  <a:pt x="136398" y="132112"/>
                                  <a:pt x="136779" y="131255"/>
                                </a:cubicBezTo>
                                <a:cubicBezTo>
                                  <a:pt x="136017" y="131921"/>
                                  <a:pt x="135350" y="132779"/>
                                  <a:pt x="133636" y="131921"/>
                                </a:cubicBezTo>
                                <a:cubicBezTo>
                                  <a:pt x="132728" y="132438"/>
                                  <a:pt x="132126" y="133360"/>
                                  <a:pt x="132017" y="134398"/>
                                </a:cubicBezTo>
                                <a:cubicBezTo>
                                  <a:pt x="132017" y="131540"/>
                                  <a:pt x="132017" y="130588"/>
                                  <a:pt x="132969" y="130207"/>
                                </a:cubicBezTo>
                                <a:cubicBezTo>
                                  <a:pt x="132730" y="129165"/>
                                  <a:pt x="133244" y="128098"/>
                                  <a:pt x="134207" y="127635"/>
                                </a:cubicBezTo>
                                <a:lnTo>
                                  <a:pt x="134207" y="127064"/>
                                </a:lnTo>
                                <a:cubicBezTo>
                                  <a:pt x="133391" y="127127"/>
                                  <a:pt x="132600" y="126767"/>
                                  <a:pt x="132112" y="126111"/>
                                </a:cubicBezTo>
                                <a:cubicBezTo>
                                  <a:pt x="131159" y="126111"/>
                                  <a:pt x="129921" y="127064"/>
                                  <a:pt x="129731" y="127635"/>
                                </a:cubicBezTo>
                                <a:cubicBezTo>
                                  <a:pt x="129463" y="126254"/>
                                  <a:pt x="129891" y="124831"/>
                                  <a:pt x="130874" y="123825"/>
                                </a:cubicBezTo>
                                <a:cubicBezTo>
                                  <a:pt x="131921" y="121634"/>
                                  <a:pt x="133922" y="121253"/>
                                  <a:pt x="135160" y="122492"/>
                                </a:cubicBezTo>
                                <a:cubicBezTo>
                                  <a:pt x="136302" y="123391"/>
                                  <a:pt x="137707" y="123893"/>
                                  <a:pt x="139160" y="123920"/>
                                </a:cubicBezTo>
                                <a:cubicBezTo>
                                  <a:pt x="140551" y="123810"/>
                                  <a:pt x="141830" y="123118"/>
                                  <a:pt x="142685" y="122015"/>
                                </a:cubicBezTo>
                                <a:cubicBezTo>
                                  <a:pt x="142965" y="121707"/>
                                  <a:pt x="143191" y="121353"/>
                                  <a:pt x="143351" y="120967"/>
                                </a:cubicBezTo>
                                <a:cubicBezTo>
                                  <a:pt x="143351" y="120110"/>
                                  <a:pt x="144399" y="119158"/>
                                  <a:pt x="142685" y="116967"/>
                                </a:cubicBezTo>
                                <a:cubicBezTo>
                                  <a:pt x="140970" y="114776"/>
                                  <a:pt x="138017" y="112014"/>
                                  <a:pt x="137922" y="109728"/>
                                </a:cubicBezTo>
                                <a:cubicBezTo>
                                  <a:pt x="137830" y="106795"/>
                                  <a:pt x="139095" y="103984"/>
                                  <a:pt x="141351" y="102108"/>
                                </a:cubicBezTo>
                                <a:lnTo>
                                  <a:pt x="140018" y="102108"/>
                                </a:lnTo>
                                <a:cubicBezTo>
                                  <a:pt x="137541" y="102108"/>
                                  <a:pt x="137351" y="100584"/>
                                  <a:pt x="134874" y="100584"/>
                                </a:cubicBezTo>
                                <a:cubicBezTo>
                                  <a:pt x="133122" y="100736"/>
                                  <a:pt x="131811" y="102258"/>
                                  <a:pt x="131921" y="104013"/>
                                </a:cubicBezTo>
                                <a:cubicBezTo>
                                  <a:pt x="131873" y="105065"/>
                                  <a:pt x="132174" y="106103"/>
                                  <a:pt x="132779" y="106966"/>
                                </a:cubicBezTo>
                                <a:cubicBezTo>
                                  <a:pt x="133515" y="108019"/>
                                  <a:pt x="133821" y="109314"/>
                                  <a:pt x="133636" y="110585"/>
                                </a:cubicBezTo>
                                <a:cubicBezTo>
                                  <a:pt x="132301" y="109068"/>
                                  <a:pt x="130028" y="108820"/>
                                  <a:pt x="128397" y="110014"/>
                                </a:cubicBezTo>
                                <a:cubicBezTo>
                                  <a:pt x="128180" y="111413"/>
                                  <a:pt x="127385" y="112658"/>
                                  <a:pt x="126206" y="113443"/>
                                </a:cubicBezTo>
                                <a:cubicBezTo>
                                  <a:pt x="125645" y="111579"/>
                                  <a:pt x="123679" y="110523"/>
                                  <a:pt x="121815" y="111085"/>
                                </a:cubicBezTo>
                                <a:cubicBezTo>
                                  <a:pt x="121195" y="111272"/>
                                  <a:pt x="120638" y="111626"/>
                                  <a:pt x="120206" y="112109"/>
                                </a:cubicBezTo>
                                <a:cubicBezTo>
                                  <a:pt x="120206" y="112776"/>
                                  <a:pt x="119634" y="114205"/>
                                  <a:pt x="117729" y="114205"/>
                                </a:cubicBezTo>
                                <a:lnTo>
                                  <a:pt x="116110" y="114205"/>
                                </a:lnTo>
                                <a:cubicBezTo>
                                  <a:pt x="115340" y="114874"/>
                                  <a:pt x="114751" y="115725"/>
                                  <a:pt x="114395" y="116681"/>
                                </a:cubicBezTo>
                                <a:cubicBezTo>
                                  <a:pt x="114108" y="115496"/>
                                  <a:pt x="114351" y="114244"/>
                                  <a:pt x="115062" y="113252"/>
                                </a:cubicBezTo>
                                <a:cubicBezTo>
                                  <a:pt x="115062" y="112586"/>
                                  <a:pt x="115062" y="110966"/>
                                  <a:pt x="115824" y="110490"/>
                                </a:cubicBezTo>
                                <a:cubicBezTo>
                                  <a:pt x="114713" y="111579"/>
                                  <a:pt x="112935" y="111579"/>
                                  <a:pt x="111824" y="110490"/>
                                </a:cubicBezTo>
                                <a:cubicBezTo>
                                  <a:pt x="111062" y="110490"/>
                                  <a:pt x="110395" y="111062"/>
                                  <a:pt x="109633" y="112586"/>
                                </a:cubicBezTo>
                                <a:cubicBezTo>
                                  <a:pt x="109648" y="111151"/>
                                  <a:pt x="110230" y="109782"/>
                                  <a:pt x="111252" y="108776"/>
                                </a:cubicBezTo>
                                <a:cubicBezTo>
                                  <a:pt x="111252" y="107633"/>
                                  <a:pt x="112871" y="106585"/>
                                  <a:pt x="114586" y="106966"/>
                                </a:cubicBezTo>
                                <a:lnTo>
                                  <a:pt x="114586" y="106394"/>
                                </a:lnTo>
                                <a:cubicBezTo>
                                  <a:pt x="114586" y="105823"/>
                                  <a:pt x="114586" y="106394"/>
                                  <a:pt x="114586" y="106394"/>
                                </a:cubicBezTo>
                                <a:cubicBezTo>
                                  <a:pt x="114586" y="106394"/>
                                  <a:pt x="112490" y="106394"/>
                                  <a:pt x="112586" y="104108"/>
                                </a:cubicBezTo>
                                <a:cubicBezTo>
                                  <a:pt x="111700" y="103874"/>
                                  <a:pt x="110757" y="104128"/>
                                  <a:pt x="110109" y="104775"/>
                                </a:cubicBezTo>
                                <a:cubicBezTo>
                                  <a:pt x="110604" y="103452"/>
                                  <a:pt x="111841" y="102552"/>
                                  <a:pt x="113252" y="102489"/>
                                </a:cubicBezTo>
                                <a:cubicBezTo>
                                  <a:pt x="113252" y="101727"/>
                                  <a:pt x="114776" y="101632"/>
                                  <a:pt x="115443" y="101632"/>
                                </a:cubicBezTo>
                                <a:cubicBezTo>
                                  <a:pt x="116366" y="101536"/>
                                  <a:pt x="117234" y="102088"/>
                                  <a:pt x="117539" y="102965"/>
                                </a:cubicBezTo>
                                <a:cubicBezTo>
                                  <a:pt x="119044" y="104929"/>
                                  <a:pt x="121458" y="105974"/>
                                  <a:pt x="123920" y="105728"/>
                                </a:cubicBezTo>
                                <a:cubicBezTo>
                                  <a:pt x="125235" y="105729"/>
                                  <a:pt x="126302" y="104663"/>
                                  <a:pt x="126303" y="103348"/>
                                </a:cubicBezTo>
                                <a:cubicBezTo>
                                  <a:pt x="126303" y="103316"/>
                                  <a:pt x="126303" y="103283"/>
                                  <a:pt x="126302" y="103251"/>
                                </a:cubicBezTo>
                                <a:cubicBezTo>
                                  <a:pt x="126302" y="101727"/>
                                  <a:pt x="123825" y="97346"/>
                                  <a:pt x="123825" y="95345"/>
                                </a:cubicBezTo>
                                <a:cubicBezTo>
                                  <a:pt x="124590" y="92498"/>
                                  <a:pt x="126859" y="90302"/>
                                  <a:pt x="129730" y="89630"/>
                                </a:cubicBezTo>
                                <a:cubicBezTo>
                                  <a:pt x="133442" y="89741"/>
                                  <a:pt x="137071" y="90755"/>
                                  <a:pt x="140303" y="92583"/>
                                </a:cubicBezTo>
                                <a:cubicBezTo>
                                  <a:pt x="142685" y="92583"/>
                                  <a:pt x="142970" y="92583"/>
                                  <a:pt x="143256" y="91821"/>
                                </a:cubicBezTo>
                                <a:cubicBezTo>
                                  <a:pt x="139827" y="87535"/>
                                  <a:pt x="137732" y="87630"/>
                                  <a:pt x="134398" y="85439"/>
                                </a:cubicBezTo>
                                <a:cubicBezTo>
                                  <a:pt x="132864" y="84255"/>
                                  <a:pt x="131869" y="82505"/>
                                  <a:pt x="131636" y="80582"/>
                                </a:cubicBezTo>
                                <a:cubicBezTo>
                                  <a:pt x="129635" y="81058"/>
                                  <a:pt x="127730" y="83725"/>
                                  <a:pt x="126778" y="85439"/>
                                </a:cubicBezTo>
                                <a:cubicBezTo>
                                  <a:pt x="126373" y="84691"/>
                                  <a:pt x="125624" y="84192"/>
                                  <a:pt x="124778" y="84106"/>
                                </a:cubicBezTo>
                                <a:cubicBezTo>
                                  <a:pt x="123158" y="84106"/>
                                  <a:pt x="122015" y="86201"/>
                                  <a:pt x="121253" y="88011"/>
                                </a:cubicBezTo>
                                <a:cubicBezTo>
                                  <a:pt x="121025" y="85884"/>
                                  <a:pt x="119293" y="84233"/>
                                  <a:pt x="117158" y="84106"/>
                                </a:cubicBezTo>
                                <a:cubicBezTo>
                                  <a:pt x="115824" y="84106"/>
                                  <a:pt x="114300" y="84106"/>
                                  <a:pt x="113919" y="85439"/>
                                </a:cubicBezTo>
                                <a:cubicBezTo>
                                  <a:pt x="113316" y="86790"/>
                                  <a:pt x="111830" y="87513"/>
                                  <a:pt x="110395" y="87154"/>
                                </a:cubicBezTo>
                                <a:cubicBezTo>
                                  <a:pt x="109633" y="87154"/>
                                  <a:pt x="109061" y="87821"/>
                                  <a:pt x="108585" y="90011"/>
                                </a:cubicBezTo>
                                <a:cubicBezTo>
                                  <a:pt x="107918" y="87249"/>
                                  <a:pt x="108585" y="86773"/>
                                  <a:pt x="108585" y="86106"/>
                                </a:cubicBezTo>
                                <a:cubicBezTo>
                                  <a:pt x="108216" y="85106"/>
                                  <a:pt x="108478" y="83982"/>
                                  <a:pt x="109252" y="83249"/>
                                </a:cubicBezTo>
                                <a:cubicBezTo>
                                  <a:pt x="108204" y="83249"/>
                                  <a:pt x="106585" y="83249"/>
                                  <a:pt x="106204" y="82582"/>
                                </a:cubicBezTo>
                                <a:cubicBezTo>
                                  <a:pt x="105823" y="81915"/>
                                  <a:pt x="104585" y="82582"/>
                                  <a:pt x="103632" y="84201"/>
                                </a:cubicBezTo>
                                <a:cubicBezTo>
                                  <a:pt x="103713" y="82679"/>
                                  <a:pt x="104578" y="81308"/>
                                  <a:pt x="105918" y="80582"/>
                                </a:cubicBezTo>
                                <a:cubicBezTo>
                                  <a:pt x="106525" y="79604"/>
                                  <a:pt x="107630" y="79052"/>
                                  <a:pt x="108776" y="79153"/>
                                </a:cubicBezTo>
                                <a:lnTo>
                                  <a:pt x="108776" y="78677"/>
                                </a:lnTo>
                                <a:cubicBezTo>
                                  <a:pt x="107931" y="78195"/>
                                  <a:pt x="107447" y="77263"/>
                                  <a:pt x="107537" y="76295"/>
                                </a:cubicBezTo>
                                <a:cubicBezTo>
                                  <a:pt x="106680" y="75248"/>
                                  <a:pt x="105632" y="76295"/>
                                  <a:pt x="104870" y="76295"/>
                                </a:cubicBezTo>
                                <a:cubicBezTo>
                                  <a:pt x="106299" y="74771"/>
                                  <a:pt x="108014" y="74200"/>
                                  <a:pt x="109061" y="74867"/>
                                </a:cubicBezTo>
                                <a:cubicBezTo>
                                  <a:pt x="110109" y="75533"/>
                                  <a:pt x="112395" y="74867"/>
                                  <a:pt x="112681" y="76581"/>
                                </a:cubicBezTo>
                                <a:cubicBezTo>
                                  <a:pt x="112967" y="78296"/>
                                  <a:pt x="115348" y="78391"/>
                                  <a:pt x="117920" y="78391"/>
                                </a:cubicBezTo>
                                <a:cubicBezTo>
                                  <a:pt x="123539" y="78391"/>
                                  <a:pt x="132398" y="73152"/>
                                  <a:pt x="131731" y="68866"/>
                                </a:cubicBezTo>
                                <a:cubicBezTo>
                                  <a:pt x="130910" y="68740"/>
                                  <a:pt x="130075" y="68740"/>
                                  <a:pt x="129254" y="68866"/>
                                </a:cubicBezTo>
                                <a:cubicBezTo>
                                  <a:pt x="126206" y="68866"/>
                                  <a:pt x="122492" y="72581"/>
                                  <a:pt x="119729" y="72676"/>
                                </a:cubicBezTo>
                                <a:cubicBezTo>
                                  <a:pt x="121158" y="70961"/>
                                  <a:pt x="119729" y="69342"/>
                                  <a:pt x="121063" y="68104"/>
                                </a:cubicBezTo>
                                <a:cubicBezTo>
                                  <a:pt x="118965" y="68552"/>
                                  <a:pt x="116826" y="68776"/>
                                  <a:pt x="114681" y="68770"/>
                                </a:cubicBezTo>
                                <a:cubicBezTo>
                                  <a:pt x="115714" y="67872"/>
                                  <a:pt x="116362" y="66610"/>
                                  <a:pt x="116491" y="65246"/>
                                </a:cubicBezTo>
                                <a:cubicBezTo>
                                  <a:pt x="116491" y="64484"/>
                                  <a:pt x="116491" y="62960"/>
                                  <a:pt x="113157" y="62960"/>
                                </a:cubicBezTo>
                                <a:cubicBezTo>
                                  <a:pt x="112525" y="63043"/>
                                  <a:pt x="111884" y="63043"/>
                                  <a:pt x="111252" y="62960"/>
                                </a:cubicBezTo>
                                <a:cubicBezTo>
                                  <a:pt x="110490" y="62960"/>
                                  <a:pt x="108299" y="62960"/>
                                  <a:pt x="108299" y="61055"/>
                                </a:cubicBezTo>
                                <a:cubicBezTo>
                                  <a:pt x="107186" y="60795"/>
                                  <a:pt x="106018" y="61159"/>
                                  <a:pt x="105251" y="62008"/>
                                </a:cubicBezTo>
                                <a:cubicBezTo>
                                  <a:pt x="105885" y="60681"/>
                                  <a:pt x="107013" y="59655"/>
                                  <a:pt x="108395" y="59150"/>
                                </a:cubicBezTo>
                                <a:cubicBezTo>
                                  <a:pt x="108698" y="58414"/>
                                  <a:pt x="109408" y="57928"/>
                                  <a:pt x="110204" y="57912"/>
                                </a:cubicBezTo>
                                <a:lnTo>
                                  <a:pt x="110204" y="57245"/>
                                </a:lnTo>
                                <a:cubicBezTo>
                                  <a:pt x="110204" y="56579"/>
                                  <a:pt x="107633" y="56674"/>
                                  <a:pt x="107633" y="54864"/>
                                </a:cubicBezTo>
                                <a:cubicBezTo>
                                  <a:pt x="107633" y="53054"/>
                                  <a:pt x="106299" y="53912"/>
                                  <a:pt x="104585" y="54388"/>
                                </a:cubicBezTo>
                                <a:cubicBezTo>
                                  <a:pt x="106775" y="52769"/>
                                  <a:pt x="107537" y="53054"/>
                                  <a:pt x="108299" y="53245"/>
                                </a:cubicBezTo>
                                <a:cubicBezTo>
                                  <a:pt x="109275" y="52372"/>
                                  <a:pt x="110752" y="52372"/>
                                  <a:pt x="111728" y="53245"/>
                                </a:cubicBezTo>
                                <a:cubicBezTo>
                                  <a:pt x="111270" y="52347"/>
                                  <a:pt x="111270" y="51285"/>
                                  <a:pt x="111728" y="50387"/>
                                </a:cubicBezTo>
                                <a:cubicBezTo>
                                  <a:pt x="111728" y="49149"/>
                                  <a:pt x="111062" y="48768"/>
                                  <a:pt x="109918" y="48482"/>
                                </a:cubicBezTo>
                                <a:cubicBezTo>
                                  <a:pt x="111512" y="48249"/>
                                  <a:pt x="113117" y="48819"/>
                                  <a:pt x="114205" y="50006"/>
                                </a:cubicBezTo>
                                <a:cubicBezTo>
                                  <a:pt x="115394" y="50167"/>
                                  <a:pt x="116330" y="51103"/>
                                  <a:pt x="116491" y="52292"/>
                                </a:cubicBezTo>
                                <a:cubicBezTo>
                                  <a:pt x="116491" y="54578"/>
                                  <a:pt x="114110" y="56197"/>
                                  <a:pt x="118777" y="58674"/>
                                </a:cubicBezTo>
                                <a:cubicBezTo>
                                  <a:pt x="120614" y="59466"/>
                                  <a:pt x="122489" y="60165"/>
                                  <a:pt x="124397" y="60769"/>
                                </a:cubicBezTo>
                                <a:cubicBezTo>
                                  <a:pt x="126262" y="61416"/>
                                  <a:pt x="128172" y="61926"/>
                                  <a:pt x="130112" y="62293"/>
                                </a:cubicBezTo>
                                <a:cubicBezTo>
                                  <a:pt x="129349" y="61055"/>
                                  <a:pt x="130112" y="59722"/>
                                  <a:pt x="128302" y="58484"/>
                                </a:cubicBezTo>
                                <a:cubicBezTo>
                                  <a:pt x="129910" y="58512"/>
                                  <a:pt x="131510" y="58735"/>
                                  <a:pt x="133064" y="59150"/>
                                </a:cubicBezTo>
                                <a:cubicBezTo>
                                  <a:pt x="133064" y="57341"/>
                                  <a:pt x="133064" y="57341"/>
                                  <a:pt x="132017" y="56197"/>
                                </a:cubicBezTo>
                                <a:lnTo>
                                  <a:pt x="135350" y="56197"/>
                                </a:lnTo>
                                <a:cubicBezTo>
                                  <a:pt x="140684" y="56769"/>
                                  <a:pt x="140780" y="54102"/>
                                  <a:pt x="141827" y="50673"/>
                                </a:cubicBezTo>
                                <a:cubicBezTo>
                                  <a:pt x="139051" y="50798"/>
                                  <a:pt x="136357" y="51652"/>
                                  <a:pt x="134017" y="53150"/>
                                </a:cubicBezTo>
                                <a:cubicBezTo>
                                  <a:pt x="134114" y="52263"/>
                                  <a:pt x="134114" y="51369"/>
                                  <a:pt x="134017" y="50482"/>
                                </a:cubicBezTo>
                                <a:cubicBezTo>
                                  <a:pt x="133963" y="49484"/>
                                  <a:pt x="134728" y="48632"/>
                                  <a:pt x="135726" y="48577"/>
                                </a:cubicBezTo>
                                <a:cubicBezTo>
                                  <a:pt x="135791" y="48574"/>
                                  <a:pt x="135857" y="48574"/>
                                  <a:pt x="135922" y="48577"/>
                                </a:cubicBezTo>
                                <a:lnTo>
                                  <a:pt x="137636" y="48578"/>
                                </a:lnTo>
                                <a:cubicBezTo>
                                  <a:pt x="138779" y="48578"/>
                                  <a:pt x="140399" y="47244"/>
                                  <a:pt x="139637" y="44577"/>
                                </a:cubicBezTo>
                                <a:cubicBezTo>
                                  <a:pt x="138875" y="41910"/>
                                  <a:pt x="138303" y="42577"/>
                                  <a:pt x="137255" y="42863"/>
                                </a:cubicBezTo>
                                <a:lnTo>
                                  <a:pt x="135065" y="43529"/>
                                </a:lnTo>
                                <a:cubicBezTo>
                                  <a:pt x="134281" y="43880"/>
                                  <a:pt x="133791" y="44672"/>
                                  <a:pt x="133826" y="45529"/>
                                </a:cubicBezTo>
                                <a:lnTo>
                                  <a:pt x="133160" y="43625"/>
                                </a:lnTo>
                                <a:lnTo>
                                  <a:pt x="132493" y="42196"/>
                                </a:lnTo>
                                <a:lnTo>
                                  <a:pt x="132493" y="41624"/>
                                </a:lnTo>
                                <a:cubicBezTo>
                                  <a:pt x="132058" y="40666"/>
                                  <a:pt x="132483" y="39537"/>
                                  <a:pt x="133441" y="39103"/>
                                </a:cubicBezTo>
                                <a:cubicBezTo>
                                  <a:pt x="133594" y="39033"/>
                                  <a:pt x="133756" y="38984"/>
                                  <a:pt x="133922" y="38957"/>
                                </a:cubicBezTo>
                                <a:lnTo>
                                  <a:pt x="137351" y="38100"/>
                                </a:lnTo>
                                <a:cubicBezTo>
                                  <a:pt x="139256" y="37529"/>
                                  <a:pt x="139827" y="36862"/>
                                  <a:pt x="140208" y="35814"/>
                                </a:cubicBezTo>
                                <a:cubicBezTo>
                                  <a:pt x="140589" y="34766"/>
                                  <a:pt x="140875" y="34385"/>
                                  <a:pt x="142589" y="34385"/>
                                </a:cubicBezTo>
                                <a:lnTo>
                                  <a:pt x="147066" y="34385"/>
                                </a:lnTo>
                                <a:cubicBezTo>
                                  <a:pt x="149733" y="34385"/>
                                  <a:pt x="152591" y="32290"/>
                                  <a:pt x="151638" y="30004"/>
                                </a:cubicBezTo>
                                <a:cubicBezTo>
                                  <a:pt x="153448" y="30004"/>
                                  <a:pt x="154210" y="33242"/>
                                  <a:pt x="153734" y="34385"/>
                                </a:cubicBezTo>
                                <a:cubicBezTo>
                                  <a:pt x="155255" y="34298"/>
                                  <a:pt x="156744" y="33909"/>
                                  <a:pt x="158115" y="33242"/>
                                </a:cubicBezTo>
                                <a:cubicBezTo>
                                  <a:pt x="157914" y="35207"/>
                                  <a:pt x="156958" y="37017"/>
                                  <a:pt x="155448" y="38291"/>
                                </a:cubicBezTo>
                                <a:cubicBezTo>
                                  <a:pt x="157013" y="38471"/>
                                  <a:pt x="158598" y="38207"/>
                                  <a:pt x="160020" y="37529"/>
                                </a:cubicBezTo>
                                <a:cubicBezTo>
                                  <a:pt x="159466" y="39478"/>
                                  <a:pt x="158416" y="41250"/>
                                  <a:pt x="156972" y="42672"/>
                                </a:cubicBezTo>
                                <a:cubicBezTo>
                                  <a:pt x="159456" y="43389"/>
                                  <a:pt x="161399" y="45331"/>
                                  <a:pt x="162116" y="47816"/>
                                </a:cubicBezTo>
                                <a:cubicBezTo>
                                  <a:pt x="160211" y="47054"/>
                                  <a:pt x="159163" y="47816"/>
                                  <a:pt x="157544" y="47816"/>
                                </a:cubicBezTo>
                                <a:cubicBezTo>
                                  <a:pt x="159597" y="50728"/>
                                  <a:pt x="161322" y="53858"/>
                                  <a:pt x="162687" y="57150"/>
                                </a:cubicBezTo>
                                <a:cubicBezTo>
                                  <a:pt x="161369" y="56390"/>
                                  <a:pt x="160001" y="55721"/>
                                  <a:pt x="158591" y="55150"/>
                                </a:cubicBezTo>
                                <a:cubicBezTo>
                                  <a:pt x="160020" y="58388"/>
                                  <a:pt x="158020" y="61532"/>
                                  <a:pt x="158591" y="63246"/>
                                </a:cubicBezTo>
                                <a:cubicBezTo>
                                  <a:pt x="157477" y="62755"/>
                                  <a:pt x="156498" y="62003"/>
                                  <a:pt x="155734" y="61055"/>
                                </a:cubicBezTo>
                                <a:cubicBezTo>
                                  <a:pt x="154628" y="63263"/>
                                  <a:pt x="154198" y="65748"/>
                                  <a:pt x="154496" y="68199"/>
                                </a:cubicBezTo>
                                <a:cubicBezTo>
                                  <a:pt x="153596" y="67388"/>
                                  <a:pt x="152605" y="66685"/>
                                  <a:pt x="151543" y="66104"/>
                                </a:cubicBezTo>
                                <a:cubicBezTo>
                                  <a:pt x="149934" y="68262"/>
                                  <a:pt x="149218" y="70956"/>
                                  <a:pt x="149543" y="73628"/>
                                </a:cubicBezTo>
                                <a:cubicBezTo>
                                  <a:pt x="149815" y="78741"/>
                                  <a:pt x="151248" y="83725"/>
                                  <a:pt x="153734" y="88202"/>
                                </a:cubicBezTo>
                                <a:cubicBezTo>
                                  <a:pt x="155055" y="90679"/>
                                  <a:pt x="155987" y="93346"/>
                                  <a:pt x="156496" y="96107"/>
                                </a:cubicBezTo>
                                <a:cubicBezTo>
                                  <a:pt x="156862" y="98418"/>
                                  <a:pt x="158824" y="100140"/>
                                  <a:pt x="161163" y="100203"/>
                                </a:cubicBezTo>
                                <a:cubicBezTo>
                                  <a:pt x="163523" y="100002"/>
                                  <a:pt x="165318" y="97998"/>
                                  <a:pt x="165259" y="95631"/>
                                </a:cubicBezTo>
                                <a:cubicBezTo>
                                  <a:pt x="165259" y="91154"/>
                                  <a:pt x="159734" y="88297"/>
                                  <a:pt x="159734" y="80296"/>
                                </a:cubicBezTo>
                                <a:cubicBezTo>
                                  <a:pt x="159734" y="75057"/>
                                  <a:pt x="163830" y="72485"/>
                                  <a:pt x="163925" y="69152"/>
                                </a:cubicBezTo>
                                <a:cubicBezTo>
                                  <a:pt x="164021" y="65818"/>
                                  <a:pt x="161258" y="68009"/>
                                  <a:pt x="159258" y="66675"/>
                                </a:cubicBezTo>
                                <a:cubicBezTo>
                                  <a:pt x="161830" y="66675"/>
                                  <a:pt x="163354" y="63341"/>
                                  <a:pt x="165640" y="63437"/>
                                </a:cubicBezTo>
                                <a:cubicBezTo>
                                  <a:pt x="167926" y="63532"/>
                                  <a:pt x="168212" y="64675"/>
                                  <a:pt x="168307" y="65723"/>
                                </a:cubicBezTo>
                                <a:cubicBezTo>
                                  <a:pt x="168279" y="67013"/>
                                  <a:pt x="167882" y="68269"/>
                                  <a:pt x="167164" y="69342"/>
                                </a:cubicBezTo>
                                <a:cubicBezTo>
                                  <a:pt x="169067" y="67733"/>
                                  <a:pt x="170264" y="65442"/>
                                  <a:pt x="170498" y="62960"/>
                                </a:cubicBezTo>
                                <a:cubicBezTo>
                                  <a:pt x="170498" y="60770"/>
                                  <a:pt x="167354" y="58293"/>
                                  <a:pt x="168116" y="54007"/>
                                </a:cubicBezTo>
                                <a:lnTo>
                                  <a:pt x="168116" y="53150"/>
                                </a:lnTo>
                                <a:cubicBezTo>
                                  <a:pt x="168974" y="57912"/>
                                  <a:pt x="175832" y="59150"/>
                                  <a:pt x="175832" y="63913"/>
                                </a:cubicBezTo>
                                <a:cubicBezTo>
                                  <a:pt x="175832" y="68675"/>
                                  <a:pt x="171926" y="67628"/>
                                  <a:pt x="169736" y="70676"/>
                                </a:cubicBezTo>
                                <a:cubicBezTo>
                                  <a:pt x="172212" y="70009"/>
                                  <a:pt x="174974" y="70485"/>
                                  <a:pt x="174974" y="73152"/>
                                </a:cubicBezTo>
                                <a:close/>
                              </a:path>
                            </a:pathLst>
                          </a:custGeom>
                          <a:solidFill>
                            <a:srgbClr val="68246D"/>
                          </a:solidFill>
                          <a:ln w="9525" cap="flat">
                            <a:noFill/>
                            <a:prstDash val="solid"/>
                            <a:miter/>
                          </a:ln>
                        </wps:spPr>
                        <wps:bodyPr/>
                      </wps:wsp>
                      <wps:wsp>
                        <wps:cNvPr id="1756916342" name="Freeform: Shape 1756916342"/>
                        <wps:cNvSpPr/>
                        <wps:spPr>
                          <a:xfrm>
                            <a:off x="-2" y="8"/>
                            <a:ext cx="277660" cy="243650"/>
                          </a:xfrm>
                          <a:custGeom>
                            <a:avLst/>
                            <a:gdLst>
                              <a:gd name="csX0" fmla="*/ 264512 w 277660"/>
                              <a:gd name="csY0" fmla="*/ 1 h 243650"/>
                              <a:gd name="csX1" fmla="*/ 47342 w 277660"/>
                              <a:gd name="csY1" fmla="*/ 21718 h 243650"/>
                              <a:gd name="csX2" fmla="*/ 13719 w 277660"/>
                              <a:gd name="csY2" fmla="*/ 56579 h 243650"/>
                              <a:gd name="csX3" fmla="*/ 479 w 277660"/>
                              <a:gd name="csY3" fmla="*/ 243650 h 243650"/>
                              <a:gd name="csX4" fmla="*/ 143354 w 277660"/>
                              <a:gd name="csY4" fmla="*/ 104871 h 243650"/>
                              <a:gd name="csX5" fmla="*/ 277656 w 277660"/>
                              <a:gd name="csY5" fmla="*/ 238983 h 243650"/>
                              <a:gd name="csX6" fmla="*/ 264512 w 277660"/>
                              <a:gd name="csY6" fmla="*/ 1 h 243650"/>
                              <a:gd name="csX7" fmla="*/ 64487 w 277660"/>
                              <a:gd name="csY7" fmla="*/ 43339 h 243650"/>
                              <a:gd name="csX8" fmla="*/ 67154 w 277660"/>
                              <a:gd name="csY8" fmla="*/ 48578 h 243650"/>
                              <a:gd name="csX9" fmla="*/ 74964 w 277660"/>
                              <a:gd name="csY9" fmla="*/ 46006 h 243650"/>
                              <a:gd name="csX10" fmla="*/ 74964 w 277660"/>
                              <a:gd name="csY10" fmla="*/ 46864 h 243650"/>
                              <a:gd name="csX11" fmla="*/ 63915 w 277660"/>
                              <a:gd name="csY11" fmla="*/ 51817 h 243650"/>
                              <a:gd name="csX12" fmla="*/ 60391 w 277660"/>
                              <a:gd name="csY12" fmla="*/ 48769 h 243650"/>
                              <a:gd name="csX13" fmla="*/ 64677 w 277660"/>
                              <a:gd name="csY13" fmla="*/ 43339 h 243650"/>
                              <a:gd name="csX14" fmla="*/ 111445 w 277660"/>
                              <a:gd name="csY14" fmla="*/ 77058 h 243650"/>
                              <a:gd name="csX15" fmla="*/ 106968 w 277660"/>
                              <a:gd name="csY15" fmla="*/ 82106 h 243650"/>
                              <a:gd name="csX16" fmla="*/ 106111 w 277660"/>
                              <a:gd name="csY16" fmla="*/ 83630 h 243650"/>
                              <a:gd name="csX17" fmla="*/ 106111 w 277660"/>
                              <a:gd name="csY17" fmla="*/ 79534 h 243650"/>
                              <a:gd name="csX18" fmla="*/ 103825 w 277660"/>
                              <a:gd name="csY18" fmla="*/ 77629 h 243650"/>
                              <a:gd name="csX19" fmla="*/ 99729 w 277660"/>
                              <a:gd name="csY19" fmla="*/ 90107 h 243650"/>
                              <a:gd name="csX20" fmla="*/ 101063 w 277660"/>
                              <a:gd name="csY20" fmla="*/ 85059 h 243650"/>
                              <a:gd name="csX21" fmla="*/ 101825 w 277660"/>
                              <a:gd name="csY21" fmla="*/ 82773 h 243650"/>
                              <a:gd name="csX22" fmla="*/ 103063 w 277660"/>
                              <a:gd name="csY22" fmla="*/ 87059 h 243650"/>
                              <a:gd name="csX23" fmla="*/ 101825 w 277660"/>
                              <a:gd name="csY23" fmla="*/ 93441 h 243650"/>
                              <a:gd name="csX24" fmla="*/ 102587 w 277660"/>
                              <a:gd name="csY24" fmla="*/ 95536 h 243650"/>
                              <a:gd name="csX25" fmla="*/ 102587 w 277660"/>
                              <a:gd name="csY25" fmla="*/ 92584 h 243650"/>
                              <a:gd name="csX26" fmla="*/ 104206 w 277660"/>
                              <a:gd name="csY26" fmla="*/ 89631 h 243650"/>
                              <a:gd name="csX27" fmla="*/ 104206 w 277660"/>
                              <a:gd name="csY27" fmla="*/ 87631 h 243650"/>
                              <a:gd name="csX28" fmla="*/ 106016 w 277660"/>
                              <a:gd name="csY28" fmla="*/ 92298 h 243650"/>
                              <a:gd name="csX29" fmla="*/ 104587 w 277660"/>
                              <a:gd name="csY29" fmla="*/ 96870 h 243650"/>
                              <a:gd name="csX30" fmla="*/ 103825 w 277660"/>
                              <a:gd name="csY30" fmla="*/ 99442 h 243650"/>
                              <a:gd name="csX31" fmla="*/ 96872 w 277660"/>
                              <a:gd name="csY31" fmla="*/ 107538 h 243650"/>
                              <a:gd name="csX32" fmla="*/ 92300 w 277660"/>
                              <a:gd name="csY32" fmla="*/ 105633 h 243650"/>
                              <a:gd name="csX33" fmla="*/ 84299 w 277660"/>
                              <a:gd name="csY33" fmla="*/ 116682 h 243650"/>
                              <a:gd name="csX34" fmla="*/ 86013 w 277660"/>
                              <a:gd name="csY34" fmla="*/ 120301 h 243650"/>
                              <a:gd name="csX35" fmla="*/ 91347 w 277660"/>
                              <a:gd name="csY35" fmla="*/ 123921 h 243650"/>
                              <a:gd name="csX36" fmla="*/ 86680 w 277660"/>
                              <a:gd name="csY36" fmla="*/ 125826 h 243650"/>
                              <a:gd name="csX37" fmla="*/ 89919 w 277660"/>
                              <a:gd name="csY37" fmla="*/ 131065 h 243650"/>
                              <a:gd name="csX38" fmla="*/ 85061 w 277660"/>
                              <a:gd name="csY38" fmla="*/ 131065 h 243650"/>
                              <a:gd name="csX39" fmla="*/ 83632 w 277660"/>
                              <a:gd name="csY39" fmla="*/ 134589 h 243650"/>
                              <a:gd name="csX40" fmla="*/ 81251 w 277660"/>
                              <a:gd name="csY40" fmla="*/ 132493 h 243650"/>
                              <a:gd name="csX41" fmla="*/ 77441 w 277660"/>
                              <a:gd name="csY41" fmla="*/ 135351 h 243650"/>
                              <a:gd name="csX42" fmla="*/ 75077 w 277660"/>
                              <a:gd name="csY42" fmla="*/ 138290 h 243650"/>
                              <a:gd name="csX43" fmla="*/ 74679 w 277660"/>
                              <a:gd name="csY43" fmla="*/ 138304 h 243650"/>
                              <a:gd name="csX44" fmla="*/ 73726 w 277660"/>
                              <a:gd name="csY44" fmla="*/ 141637 h 243650"/>
                              <a:gd name="csX45" fmla="*/ 72869 w 277660"/>
                              <a:gd name="csY45" fmla="*/ 138018 h 243650"/>
                              <a:gd name="csX46" fmla="*/ 72107 w 277660"/>
                              <a:gd name="csY46" fmla="*/ 135446 h 243650"/>
                              <a:gd name="csX47" fmla="*/ 68964 w 277660"/>
                              <a:gd name="csY47" fmla="*/ 136113 h 243650"/>
                              <a:gd name="csX48" fmla="*/ 67344 w 277660"/>
                              <a:gd name="csY48" fmla="*/ 138685 h 243650"/>
                              <a:gd name="csX49" fmla="*/ 68297 w 277660"/>
                              <a:gd name="csY49" fmla="*/ 134398 h 243650"/>
                              <a:gd name="csX50" fmla="*/ 69535 w 277660"/>
                              <a:gd name="csY50" fmla="*/ 131827 h 243650"/>
                              <a:gd name="csX51" fmla="*/ 69535 w 277660"/>
                              <a:gd name="csY51" fmla="*/ 131255 h 243650"/>
                              <a:gd name="csX52" fmla="*/ 67440 w 277660"/>
                              <a:gd name="csY52" fmla="*/ 130207 h 243650"/>
                              <a:gd name="csX53" fmla="*/ 64963 w 277660"/>
                              <a:gd name="csY53" fmla="*/ 131827 h 243650"/>
                              <a:gd name="csX54" fmla="*/ 67249 w 277660"/>
                              <a:gd name="csY54" fmla="*/ 128112 h 243650"/>
                              <a:gd name="csX55" fmla="*/ 71631 w 277660"/>
                              <a:gd name="csY55" fmla="*/ 126874 h 243650"/>
                              <a:gd name="csX56" fmla="*/ 75631 w 277660"/>
                              <a:gd name="csY56" fmla="*/ 128302 h 243650"/>
                              <a:gd name="csX57" fmla="*/ 79251 w 277660"/>
                              <a:gd name="csY57" fmla="*/ 126397 h 243650"/>
                              <a:gd name="csX58" fmla="*/ 79917 w 277660"/>
                              <a:gd name="csY58" fmla="*/ 125254 h 243650"/>
                              <a:gd name="csX59" fmla="*/ 79251 w 277660"/>
                              <a:gd name="csY59" fmla="*/ 121254 h 243650"/>
                              <a:gd name="csX60" fmla="*/ 74393 w 277660"/>
                              <a:gd name="csY60" fmla="*/ 113824 h 243650"/>
                              <a:gd name="csX61" fmla="*/ 77917 w 277660"/>
                              <a:gd name="csY61" fmla="*/ 106014 h 243650"/>
                              <a:gd name="csX62" fmla="*/ 76488 w 277660"/>
                              <a:gd name="csY62" fmla="*/ 106014 h 243650"/>
                              <a:gd name="csX63" fmla="*/ 71250 w 277660"/>
                              <a:gd name="csY63" fmla="*/ 104490 h 243650"/>
                              <a:gd name="csX64" fmla="*/ 68297 w 277660"/>
                              <a:gd name="csY64" fmla="*/ 108014 h 243650"/>
                              <a:gd name="csX65" fmla="*/ 69154 w 277660"/>
                              <a:gd name="csY65" fmla="*/ 110967 h 243650"/>
                              <a:gd name="csX66" fmla="*/ 70011 w 277660"/>
                              <a:gd name="csY66" fmla="*/ 114682 h 243650"/>
                              <a:gd name="csX67" fmla="*/ 64773 w 277660"/>
                              <a:gd name="csY67" fmla="*/ 114682 h 243650"/>
                              <a:gd name="csX68" fmla="*/ 62487 w 277660"/>
                              <a:gd name="csY68" fmla="*/ 118111 h 243650"/>
                              <a:gd name="csX69" fmla="*/ 57921 w 277660"/>
                              <a:gd name="csY69" fmla="*/ 115796 h 243650"/>
                              <a:gd name="csX70" fmla="*/ 56391 w 277660"/>
                              <a:gd name="csY70" fmla="*/ 116777 h 243650"/>
                              <a:gd name="csX71" fmla="*/ 53819 w 277660"/>
                              <a:gd name="csY71" fmla="*/ 118873 h 243650"/>
                              <a:gd name="csX72" fmla="*/ 52200 w 277660"/>
                              <a:gd name="csY72" fmla="*/ 118873 h 243650"/>
                              <a:gd name="csX73" fmla="*/ 50485 w 277660"/>
                              <a:gd name="csY73" fmla="*/ 121444 h 243650"/>
                              <a:gd name="csX74" fmla="*/ 51152 w 277660"/>
                              <a:gd name="csY74" fmla="*/ 117920 h 243650"/>
                              <a:gd name="csX75" fmla="*/ 51914 w 277660"/>
                              <a:gd name="csY75" fmla="*/ 115063 h 243650"/>
                              <a:gd name="csX76" fmla="*/ 47818 w 277660"/>
                              <a:gd name="csY76" fmla="*/ 115063 h 243650"/>
                              <a:gd name="csX77" fmla="*/ 45627 w 277660"/>
                              <a:gd name="csY77" fmla="*/ 117253 h 243650"/>
                              <a:gd name="csX78" fmla="*/ 47247 w 277660"/>
                              <a:gd name="csY78" fmla="*/ 113348 h 243650"/>
                              <a:gd name="csX79" fmla="*/ 50580 w 277660"/>
                              <a:gd name="csY79" fmla="*/ 111443 h 243650"/>
                              <a:gd name="csX80" fmla="*/ 50580 w 277660"/>
                              <a:gd name="csY80" fmla="*/ 110872 h 243650"/>
                              <a:gd name="csX81" fmla="*/ 48675 w 277660"/>
                              <a:gd name="csY81" fmla="*/ 108490 h 243650"/>
                              <a:gd name="csX82" fmla="*/ 46008 w 277660"/>
                              <a:gd name="csY82" fmla="*/ 109252 h 243650"/>
                              <a:gd name="csX83" fmla="*/ 49247 w 277660"/>
                              <a:gd name="csY83" fmla="*/ 106871 h 243650"/>
                              <a:gd name="csX84" fmla="*/ 51533 w 277660"/>
                              <a:gd name="csY84" fmla="*/ 106014 h 243650"/>
                              <a:gd name="csX85" fmla="*/ 53247 w 277660"/>
                              <a:gd name="csY85" fmla="*/ 105633 h 243650"/>
                              <a:gd name="csX86" fmla="*/ 59820 w 277660"/>
                              <a:gd name="csY86" fmla="*/ 108395 h 243650"/>
                              <a:gd name="csX87" fmla="*/ 62208 w 277660"/>
                              <a:gd name="csY87" fmla="*/ 106022 h 243650"/>
                              <a:gd name="csX88" fmla="*/ 62201 w 277660"/>
                              <a:gd name="csY88" fmla="*/ 105823 h 243650"/>
                              <a:gd name="csX89" fmla="*/ 59629 w 277660"/>
                              <a:gd name="csY89" fmla="*/ 97918 h 243650"/>
                              <a:gd name="csX90" fmla="*/ 65725 w 277660"/>
                              <a:gd name="csY90" fmla="*/ 92012 h 243650"/>
                              <a:gd name="csX91" fmla="*/ 76488 w 277660"/>
                              <a:gd name="csY91" fmla="*/ 95060 h 243650"/>
                              <a:gd name="csX92" fmla="*/ 79536 w 277660"/>
                              <a:gd name="csY92" fmla="*/ 94203 h 243650"/>
                              <a:gd name="csX93" fmla="*/ 70011 w 277660"/>
                              <a:gd name="csY93" fmla="*/ 87726 h 243650"/>
                              <a:gd name="csX94" fmla="*/ 67249 w 277660"/>
                              <a:gd name="csY94" fmla="*/ 82868 h 243650"/>
                              <a:gd name="csX95" fmla="*/ 62201 w 277660"/>
                              <a:gd name="csY95" fmla="*/ 87821 h 243650"/>
                              <a:gd name="csX96" fmla="*/ 60201 w 277660"/>
                              <a:gd name="csY96" fmla="*/ 86392 h 243650"/>
                              <a:gd name="csX97" fmla="*/ 56581 w 277660"/>
                              <a:gd name="csY97" fmla="*/ 90393 h 243650"/>
                              <a:gd name="csX98" fmla="*/ 52485 w 277660"/>
                              <a:gd name="csY98" fmla="*/ 86392 h 243650"/>
                              <a:gd name="csX99" fmla="*/ 49247 w 277660"/>
                              <a:gd name="csY99" fmla="*/ 87821 h 243650"/>
                              <a:gd name="csX100" fmla="*/ 45627 w 277660"/>
                              <a:gd name="csY100" fmla="*/ 89440 h 243650"/>
                              <a:gd name="csX101" fmla="*/ 43722 w 277660"/>
                              <a:gd name="csY101" fmla="*/ 92393 h 243650"/>
                              <a:gd name="csX102" fmla="*/ 43722 w 277660"/>
                              <a:gd name="csY102" fmla="*/ 88393 h 243650"/>
                              <a:gd name="csX103" fmla="*/ 44484 w 277660"/>
                              <a:gd name="csY103" fmla="*/ 85535 h 243650"/>
                              <a:gd name="csX104" fmla="*/ 41341 w 277660"/>
                              <a:gd name="csY104" fmla="*/ 84868 h 243650"/>
                              <a:gd name="csX105" fmla="*/ 38674 w 277660"/>
                              <a:gd name="csY105" fmla="*/ 86488 h 243650"/>
                              <a:gd name="csX106" fmla="*/ 41055 w 277660"/>
                              <a:gd name="csY106" fmla="*/ 82868 h 243650"/>
                              <a:gd name="csX107" fmla="*/ 44008 w 277660"/>
                              <a:gd name="csY107" fmla="*/ 81439 h 243650"/>
                              <a:gd name="csX108" fmla="*/ 44008 w 277660"/>
                              <a:gd name="csY108" fmla="*/ 80868 h 243650"/>
                              <a:gd name="csX109" fmla="*/ 42865 w 277660"/>
                              <a:gd name="csY109" fmla="*/ 78391 h 243650"/>
                              <a:gd name="csX110" fmla="*/ 40103 w 277660"/>
                              <a:gd name="csY110" fmla="*/ 78391 h 243650"/>
                              <a:gd name="csX111" fmla="*/ 44389 w 277660"/>
                              <a:gd name="csY111" fmla="*/ 77058 h 243650"/>
                              <a:gd name="csX112" fmla="*/ 48009 w 277660"/>
                              <a:gd name="csY112" fmla="*/ 78772 h 243650"/>
                              <a:gd name="csX113" fmla="*/ 53438 w 277660"/>
                              <a:gd name="csY113" fmla="*/ 80582 h 243650"/>
                              <a:gd name="csX114" fmla="*/ 67440 w 277660"/>
                              <a:gd name="csY114" fmla="*/ 71057 h 243650"/>
                              <a:gd name="csX115" fmla="*/ 64868 w 277660"/>
                              <a:gd name="csY115" fmla="*/ 71057 h 243650"/>
                              <a:gd name="csX116" fmla="*/ 55343 w 277660"/>
                              <a:gd name="csY116" fmla="*/ 74867 h 243650"/>
                              <a:gd name="csX117" fmla="*/ 56772 w 277660"/>
                              <a:gd name="csY117" fmla="*/ 70200 h 243650"/>
                              <a:gd name="csX118" fmla="*/ 50295 w 277660"/>
                              <a:gd name="csY118" fmla="*/ 70962 h 243650"/>
                              <a:gd name="csX119" fmla="*/ 52104 w 277660"/>
                              <a:gd name="csY119" fmla="*/ 67342 h 243650"/>
                              <a:gd name="csX120" fmla="*/ 48771 w 277660"/>
                              <a:gd name="csY120" fmla="*/ 64961 h 243650"/>
                              <a:gd name="csX121" fmla="*/ 46770 w 277660"/>
                              <a:gd name="csY121" fmla="*/ 64961 h 243650"/>
                              <a:gd name="csX122" fmla="*/ 43818 w 277660"/>
                              <a:gd name="csY122" fmla="*/ 63056 h 243650"/>
                              <a:gd name="csX123" fmla="*/ 40674 w 277660"/>
                              <a:gd name="csY123" fmla="*/ 64009 h 243650"/>
                              <a:gd name="csX124" fmla="*/ 43913 w 277660"/>
                              <a:gd name="csY124" fmla="*/ 61151 h 243650"/>
                              <a:gd name="csX125" fmla="*/ 45723 w 277660"/>
                              <a:gd name="csY125" fmla="*/ 59818 h 243650"/>
                              <a:gd name="csX126" fmla="*/ 45723 w 277660"/>
                              <a:gd name="csY126" fmla="*/ 59246 h 243650"/>
                              <a:gd name="csX127" fmla="*/ 43151 w 277660"/>
                              <a:gd name="csY127" fmla="*/ 56770 h 243650"/>
                              <a:gd name="csX128" fmla="*/ 40008 w 277660"/>
                              <a:gd name="csY128" fmla="*/ 56770 h 243650"/>
                              <a:gd name="csX129" fmla="*/ 43722 w 277660"/>
                              <a:gd name="csY129" fmla="*/ 55627 h 243650"/>
                              <a:gd name="csX130" fmla="*/ 47225 w 277660"/>
                              <a:gd name="csY130" fmla="*/ 55605 h 243650"/>
                              <a:gd name="csX131" fmla="*/ 47247 w 277660"/>
                              <a:gd name="csY131" fmla="*/ 55627 h 243650"/>
                              <a:gd name="csX132" fmla="*/ 47247 w 277660"/>
                              <a:gd name="csY132" fmla="*/ 55150 h 243650"/>
                              <a:gd name="csX133" fmla="*/ 47247 w 277660"/>
                              <a:gd name="csY133" fmla="*/ 52198 h 243650"/>
                              <a:gd name="csX134" fmla="*/ 45437 w 277660"/>
                              <a:gd name="csY134" fmla="*/ 50197 h 243650"/>
                              <a:gd name="csX135" fmla="*/ 49723 w 277660"/>
                              <a:gd name="csY135" fmla="*/ 51817 h 243650"/>
                              <a:gd name="csX136" fmla="*/ 52104 w 277660"/>
                              <a:gd name="csY136" fmla="*/ 54103 h 243650"/>
                              <a:gd name="csX137" fmla="*/ 54486 w 277660"/>
                              <a:gd name="csY137" fmla="*/ 60580 h 243650"/>
                              <a:gd name="csX138" fmla="*/ 60201 w 277660"/>
                              <a:gd name="csY138" fmla="*/ 62770 h 243650"/>
                              <a:gd name="csX139" fmla="*/ 66011 w 277660"/>
                              <a:gd name="csY139" fmla="*/ 64294 h 243650"/>
                              <a:gd name="csX140" fmla="*/ 64201 w 277660"/>
                              <a:gd name="csY140" fmla="*/ 60389 h 243650"/>
                              <a:gd name="csX141" fmla="*/ 68964 w 277660"/>
                              <a:gd name="csY141" fmla="*/ 61151 h 243650"/>
                              <a:gd name="csX142" fmla="*/ 67916 w 277660"/>
                              <a:gd name="csY142" fmla="*/ 58103 h 243650"/>
                              <a:gd name="csX143" fmla="*/ 71250 w 277660"/>
                              <a:gd name="csY143" fmla="*/ 58103 h 243650"/>
                              <a:gd name="csX144" fmla="*/ 77917 w 277660"/>
                              <a:gd name="csY144" fmla="*/ 52483 h 243650"/>
                              <a:gd name="csX145" fmla="*/ 69916 w 277660"/>
                              <a:gd name="csY145" fmla="*/ 55055 h 243650"/>
                              <a:gd name="csX146" fmla="*/ 69916 w 277660"/>
                              <a:gd name="csY146" fmla="*/ 52293 h 243650"/>
                              <a:gd name="csX147" fmla="*/ 71625 w 277660"/>
                              <a:gd name="csY147" fmla="*/ 50388 h 243650"/>
                              <a:gd name="csX148" fmla="*/ 71821 w 277660"/>
                              <a:gd name="csY148" fmla="*/ 50388 h 243650"/>
                              <a:gd name="csX149" fmla="*/ 73536 w 277660"/>
                              <a:gd name="csY149" fmla="*/ 50388 h 243650"/>
                              <a:gd name="csX150" fmla="*/ 75631 w 277660"/>
                              <a:gd name="csY150" fmla="*/ 46387 h 243650"/>
                              <a:gd name="csX151" fmla="*/ 73223 w 277660"/>
                              <a:gd name="csY151" fmla="*/ 44661 h 243650"/>
                              <a:gd name="csX152" fmla="*/ 73155 w 277660"/>
                              <a:gd name="csY152" fmla="*/ 44673 h 243650"/>
                              <a:gd name="csX153" fmla="*/ 70964 w 277660"/>
                              <a:gd name="csY153" fmla="*/ 45340 h 243650"/>
                              <a:gd name="csX154" fmla="*/ 69630 w 277660"/>
                              <a:gd name="csY154" fmla="*/ 47340 h 243650"/>
                              <a:gd name="csX155" fmla="*/ 68964 w 277660"/>
                              <a:gd name="csY155" fmla="*/ 45340 h 243650"/>
                              <a:gd name="csX156" fmla="*/ 68392 w 277660"/>
                              <a:gd name="csY156" fmla="*/ 44006 h 243650"/>
                              <a:gd name="csX157" fmla="*/ 68392 w 277660"/>
                              <a:gd name="csY157" fmla="*/ 43339 h 243650"/>
                              <a:gd name="csX158" fmla="*/ 69358 w 277660"/>
                              <a:gd name="csY158" fmla="*/ 40825 h 243650"/>
                              <a:gd name="csX159" fmla="*/ 69916 w 277660"/>
                              <a:gd name="csY159" fmla="*/ 40672 h 243650"/>
                              <a:gd name="csX160" fmla="*/ 73345 w 277660"/>
                              <a:gd name="csY160" fmla="*/ 39815 h 243650"/>
                              <a:gd name="csX161" fmla="*/ 76203 w 277660"/>
                              <a:gd name="csY161" fmla="*/ 37529 h 243650"/>
                              <a:gd name="csX162" fmla="*/ 78679 w 277660"/>
                              <a:gd name="csY162" fmla="*/ 36005 h 243650"/>
                              <a:gd name="csX163" fmla="*/ 82108 w 277660"/>
                              <a:gd name="csY163" fmla="*/ 36005 h 243650"/>
                              <a:gd name="csX164" fmla="*/ 86775 w 277660"/>
                              <a:gd name="csY164" fmla="*/ 31528 h 243650"/>
                              <a:gd name="csX165" fmla="*/ 88871 w 277660"/>
                              <a:gd name="csY165" fmla="*/ 36005 h 243650"/>
                              <a:gd name="csX166" fmla="*/ 93252 w 277660"/>
                              <a:gd name="csY166" fmla="*/ 34862 h 243650"/>
                              <a:gd name="csX167" fmla="*/ 90585 w 277660"/>
                              <a:gd name="csY167" fmla="*/ 39910 h 243650"/>
                              <a:gd name="csX168" fmla="*/ 95253 w 277660"/>
                              <a:gd name="csY168" fmla="*/ 39244 h 243650"/>
                              <a:gd name="csX169" fmla="*/ 92205 w 277660"/>
                              <a:gd name="csY169" fmla="*/ 44482 h 243650"/>
                              <a:gd name="csX170" fmla="*/ 97348 w 277660"/>
                              <a:gd name="csY170" fmla="*/ 49721 h 243650"/>
                              <a:gd name="csX171" fmla="*/ 92776 w 277660"/>
                              <a:gd name="csY171" fmla="*/ 49721 h 243650"/>
                              <a:gd name="csX172" fmla="*/ 98301 w 277660"/>
                              <a:gd name="csY172" fmla="*/ 61056 h 243650"/>
                              <a:gd name="csX173" fmla="*/ 94205 w 277660"/>
                              <a:gd name="csY173" fmla="*/ 59056 h 243650"/>
                              <a:gd name="csX174" fmla="*/ 94205 w 277660"/>
                              <a:gd name="csY174" fmla="*/ 67342 h 243650"/>
                              <a:gd name="csX175" fmla="*/ 91347 w 277660"/>
                              <a:gd name="csY175" fmla="*/ 65056 h 243650"/>
                              <a:gd name="csX176" fmla="*/ 90109 w 277660"/>
                              <a:gd name="csY176" fmla="*/ 72295 h 243650"/>
                              <a:gd name="csX177" fmla="*/ 87156 w 277660"/>
                              <a:gd name="csY177" fmla="*/ 70200 h 243650"/>
                              <a:gd name="csX178" fmla="*/ 85061 w 277660"/>
                              <a:gd name="csY178" fmla="*/ 77820 h 243650"/>
                              <a:gd name="csX179" fmla="*/ 89347 w 277660"/>
                              <a:gd name="csY179" fmla="*/ 92679 h 243650"/>
                              <a:gd name="csX180" fmla="*/ 92109 w 277660"/>
                              <a:gd name="csY180" fmla="*/ 100775 h 243650"/>
                              <a:gd name="csX181" fmla="*/ 96872 w 277660"/>
                              <a:gd name="csY181" fmla="*/ 104871 h 243650"/>
                              <a:gd name="csX182" fmla="*/ 101063 w 277660"/>
                              <a:gd name="csY182" fmla="*/ 100299 h 243650"/>
                              <a:gd name="csX183" fmla="*/ 95443 w 277660"/>
                              <a:gd name="csY183" fmla="*/ 84678 h 243650"/>
                              <a:gd name="csX184" fmla="*/ 99634 w 277660"/>
                              <a:gd name="csY184" fmla="*/ 73343 h 243650"/>
                              <a:gd name="csX185" fmla="*/ 94967 w 277660"/>
                              <a:gd name="csY185" fmla="*/ 70867 h 243650"/>
                              <a:gd name="csX186" fmla="*/ 101539 w 277660"/>
                              <a:gd name="csY186" fmla="*/ 67533 h 243650"/>
                              <a:gd name="csX187" fmla="*/ 104093 w 277660"/>
                              <a:gd name="csY187" fmla="*/ 69515 h 243650"/>
                              <a:gd name="csX188" fmla="*/ 104111 w 277660"/>
                              <a:gd name="csY188" fmla="*/ 69819 h 243650"/>
                              <a:gd name="csX189" fmla="*/ 103063 w 277660"/>
                              <a:gd name="csY189" fmla="*/ 73534 h 243650"/>
                              <a:gd name="csX190" fmla="*/ 106302 w 277660"/>
                              <a:gd name="csY190" fmla="*/ 67057 h 243650"/>
                              <a:gd name="csX191" fmla="*/ 104016 w 277660"/>
                              <a:gd name="csY191" fmla="*/ 57532 h 243650"/>
                              <a:gd name="csX192" fmla="*/ 104016 w 277660"/>
                              <a:gd name="csY192" fmla="*/ 56674 h 243650"/>
                              <a:gd name="csX193" fmla="*/ 111921 w 277660"/>
                              <a:gd name="csY193" fmla="*/ 67628 h 243650"/>
                              <a:gd name="csX194" fmla="*/ 105730 w 277660"/>
                              <a:gd name="csY194" fmla="*/ 74581 h 243650"/>
                              <a:gd name="csX195" fmla="*/ 111445 w 277660"/>
                              <a:gd name="csY195" fmla="*/ 77058 h 243650"/>
                              <a:gd name="csX196" fmla="*/ 196122 w 277660"/>
                              <a:gd name="csY196" fmla="*/ 34291 h 243650"/>
                              <a:gd name="csX197" fmla="*/ 198885 w 277660"/>
                              <a:gd name="csY197" fmla="*/ 39720 h 243650"/>
                              <a:gd name="csX198" fmla="*/ 206981 w 277660"/>
                              <a:gd name="csY198" fmla="*/ 37053 h 243650"/>
                              <a:gd name="csX199" fmla="*/ 206981 w 277660"/>
                              <a:gd name="csY199" fmla="*/ 37910 h 243650"/>
                              <a:gd name="csX200" fmla="*/ 195456 w 277660"/>
                              <a:gd name="csY200" fmla="*/ 43054 h 243650"/>
                              <a:gd name="csX201" fmla="*/ 191887 w 277660"/>
                              <a:gd name="csY201" fmla="*/ 40636 h 243650"/>
                              <a:gd name="csX202" fmla="*/ 191836 w 277660"/>
                              <a:gd name="csY202" fmla="*/ 39910 h 243650"/>
                              <a:gd name="csX203" fmla="*/ 196122 w 277660"/>
                              <a:gd name="csY203" fmla="*/ 34291 h 243650"/>
                              <a:gd name="csX204" fmla="*/ 244890 w 277660"/>
                              <a:gd name="csY204" fmla="*/ 69057 h 243650"/>
                              <a:gd name="csX205" fmla="*/ 240128 w 277660"/>
                              <a:gd name="csY205" fmla="*/ 74391 h 243650"/>
                              <a:gd name="csX206" fmla="*/ 239271 w 277660"/>
                              <a:gd name="csY206" fmla="*/ 75915 h 243650"/>
                              <a:gd name="csX207" fmla="*/ 239271 w 277660"/>
                              <a:gd name="csY207" fmla="*/ 71629 h 243650"/>
                              <a:gd name="csX208" fmla="*/ 236889 w 277660"/>
                              <a:gd name="csY208" fmla="*/ 69628 h 243650"/>
                              <a:gd name="csX209" fmla="*/ 232545 w 277660"/>
                              <a:gd name="csY209" fmla="*/ 82379 h 243650"/>
                              <a:gd name="csX210" fmla="*/ 232698 w 277660"/>
                              <a:gd name="csY210" fmla="*/ 82678 h 243650"/>
                              <a:gd name="csX211" fmla="*/ 233937 w 277660"/>
                              <a:gd name="csY211" fmla="*/ 77439 h 243650"/>
                              <a:gd name="csX212" fmla="*/ 234794 w 277660"/>
                              <a:gd name="csY212" fmla="*/ 75058 h 243650"/>
                              <a:gd name="csX213" fmla="*/ 236127 w 277660"/>
                              <a:gd name="csY213" fmla="*/ 79534 h 243650"/>
                              <a:gd name="csX214" fmla="*/ 234794 w 277660"/>
                              <a:gd name="csY214" fmla="*/ 86202 h 243650"/>
                              <a:gd name="csX215" fmla="*/ 235556 w 277660"/>
                              <a:gd name="csY215" fmla="*/ 88393 h 243650"/>
                              <a:gd name="csX216" fmla="*/ 235556 w 277660"/>
                              <a:gd name="csY216" fmla="*/ 85249 h 243650"/>
                              <a:gd name="csX217" fmla="*/ 237175 w 277660"/>
                              <a:gd name="csY217" fmla="*/ 82201 h 243650"/>
                              <a:gd name="csX218" fmla="*/ 237175 w 277660"/>
                              <a:gd name="csY218" fmla="*/ 80106 h 243650"/>
                              <a:gd name="csX219" fmla="*/ 238985 w 277660"/>
                              <a:gd name="csY219" fmla="*/ 84964 h 243650"/>
                              <a:gd name="csX220" fmla="*/ 237556 w 277660"/>
                              <a:gd name="csY220" fmla="*/ 89726 h 243650"/>
                              <a:gd name="csX221" fmla="*/ 236699 w 277660"/>
                              <a:gd name="csY221" fmla="*/ 92488 h 243650"/>
                              <a:gd name="csX222" fmla="*/ 229460 w 277660"/>
                              <a:gd name="csY222" fmla="*/ 100870 h 243650"/>
                              <a:gd name="csX223" fmla="*/ 223935 w 277660"/>
                              <a:gd name="csY223" fmla="*/ 99537 h 243650"/>
                              <a:gd name="csX224" fmla="*/ 215649 w 277660"/>
                              <a:gd name="csY224" fmla="*/ 111062 h 243650"/>
                              <a:gd name="csX225" fmla="*/ 217363 w 277660"/>
                              <a:gd name="csY225" fmla="*/ 114872 h 243650"/>
                              <a:gd name="csX226" fmla="*/ 222888 w 277660"/>
                              <a:gd name="csY226" fmla="*/ 118682 h 243650"/>
                              <a:gd name="csX227" fmla="*/ 218125 w 277660"/>
                              <a:gd name="csY227" fmla="*/ 120587 h 243650"/>
                              <a:gd name="csX228" fmla="*/ 221364 w 277660"/>
                              <a:gd name="csY228" fmla="*/ 126016 h 243650"/>
                              <a:gd name="csX229" fmla="*/ 216315 w 277660"/>
                              <a:gd name="csY229" fmla="*/ 126016 h 243650"/>
                              <a:gd name="csX230" fmla="*/ 214887 w 277660"/>
                              <a:gd name="csY230" fmla="*/ 129731 h 243650"/>
                              <a:gd name="csX231" fmla="*/ 212315 w 277660"/>
                              <a:gd name="csY231" fmla="*/ 127540 h 243650"/>
                              <a:gd name="csX232" fmla="*/ 208410 w 277660"/>
                              <a:gd name="csY232" fmla="*/ 130588 h 243650"/>
                              <a:gd name="csX233" fmla="*/ 205749 w 277660"/>
                              <a:gd name="csY233" fmla="*/ 133630 h 243650"/>
                              <a:gd name="csX234" fmla="*/ 205552 w 277660"/>
                              <a:gd name="csY234" fmla="*/ 133636 h 243650"/>
                              <a:gd name="csX235" fmla="*/ 204600 w 277660"/>
                              <a:gd name="csY235" fmla="*/ 137161 h 243650"/>
                              <a:gd name="csX236" fmla="*/ 203647 w 277660"/>
                              <a:gd name="csY236" fmla="*/ 133351 h 243650"/>
                              <a:gd name="csX237" fmla="*/ 202885 w 277660"/>
                              <a:gd name="csY237" fmla="*/ 130588 h 243650"/>
                              <a:gd name="csX238" fmla="*/ 199551 w 277660"/>
                              <a:gd name="csY238" fmla="*/ 131255 h 243650"/>
                              <a:gd name="csX239" fmla="*/ 197837 w 277660"/>
                              <a:gd name="csY239" fmla="*/ 133922 h 243650"/>
                              <a:gd name="csX240" fmla="*/ 198885 w 277660"/>
                              <a:gd name="csY240" fmla="*/ 129445 h 243650"/>
                              <a:gd name="csX241" fmla="*/ 200218 w 277660"/>
                              <a:gd name="csY241" fmla="*/ 126778 h 243650"/>
                              <a:gd name="csX242" fmla="*/ 200218 w 277660"/>
                              <a:gd name="csY242" fmla="*/ 126112 h 243650"/>
                              <a:gd name="csX243" fmla="*/ 198027 w 277660"/>
                              <a:gd name="csY243" fmla="*/ 125064 h 243650"/>
                              <a:gd name="csX244" fmla="*/ 195456 w 277660"/>
                              <a:gd name="csY244" fmla="*/ 126778 h 243650"/>
                              <a:gd name="csX245" fmla="*/ 197837 w 277660"/>
                              <a:gd name="csY245" fmla="*/ 122968 h 243650"/>
                              <a:gd name="csX246" fmla="*/ 202409 w 277660"/>
                              <a:gd name="csY246" fmla="*/ 121635 h 243650"/>
                              <a:gd name="csX247" fmla="*/ 206600 w 277660"/>
                              <a:gd name="csY247" fmla="*/ 123064 h 243650"/>
                              <a:gd name="csX248" fmla="*/ 210410 w 277660"/>
                              <a:gd name="csY248" fmla="*/ 121063 h 243650"/>
                              <a:gd name="csX249" fmla="*/ 211077 w 277660"/>
                              <a:gd name="csY249" fmla="*/ 119920 h 243650"/>
                              <a:gd name="csX250" fmla="*/ 210410 w 277660"/>
                              <a:gd name="csY250" fmla="*/ 115729 h 243650"/>
                              <a:gd name="csX251" fmla="*/ 205362 w 277660"/>
                              <a:gd name="csY251" fmla="*/ 108014 h 243650"/>
                              <a:gd name="csX252" fmla="*/ 208981 w 277660"/>
                              <a:gd name="csY252" fmla="*/ 99918 h 243650"/>
                              <a:gd name="csX253" fmla="*/ 207552 w 277660"/>
                              <a:gd name="csY253" fmla="*/ 99918 h 243650"/>
                              <a:gd name="csX254" fmla="*/ 202028 w 277660"/>
                              <a:gd name="csY254" fmla="*/ 98299 h 243650"/>
                              <a:gd name="csX255" fmla="*/ 198980 w 277660"/>
                              <a:gd name="csY255" fmla="*/ 101918 h 243650"/>
                              <a:gd name="csX256" fmla="*/ 199837 w 277660"/>
                              <a:gd name="csY256" fmla="*/ 105061 h 243650"/>
                              <a:gd name="csX257" fmla="*/ 200694 w 277660"/>
                              <a:gd name="csY257" fmla="*/ 108871 h 243650"/>
                              <a:gd name="csX258" fmla="*/ 195265 w 277660"/>
                              <a:gd name="csY258" fmla="*/ 108871 h 243650"/>
                              <a:gd name="csX259" fmla="*/ 192884 w 277660"/>
                              <a:gd name="csY259" fmla="*/ 112491 h 243650"/>
                              <a:gd name="csX260" fmla="*/ 188302 w 277660"/>
                              <a:gd name="csY260" fmla="*/ 109921 h 243650"/>
                              <a:gd name="csX261" fmla="*/ 186502 w 277660"/>
                              <a:gd name="csY261" fmla="*/ 111062 h 243650"/>
                              <a:gd name="csX262" fmla="*/ 183930 w 277660"/>
                              <a:gd name="csY262" fmla="*/ 113253 h 243650"/>
                              <a:gd name="csX263" fmla="*/ 182216 w 277660"/>
                              <a:gd name="csY263" fmla="*/ 112777 h 243650"/>
                              <a:gd name="csX264" fmla="*/ 180406 w 277660"/>
                              <a:gd name="csY264" fmla="*/ 115444 h 243650"/>
                              <a:gd name="csX265" fmla="*/ 181168 w 277660"/>
                              <a:gd name="csY265" fmla="*/ 111729 h 243650"/>
                              <a:gd name="csX266" fmla="*/ 181930 w 277660"/>
                              <a:gd name="csY266" fmla="*/ 108776 h 243650"/>
                              <a:gd name="csX267" fmla="*/ 181930 w 277660"/>
                              <a:gd name="csY267" fmla="*/ 108300 h 243650"/>
                              <a:gd name="csX268" fmla="*/ 177754 w 277660"/>
                              <a:gd name="csY268" fmla="*/ 108315 h 243650"/>
                              <a:gd name="csX269" fmla="*/ 177739 w 277660"/>
                              <a:gd name="csY269" fmla="*/ 108300 h 243650"/>
                              <a:gd name="csX270" fmla="*/ 175453 w 277660"/>
                              <a:gd name="csY270" fmla="*/ 110586 h 243650"/>
                              <a:gd name="csX271" fmla="*/ 177072 w 277660"/>
                              <a:gd name="csY271" fmla="*/ 105633 h 243650"/>
                              <a:gd name="csX272" fmla="*/ 180501 w 277660"/>
                              <a:gd name="csY272" fmla="*/ 103728 h 243650"/>
                              <a:gd name="csX273" fmla="*/ 180501 w 277660"/>
                              <a:gd name="csY273" fmla="*/ 103061 h 243650"/>
                              <a:gd name="csX274" fmla="*/ 180501 w 277660"/>
                              <a:gd name="csY274" fmla="*/ 103061 h 243650"/>
                              <a:gd name="csX275" fmla="*/ 178406 w 277660"/>
                              <a:gd name="csY275" fmla="*/ 100585 h 243650"/>
                              <a:gd name="csX276" fmla="*/ 175739 w 277660"/>
                              <a:gd name="csY276" fmla="*/ 101347 h 243650"/>
                              <a:gd name="csX277" fmla="*/ 179073 w 277660"/>
                              <a:gd name="csY277" fmla="*/ 98870 h 243650"/>
                              <a:gd name="csX278" fmla="*/ 181359 w 277660"/>
                              <a:gd name="csY278" fmla="*/ 98013 h 243650"/>
                              <a:gd name="csX279" fmla="*/ 183645 w 277660"/>
                              <a:gd name="csY279" fmla="*/ 99346 h 243650"/>
                              <a:gd name="csX280" fmla="*/ 190407 w 277660"/>
                              <a:gd name="csY280" fmla="*/ 102299 h 243650"/>
                              <a:gd name="csX281" fmla="*/ 192981 w 277660"/>
                              <a:gd name="csY281" fmla="*/ 99729 h 243650"/>
                              <a:gd name="csX282" fmla="*/ 192979 w 277660"/>
                              <a:gd name="csY282" fmla="*/ 99632 h 243650"/>
                              <a:gd name="csX283" fmla="*/ 190217 w 277660"/>
                              <a:gd name="csY283" fmla="*/ 91345 h 243650"/>
                              <a:gd name="csX284" fmla="*/ 196599 w 277660"/>
                              <a:gd name="csY284" fmla="*/ 85154 h 243650"/>
                              <a:gd name="csX285" fmla="*/ 207743 w 277660"/>
                              <a:gd name="csY285" fmla="*/ 88393 h 243650"/>
                              <a:gd name="csX286" fmla="*/ 210886 w 277660"/>
                              <a:gd name="csY286" fmla="*/ 87535 h 243650"/>
                              <a:gd name="csX287" fmla="*/ 201361 w 277660"/>
                              <a:gd name="csY287" fmla="*/ 80773 h 243650"/>
                              <a:gd name="csX288" fmla="*/ 198504 w 277660"/>
                              <a:gd name="csY288" fmla="*/ 75629 h 243650"/>
                              <a:gd name="csX289" fmla="*/ 193265 w 277660"/>
                              <a:gd name="csY289" fmla="*/ 80773 h 243650"/>
                              <a:gd name="csX290" fmla="*/ 191169 w 277660"/>
                              <a:gd name="csY290" fmla="*/ 79344 h 243650"/>
                              <a:gd name="csX291" fmla="*/ 187359 w 277660"/>
                              <a:gd name="csY291" fmla="*/ 83535 h 243650"/>
                              <a:gd name="csX292" fmla="*/ 183073 w 277660"/>
                              <a:gd name="csY292" fmla="*/ 79344 h 243650"/>
                              <a:gd name="csX293" fmla="*/ 179739 w 277660"/>
                              <a:gd name="csY293" fmla="*/ 80868 h 243650"/>
                              <a:gd name="csX294" fmla="*/ 175929 w 277660"/>
                              <a:gd name="csY294" fmla="*/ 82582 h 243650"/>
                              <a:gd name="csX295" fmla="*/ 173929 w 277660"/>
                              <a:gd name="csY295" fmla="*/ 85535 h 243650"/>
                              <a:gd name="csX296" fmla="*/ 173929 w 277660"/>
                              <a:gd name="csY296" fmla="*/ 81439 h 243650"/>
                              <a:gd name="csX297" fmla="*/ 174596 w 277660"/>
                              <a:gd name="csY297" fmla="*/ 78391 h 243650"/>
                              <a:gd name="csX298" fmla="*/ 171357 w 277660"/>
                              <a:gd name="csY298" fmla="*/ 77725 h 243650"/>
                              <a:gd name="csX299" fmla="*/ 168595 w 277660"/>
                              <a:gd name="csY299" fmla="*/ 79439 h 243650"/>
                              <a:gd name="csX300" fmla="*/ 171072 w 277660"/>
                              <a:gd name="csY300" fmla="*/ 75629 h 243650"/>
                              <a:gd name="csX301" fmla="*/ 174120 w 277660"/>
                              <a:gd name="csY301" fmla="*/ 74105 h 243650"/>
                              <a:gd name="csX302" fmla="*/ 174120 w 277660"/>
                              <a:gd name="csY302" fmla="*/ 73534 h 243650"/>
                              <a:gd name="csX303" fmla="*/ 172881 w 277660"/>
                              <a:gd name="csY303" fmla="*/ 71057 h 243650"/>
                              <a:gd name="csX304" fmla="*/ 170024 w 277660"/>
                              <a:gd name="csY304" fmla="*/ 71057 h 243650"/>
                              <a:gd name="csX305" fmla="*/ 174501 w 277660"/>
                              <a:gd name="csY305" fmla="*/ 69533 h 243650"/>
                              <a:gd name="csX306" fmla="*/ 178215 w 277660"/>
                              <a:gd name="csY306" fmla="*/ 71343 h 243650"/>
                              <a:gd name="csX307" fmla="*/ 183835 w 277660"/>
                              <a:gd name="csY307" fmla="*/ 73248 h 243650"/>
                              <a:gd name="csX308" fmla="*/ 198504 w 277660"/>
                              <a:gd name="csY308" fmla="*/ 63723 h 243650"/>
                              <a:gd name="csX309" fmla="*/ 195837 w 277660"/>
                              <a:gd name="csY309" fmla="*/ 63723 h 243650"/>
                              <a:gd name="csX310" fmla="*/ 185645 w 277660"/>
                              <a:gd name="csY310" fmla="*/ 67723 h 243650"/>
                              <a:gd name="csX311" fmla="*/ 187074 w 277660"/>
                              <a:gd name="csY311" fmla="*/ 62961 h 243650"/>
                              <a:gd name="csX312" fmla="*/ 180311 w 277660"/>
                              <a:gd name="csY312" fmla="*/ 63628 h 243650"/>
                              <a:gd name="csX313" fmla="*/ 182216 w 277660"/>
                              <a:gd name="csY313" fmla="*/ 59913 h 243650"/>
                              <a:gd name="csX314" fmla="*/ 178692 w 277660"/>
                              <a:gd name="csY314" fmla="*/ 57532 h 243650"/>
                              <a:gd name="csX315" fmla="*/ 176691 w 277660"/>
                              <a:gd name="csY315" fmla="*/ 57532 h 243650"/>
                              <a:gd name="csX316" fmla="*/ 173548 w 277660"/>
                              <a:gd name="csY316" fmla="*/ 55436 h 243650"/>
                              <a:gd name="csX317" fmla="*/ 170310 w 277660"/>
                              <a:gd name="csY317" fmla="*/ 56484 h 243650"/>
                              <a:gd name="csX318" fmla="*/ 173643 w 277660"/>
                              <a:gd name="csY318" fmla="*/ 53436 h 243650"/>
                              <a:gd name="csX319" fmla="*/ 175644 w 277660"/>
                              <a:gd name="csY319" fmla="*/ 52102 h 243650"/>
                              <a:gd name="csX320" fmla="*/ 175644 w 277660"/>
                              <a:gd name="csY320" fmla="*/ 51436 h 243650"/>
                              <a:gd name="csX321" fmla="*/ 172977 w 277660"/>
                              <a:gd name="csY321" fmla="*/ 48864 h 243650"/>
                              <a:gd name="csX322" fmla="*/ 169643 w 277660"/>
                              <a:gd name="csY322" fmla="*/ 48864 h 243650"/>
                              <a:gd name="csX323" fmla="*/ 173643 w 277660"/>
                              <a:gd name="csY323" fmla="*/ 47721 h 243650"/>
                              <a:gd name="csX324" fmla="*/ 177263 w 277660"/>
                              <a:gd name="csY324" fmla="*/ 47721 h 243650"/>
                              <a:gd name="csX325" fmla="*/ 177263 w 277660"/>
                              <a:gd name="csY325" fmla="*/ 47149 h 243650"/>
                              <a:gd name="csX326" fmla="*/ 177263 w 277660"/>
                              <a:gd name="csY326" fmla="*/ 44197 h 243650"/>
                              <a:gd name="csX327" fmla="*/ 175263 w 277660"/>
                              <a:gd name="csY327" fmla="*/ 42101 h 243650"/>
                              <a:gd name="csX328" fmla="*/ 179835 w 277660"/>
                              <a:gd name="csY328" fmla="*/ 43720 h 243650"/>
                              <a:gd name="csX329" fmla="*/ 182311 w 277660"/>
                              <a:gd name="csY329" fmla="*/ 46197 h 243650"/>
                              <a:gd name="csX330" fmla="*/ 184692 w 277660"/>
                              <a:gd name="csY330" fmla="*/ 52864 h 243650"/>
                              <a:gd name="csX331" fmla="*/ 190693 w 277660"/>
                              <a:gd name="csY331" fmla="*/ 55150 h 243650"/>
                              <a:gd name="csX332" fmla="*/ 196694 w 277660"/>
                              <a:gd name="csY332" fmla="*/ 56770 h 243650"/>
                              <a:gd name="csX333" fmla="*/ 194789 w 277660"/>
                              <a:gd name="csY333" fmla="*/ 52674 h 243650"/>
                              <a:gd name="csX334" fmla="*/ 199837 w 277660"/>
                              <a:gd name="csY334" fmla="*/ 53436 h 243650"/>
                              <a:gd name="csX335" fmla="*/ 198694 w 277660"/>
                              <a:gd name="csY335" fmla="*/ 50293 h 243650"/>
                              <a:gd name="csX336" fmla="*/ 202218 w 277660"/>
                              <a:gd name="csY336" fmla="*/ 50293 h 243650"/>
                              <a:gd name="csX337" fmla="*/ 209172 w 277660"/>
                              <a:gd name="csY337" fmla="*/ 44482 h 243650"/>
                              <a:gd name="csX338" fmla="*/ 200790 w 277660"/>
                              <a:gd name="csY338" fmla="*/ 47149 h 243650"/>
                              <a:gd name="csX339" fmla="*/ 200790 w 277660"/>
                              <a:gd name="csY339" fmla="*/ 44292 h 243650"/>
                              <a:gd name="csX340" fmla="*/ 202594 w 277660"/>
                              <a:gd name="csY340" fmla="*/ 42292 h 243650"/>
                              <a:gd name="csX341" fmla="*/ 202790 w 277660"/>
                              <a:gd name="csY341" fmla="*/ 42292 h 243650"/>
                              <a:gd name="csX342" fmla="*/ 204600 w 277660"/>
                              <a:gd name="csY342" fmla="*/ 42292 h 243650"/>
                              <a:gd name="csX343" fmla="*/ 206790 w 277660"/>
                              <a:gd name="csY343" fmla="*/ 38101 h 243650"/>
                              <a:gd name="csX344" fmla="*/ 204219 w 277660"/>
                              <a:gd name="csY344" fmla="*/ 36291 h 243650"/>
                              <a:gd name="csX345" fmla="*/ 201933 w 277660"/>
                              <a:gd name="csY345" fmla="*/ 36958 h 243650"/>
                              <a:gd name="csX346" fmla="*/ 200504 w 277660"/>
                              <a:gd name="csY346" fmla="*/ 39053 h 243650"/>
                              <a:gd name="csX347" fmla="*/ 199837 w 277660"/>
                              <a:gd name="csY347" fmla="*/ 37053 h 243650"/>
                              <a:gd name="csX348" fmla="*/ 199170 w 277660"/>
                              <a:gd name="csY348" fmla="*/ 35529 h 243650"/>
                              <a:gd name="csX349" fmla="*/ 199170 w 277660"/>
                              <a:gd name="csY349" fmla="*/ 34957 h 243650"/>
                              <a:gd name="csX350" fmla="*/ 200092 w 277660"/>
                              <a:gd name="csY350" fmla="*/ 32283 h 243650"/>
                              <a:gd name="csX351" fmla="*/ 200694 w 277660"/>
                              <a:gd name="csY351" fmla="*/ 32100 h 243650"/>
                              <a:gd name="csX352" fmla="*/ 204314 w 277660"/>
                              <a:gd name="csY352" fmla="*/ 31243 h 243650"/>
                              <a:gd name="csX353" fmla="*/ 207267 w 277660"/>
                              <a:gd name="csY353" fmla="*/ 28861 h 243650"/>
                              <a:gd name="csX354" fmla="*/ 209838 w 277660"/>
                              <a:gd name="csY354" fmla="*/ 27337 h 243650"/>
                              <a:gd name="csX355" fmla="*/ 215172 w 277660"/>
                              <a:gd name="csY355" fmla="*/ 27337 h 243650"/>
                              <a:gd name="csX356" fmla="*/ 219935 w 277660"/>
                              <a:gd name="csY356" fmla="*/ 22670 h 243650"/>
                              <a:gd name="csX357" fmla="*/ 222221 w 277660"/>
                              <a:gd name="csY357" fmla="*/ 27337 h 243650"/>
                              <a:gd name="csX358" fmla="*/ 226793 w 277660"/>
                              <a:gd name="csY358" fmla="*/ 26194 h 243650"/>
                              <a:gd name="csX359" fmla="*/ 223935 w 277660"/>
                              <a:gd name="csY359" fmla="*/ 31433 h 243650"/>
                              <a:gd name="csX360" fmla="*/ 228793 w 277660"/>
                              <a:gd name="csY360" fmla="*/ 30766 h 243650"/>
                              <a:gd name="csX361" fmla="*/ 225650 w 277660"/>
                              <a:gd name="csY361" fmla="*/ 36100 h 243650"/>
                              <a:gd name="csX362" fmla="*/ 230984 w 277660"/>
                              <a:gd name="csY362" fmla="*/ 41625 h 243650"/>
                              <a:gd name="csX363" fmla="*/ 226221 w 277660"/>
                              <a:gd name="csY363" fmla="*/ 41625 h 243650"/>
                              <a:gd name="csX364" fmla="*/ 232032 w 277660"/>
                              <a:gd name="csY364" fmla="*/ 53531 h 243650"/>
                              <a:gd name="csX365" fmla="*/ 227745 w 277660"/>
                              <a:gd name="csY365" fmla="*/ 51436 h 243650"/>
                              <a:gd name="csX366" fmla="*/ 227745 w 277660"/>
                              <a:gd name="csY366" fmla="*/ 60008 h 243650"/>
                              <a:gd name="csX367" fmla="*/ 224793 w 277660"/>
                              <a:gd name="csY367" fmla="*/ 57722 h 243650"/>
                              <a:gd name="csX368" fmla="*/ 223459 w 277660"/>
                              <a:gd name="csY368" fmla="*/ 65247 h 243650"/>
                              <a:gd name="csX369" fmla="*/ 220316 w 277660"/>
                              <a:gd name="csY369" fmla="*/ 62961 h 243650"/>
                              <a:gd name="csX370" fmla="*/ 218220 w 277660"/>
                              <a:gd name="csY370" fmla="*/ 70962 h 243650"/>
                              <a:gd name="csX371" fmla="*/ 222697 w 277660"/>
                              <a:gd name="csY371" fmla="*/ 86392 h 243650"/>
                              <a:gd name="csX372" fmla="*/ 225555 w 277660"/>
                              <a:gd name="csY372" fmla="*/ 94870 h 243650"/>
                              <a:gd name="csX373" fmla="*/ 230508 w 277660"/>
                              <a:gd name="csY373" fmla="*/ 99156 h 243650"/>
                              <a:gd name="csX374" fmla="*/ 234889 w 277660"/>
                              <a:gd name="csY374" fmla="*/ 94393 h 243650"/>
                              <a:gd name="csX375" fmla="*/ 229079 w 277660"/>
                              <a:gd name="csY375" fmla="*/ 78106 h 243650"/>
                              <a:gd name="csX376" fmla="*/ 233460 w 277660"/>
                              <a:gd name="csY376" fmla="*/ 66295 h 243650"/>
                              <a:gd name="csX377" fmla="*/ 228507 w 277660"/>
                              <a:gd name="csY377" fmla="*/ 63628 h 243650"/>
                              <a:gd name="csX378" fmla="*/ 235365 w 277660"/>
                              <a:gd name="csY378" fmla="*/ 60199 h 243650"/>
                              <a:gd name="csX379" fmla="*/ 238032 w 277660"/>
                              <a:gd name="csY379" fmla="*/ 62580 h 243650"/>
                              <a:gd name="csX380" fmla="*/ 236985 w 277660"/>
                              <a:gd name="csY380" fmla="*/ 66485 h 243650"/>
                              <a:gd name="csX381" fmla="*/ 240414 w 277660"/>
                              <a:gd name="csY381" fmla="*/ 59722 h 243650"/>
                              <a:gd name="csX382" fmla="*/ 237937 w 277660"/>
                              <a:gd name="csY382" fmla="*/ 50197 h 243650"/>
                              <a:gd name="csX383" fmla="*/ 237937 w 277660"/>
                              <a:gd name="csY383" fmla="*/ 49245 h 243650"/>
                              <a:gd name="csX384" fmla="*/ 246224 w 277660"/>
                              <a:gd name="csY384" fmla="*/ 60770 h 243650"/>
                              <a:gd name="csX385" fmla="*/ 239747 w 277660"/>
                              <a:gd name="csY385" fmla="*/ 67914 h 243650"/>
                              <a:gd name="csX386" fmla="*/ 245271 w 277660"/>
                              <a:gd name="csY386" fmla="*/ 69057 h 24365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 ang="0">
                                <a:pos x="csX48" y="csY48"/>
                              </a:cxn>
                              <a:cxn ang="0">
                                <a:pos x="csX49" y="csY49"/>
                              </a:cxn>
                              <a:cxn ang="0">
                                <a:pos x="csX50" y="csY50"/>
                              </a:cxn>
                              <a:cxn ang="0">
                                <a:pos x="csX51" y="csY51"/>
                              </a:cxn>
                              <a:cxn ang="0">
                                <a:pos x="csX52" y="csY52"/>
                              </a:cxn>
                              <a:cxn ang="0">
                                <a:pos x="csX53" y="csY53"/>
                              </a:cxn>
                              <a:cxn ang="0">
                                <a:pos x="csX54" y="csY54"/>
                              </a:cxn>
                              <a:cxn ang="0">
                                <a:pos x="csX55" y="csY55"/>
                              </a:cxn>
                              <a:cxn ang="0">
                                <a:pos x="csX56" y="csY56"/>
                              </a:cxn>
                              <a:cxn ang="0">
                                <a:pos x="csX57" y="csY57"/>
                              </a:cxn>
                              <a:cxn ang="0">
                                <a:pos x="csX58" y="csY58"/>
                              </a:cxn>
                              <a:cxn ang="0">
                                <a:pos x="csX59" y="csY59"/>
                              </a:cxn>
                              <a:cxn ang="0">
                                <a:pos x="csX60" y="csY60"/>
                              </a:cxn>
                              <a:cxn ang="0">
                                <a:pos x="csX61" y="csY61"/>
                              </a:cxn>
                              <a:cxn ang="0">
                                <a:pos x="csX62" y="csY62"/>
                              </a:cxn>
                              <a:cxn ang="0">
                                <a:pos x="csX63" y="csY63"/>
                              </a:cxn>
                              <a:cxn ang="0">
                                <a:pos x="csX64" y="csY64"/>
                              </a:cxn>
                              <a:cxn ang="0">
                                <a:pos x="csX65" y="csY65"/>
                              </a:cxn>
                              <a:cxn ang="0">
                                <a:pos x="csX66" y="csY66"/>
                              </a:cxn>
                              <a:cxn ang="0">
                                <a:pos x="csX67" y="csY67"/>
                              </a:cxn>
                              <a:cxn ang="0">
                                <a:pos x="csX68" y="csY68"/>
                              </a:cxn>
                              <a:cxn ang="0">
                                <a:pos x="csX69" y="csY69"/>
                              </a:cxn>
                              <a:cxn ang="0">
                                <a:pos x="csX70" y="csY70"/>
                              </a:cxn>
                              <a:cxn ang="0">
                                <a:pos x="csX71" y="csY71"/>
                              </a:cxn>
                              <a:cxn ang="0">
                                <a:pos x="csX72" y="csY72"/>
                              </a:cxn>
                              <a:cxn ang="0">
                                <a:pos x="csX73" y="csY73"/>
                              </a:cxn>
                              <a:cxn ang="0">
                                <a:pos x="csX74" y="csY74"/>
                              </a:cxn>
                              <a:cxn ang="0">
                                <a:pos x="csX75" y="csY75"/>
                              </a:cxn>
                              <a:cxn ang="0">
                                <a:pos x="csX76" y="csY76"/>
                              </a:cxn>
                              <a:cxn ang="0">
                                <a:pos x="csX77" y="csY77"/>
                              </a:cxn>
                              <a:cxn ang="0">
                                <a:pos x="csX78" y="csY78"/>
                              </a:cxn>
                              <a:cxn ang="0">
                                <a:pos x="csX79" y="csY79"/>
                              </a:cxn>
                              <a:cxn ang="0">
                                <a:pos x="csX80" y="csY80"/>
                              </a:cxn>
                              <a:cxn ang="0">
                                <a:pos x="csX81" y="csY81"/>
                              </a:cxn>
                              <a:cxn ang="0">
                                <a:pos x="csX82" y="csY82"/>
                              </a:cxn>
                              <a:cxn ang="0">
                                <a:pos x="csX83" y="csY83"/>
                              </a:cxn>
                              <a:cxn ang="0">
                                <a:pos x="csX84" y="csY84"/>
                              </a:cxn>
                              <a:cxn ang="0">
                                <a:pos x="csX85" y="csY85"/>
                              </a:cxn>
                              <a:cxn ang="0">
                                <a:pos x="csX86" y="csY86"/>
                              </a:cxn>
                              <a:cxn ang="0">
                                <a:pos x="csX87" y="csY87"/>
                              </a:cxn>
                              <a:cxn ang="0">
                                <a:pos x="csX88" y="csY88"/>
                              </a:cxn>
                              <a:cxn ang="0">
                                <a:pos x="csX89" y="csY89"/>
                              </a:cxn>
                              <a:cxn ang="0">
                                <a:pos x="csX90" y="csY90"/>
                              </a:cxn>
                              <a:cxn ang="0">
                                <a:pos x="csX91" y="csY91"/>
                              </a:cxn>
                              <a:cxn ang="0">
                                <a:pos x="csX92" y="csY92"/>
                              </a:cxn>
                              <a:cxn ang="0">
                                <a:pos x="csX93" y="csY93"/>
                              </a:cxn>
                              <a:cxn ang="0">
                                <a:pos x="csX94" y="csY94"/>
                              </a:cxn>
                              <a:cxn ang="0">
                                <a:pos x="csX95" y="csY95"/>
                              </a:cxn>
                              <a:cxn ang="0">
                                <a:pos x="csX96" y="csY96"/>
                              </a:cxn>
                              <a:cxn ang="0">
                                <a:pos x="csX97" y="csY97"/>
                              </a:cxn>
                              <a:cxn ang="0">
                                <a:pos x="csX98" y="csY98"/>
                              </a:cxn>
                              <a:cxn ang="0">
                                <a:pos x="csX99" y="csY99"/>
                              </a:cxn>
                              <a:cxn ang="0">
                                <a:pos x="csX100" y="csY100"/>
                              </a:cxn>
                              <a:cxn ang="0">
                                <a:pos x="csX101" y="csY101"/>
                              </a:cxn>
                              <a:cxn ang="0">
                                <a:pos x="csX102" y="csY102"/>
                              </a:cxn>
                              <a:cxn ang="0">
                                <a:pos x="csX103" y="csY103"/>
                              </a:cxn>
                              <a:cxn ang="0">
                                <a:pos x="csX104" y="csY104"/>
                              </a:cxn>
                              <a:cxn ang="0">
                                <a:pos x="csX105" y="csY105"/>
                              </a:cxn>
                              <a:cxn ang="0">
                                <a:pos x="csX106" y="csY106"/>
                              </a:cxn>
                              <a:cxn ang="0">
                                <a:pos x="csX107" y="csY107"/>
                              </a:cxn>
                              <a:cxn ang="0">
                                <a:pos x="csX108" y="csY108"/>
                              </a:cxn>
                              <a:cxn ang="0">
                                <a:pos x="csX109" y="csY109"/>
                              </a:cxn>
                              <a:cxn ang="0">
                                <a:pos x="csX110" y="csY110"/>
                              </a:cxn>
                              <a:cxn ang="0">
                                <a:pos x="csX111" y="csY111"/>
                              </a:cxn>
                              <a:cxn ang="0">
                                <a:pos x="csX112" y="csY112"/>
                              </a:cxn>
                              <a:cxn ang="0">
                                <a:pos x="csX113" y="csY113"/>
                              </a:cxn>
                              <a:cxn ang="0">
                                <a:pos x="csX114" y="csY114"/>
                              </a:cxn>
                              <a:cxn ang="0">
                                <a:pos x="csX115" y="csY115"/>
                              </a:cxn>
                              <a:cxn ang="0">
                                <a:pos x="csX116" y="csY116"/>
                              </a:cxn>
                              <a:cxn ang="0">
                                <a:pos x="csX117" y="csY117"/>
                              </a:cxn>
                              <a:cxn ang="0">
                                <a:pos x="csX118" y="csY118"/>
                              </a:cxn>
                              <a:cxn ang="0">
                                <a:pos x="csX119" y="csY119"/>
                              </a:cxn>
                              <a:cxn ang="0">
                                <a:pos x="csX120" y="csY120"/>
                              </a:cxn>
                              <a:cxn ang="0">
                                <a:pos x="csX121" y="csY121"/>
                              </a:cxn>
                              <a:cxn ang="0">
                                <a:pos x="csX122" y="csY122"/>
                              </a:cxn>
                              <a:cxn ang="0">
                                <a:pos x="csX123" y="csY123"/>
                              </a:cxn>
                              <a:cxn ang="0">
                                <a:pos x="csX124" y="csY124"/>
                              </a:cxn>
                              <a:cxn ang="0">
                                <a:pos x="csX125" y="csY125"/>
                              </a:cxn>
                              <a:cxn ang="0">
                                <a:pos x="csX126" y="csY126"/>
                              </a:cxn>
                              <a:cxn ang="0">
                                <a:pos x="csX127" y="csY127"/>
                              </a:cxn>
                              <a:cxn ang="0">
                                <a:pos x="csX128" y="csY128"/>
                              </a:cxn>
                              <a:cxn ang="0">
                                <a:pos x="csX129" y="csY129"/>
                              </a:cxn>
                              <a:cxn ang="0">
                                <a:pos x="csX130" y="csY130"/>
                              </a:cxn>
                              <a:cxn ang="0">
                                <a:pos x="csX131" y="csY131"/>
                              </a:cxn>
                              <a:cxn ang="0">
                                <a:pos x="csX132" y="csY132"/>
                              </a:cxn>
                              <a:cxn ang="0">
                                <a:pos x="csX133" y="csY133"/>
                              </a:cxn>
                              <a:cxn ang="0">
                                <a:pos x="csX134" y="csY134"/>
                              </a:cxn>
                              <a:cxn ang="0">
                                <a:pos x="csX135" y="csY135"/>
                              </a:cxn>
                              <a:cxn ang="0">
                                <a:pos x="csX136" y="csY136"/>
                              </a:cxn>
                              <a:cxn ang="0">
                                <a:pos x="csX137" y="csY137"/>
                              </a:cxn>
                              <a:cxn ang="0">
                                <a:pos x="csX138" y="csY138"/>
                              </a:cxn>
                              <a:cxn ang="0">
                                <a:pos x="csX139" y="csY139"/>
                              </a:cxn>
                              <a:cxn ang="0">
                                <a:pos x="csX140" y="csY140"/>
                              </a:cxn>
                              <a:cxn ang="0">
                                <a:pos x="csX141" y="csY141"/>
                              </a:cxn>
                              <a:cxn ang="0">
                                <a:pos x="csX142" y="csY142"/>
                              </a:cxn>
                              <a:cxn ang="0">
                                <a:pos x="csX143" y="csY143"/>
                              </a:cxn>
                              <a:cxn ang="0">
                                <a:pos x="csX144" y="csY144"/>
                              </a:cxn>
                              <a:cxn ang="0">
                                <a:pos x="csX145" y="csY145"/>
                              </a:cxn>
                              <a:cxn ang="0">
                                <a:pos x="csX146" y="csY146"/>
                              </a:cxn>
                              <a:cxn ang="0">
                                <a:pos x="csX147" y="csY147"/>
                              </a:cxn>
                              <a:cxn ang="0">
                                <a:pos x="csX148" y="csY148"/>
                              </a:cxn>
                              <a:cxn ang="0">
                                <a:pos x="csX149" y="csY149"/>
                              </a:cxn>
                              <a:cxn ang="0">
                                <a:pos x="csX150" y="csY150"/>
                              </a:cxn>
                              <a:cxn ang="0">
                                <a:pos x="csX151" y="csY151"/>
                              </a:cxn>
                              <a:cxn ang="0">
                                <a:pos x="csX152" y="csY152"/>
                              </a:cxn>
                              <a:cxn ang="0">
                                <a:pos x="csX153" y="csY153"/>
                              </a:cxn>
                              <a:cxn ang="0">
                                <a:pos x="csX154" y="csY154"/>
                              </a:cxn>
                              <a:cxn ang="0">
                                <a:pos x="csX155" y="csY155"/>
                              </a:cxn>
                              <a:cxn ang="0">
                                <a:pos x="csX156" y="csY156"/>
                              </a:cxn>
                              <a:cxn ang="0">
                                <a:pos x="csX157" y="csY157"/>
                              </a:cxn>
                              <a:cxn ang="0">
                                <a:pos x="csX158" y="csY158"/>
                              </a:cxn>
                              <a:cxn ang="0">
                                <a:pos x="csX159" y="csY159"/>
                              </a:cxn>
                              <a:cxn ang="0">
                                <a:pos x="csX160" y="csY160"/>
                              </a:cxn>
                              <a:cxn ang="0">
                                <a:pos x="csX161" y="csY161"/>
                              </a:cxn>
                              <a:cxn ang="0">
                                <a:pos x="csX162" y="csY162"/>
                              </a:cxn>
                              <a:cxn ang="0">
                                <a:pos x="csX163" y="csY163"/>
                              </a:cxn>
                              <a:cxn ang="0">
                                <a:pos x="csX164" y="csY164"/>
                              </a:cxn>
                              <a:cxn ang="0">
                                <a:pos x="csX165" y="csY165"/>
                              </a:cxn>
                              <a:cxn ang="0">
                                <a:pos x="csX166" y="csY166"/>
                              </a:cxn>
                              <a:cxn ang="0">
                                <a:pos x="csX167" y="csY167"/>
                              </a:cxn>
                              <a:cxn ang="0">
                                <a:pos x="csX168" y="csY168"/>
                              </a:cxn>
                              <a:cxn ang="0">
                                <a:pos x="csX169" y="csY169"/>
                              </a:cxn>
                              <a:cxn ang="0">
                                <a:pos x="csX170" y="csY170"/>
                              </a:cxn>
                              <a:cxn ang="0">
                                <a:pos x="csX171" y="csY171"/>
                              </a:cxn>
                              <a:cxn ang="0">
                                <a:pos x="csX172" y="csY172"/>
                              </a:cxn>
                              <a:cxn ang="0">
                                <a:pos x="csX173" y="csY173"/>
                              </a:cxn>
                              <a:cxn ang="0">
                                <a:pos x="csX174" y="csY174"/>
                              </a:cxn>
                              <a:cxn ang="0">
                                <a:pos x="csX175" y="csY175"/>
                              </a:cxn>
                              <a:cxn ang="0">
                                <a:pos x="csX176" y="csY176"/>
                              </a:cxn>
                              <a:cxn ang="0">
                                <a:pos x="csX177" y="csY177"/>
                              </a:cxn>
                              <a:cxn ang="0">
                                <a:pos x="csX178" y="csY178"/>
                              </a:cxn>
                              <a:cxn ang="0">
                                <a:pos x="csX179" y="csY179"/>
                              </a:cxn>
                              <a:cxn ang="0">
                                <a:pos x="csX180" y="csY180"/>
                              </a:cxn>
                              <a:cxn ang="0">
                                <a:pos x="csX181" y="csY181"/>
                              </a:cxn>
                              <a:cxn ang="0">
                                <a:pos x="csX182" y="csY182"/>
                              </a:cxn>
                              <a:cxn ang="0">
                                <a:pos x="csX183" y="csY183"/>
                              </a:cxn>
                              <a:cxn ang="0">
                                <a:pos x="csX184" y="csY184"/>
                              </a:cxn>
                              <a:cxn ang="0">
                                <a:pos x="csX185" y="csY185"/>
                              </a:cxn>
                              <a:cxn ang="0">
                                <a:pos x="csX186" y="csY186"/>
                              </a:cxn>
                              <a:cxn ang="0">
                                <a:pos x="csX187" y="csY187"/>
                              </a:cxn>
                              <a:cxn ang="0">
                                <a:pos x="csX188" y="csY188"/>
                              </a:cxn>
                              <a:cxn ang="0">
                                <a:pos x="csX189" y="csY189"/>
                              </a:cxn>
                              <a:cxn ang="0">
                                <a:pos x="csX190" y="csY190"/>
                              </a:cxn>
                              <a:cxn ang="0">
                                <a:pos x="csX191" y="csY191"/>
                              </a:cxn>
                              <a:cxn ang="0">
                                <a:pos x="csX192" y="csY192"/>
                              </a:cxn>
                              <a:cxn ang="0">
                                <a:pos x="csX193" y="csY193"/>
                              </a:cxn>
                              <a:cxn ang="0">
                                <a:pos x="csX194" y="csY194"/>
                              </a:cxn>
                              <a:cxn ang="0">
                                <a:pos x="csX195" y="csY195"/>
                              </a:cxn>
                              <a:cxn ang="0">
                                <a:pos x="csX196" y="csY196"/>
                              </a:cxn>
                              <a:cxn ang="0">
                                <a:pos x="csX197" y="csY197"/>
                              </a:cxn>
                              <a:cxn ang="0">
                                <a:pos x="csX198" y="csY198"/>
                              </a:cxn>
                              <a:cxn ang="0">
                                <a:pos x="csX199" y="csY199"/>
                              </a:cxn>
                              <a:cxn ang="0">
                                <a:pos x="csX200" y="csY200"/>
                              </a:cxn>
                              <a:cxn ang="0">
                                <a:pos x="csX201" y="csY201"/>
                              </a:cxn>
                              <a:cxn ang="0">
                                <a:pos x="csX202" y="csY202"/>
                              </a:cxn>
                              <a:cxn ang="0">
                                <a:pos x="csX203" y="csY203"/>
                              </a:cxn>
                              <a:cxn ang="0">
                                <a:pos x="csX204" y="csY204"/>
                              </a:cxn>
                              <a:cxn ang="0">
                                <a:pos x="csX205" y="csY205"/>
                              </a:cxn>
                              <a:cxn ang="0">
                                <a:pos x="csX206" y="csY206"/>
                              </a:cxn>
                              <a:cxn ang="0">
                                <a:pos x="csX207" y="csY207"/>
                              </a:cxn>
                              <a:cxn ang="0">
                                <a:pos x="csX208" y="csY208"/>
                              </a:cxn>
                              <a:cxn ang="0">
                                <a:pos x="csX209" y="csY209"/>
                              </a:cxn>
                              <a:cxn ang="0">
                                <a:pos x="csX210" y="csY210"/>
                              </a:cxn>
                              <a:cxn ang="0">
                                <a:pos x="csX211" y="csY211"/>
                              </a:cxn>
                              <a:cxn ang="0">
                                <a:pos x="csX212" y="csY212"/>
                              </a:cxn>
                              <a:cxn ang="0">
                                <a:pos x="csX213" y="csY213"/>
                              </a:cxn>
                              <a:cxn ang="0">
                                <a:pos x="csX214" y="csY214"/>
                              </a:cxn>
                              <a:cxn ang="0">
                                <a:pos x="csX215" y="csY215"/>
                              </a:cxn>
                              <a:cxn ang="0">
                                <a:pos x="csX216" y="csY216"/>
                              </a:cxn>
                              <a:cxn ang="0">
                                <a:pos x="csX217" y="csY217"/>
                              </a:cxn>
                              <a:cxn ang="0">
                                <a:pos x="csX218" y="csY218"/>
                              </a:cxn>
                              <a:cxn ang="0">
                                <a:pos x="csX219" y="csY219"/>
                              </a:cxn>
                              <a:cxn ang="0">
                                <a:pos x="csX220" y="csY220"/>
                              </a:cxn>
                              <a:cxn ang="0">
                                <a:pos x="csX221" y="csY221"/>
                              </a:cxn>
                              <a:cxn ang="0">
                                <a:pos x="csX222" y="csY222"/>
                              </a:cxn>
                              <a:cxn ang="0">
                                <a:pos x="csX223" y="csY223"/>
                              </a:cxn>
                              <a:cxn ang="0">
                                <a:pos x="csX224" y="csY224"/>
                              </a:cxn>
                              <a:cxn ang="0">
                                <a:pos x="csX225" y="csY225"/>
                              </a:cxn>
                              <a:cxn ang="0">
                                <a:pos x="csX226" y="csY226"/>
                              </a:cxn>
                              <a:cxn ang="0">
                                <a:pos x="csX227" y="csY227"/>
                              </a:cxn>
                              <a:cxn ang="0">
                                <a:pos x="csX228" y="csY228"/>
                              </a:cxn>
                              <a:cxn ang="0">
                                <a:pos x="csX229" y="csY229"/>
                              </a:cxn>
                              <a:cxn ang="0">
                                <a:pos x="csX230" y="csY230"/>
                              </a:cxn>
                              <a:cxn ang="0">
                                <a:pos x="csX231" y="csY231"/>
                              </a:cxn>
                              <a:cxn ang="0">
                                <a:pos x="csX232" y="csY232"/>
                              </a:cxn>
                              <a:cxn ang="0">
                                <a:pos x="csX233" y="csY233"/>
                              </a:cxn>
                              <a:cxn ang="0">
                                <a:pos x="csX234" y="csY234"/>
                              </a:cxn>
                              <a:cxn ang="0">
                                <a:pos x="csX235" y="csY235"/>
                              </a:cxn>
                              <a:cxn ang="0">
                                <a:pos x="csX236" y="csY236"/>
                              </a:cxn>
                              <a:cxn ang="0">
                                <a:pos x="csX237" y="csY237"/>
                              </a:cxn>
                              <a:cxn ang="0">
                                <a:pos x="csX238" y="csY238"/>
                              </a:cxn>
                              <a:cxn ang="0">
                                <a:pos x="csX239" y="csY239"/>
                              </a:cxn>
                              <a:cxn ang="0">
                                <a:pos x="csX240" y="csY240"/>
                              </a:cxn>
                              <a:cxn ang="0">
                                <a:pos x="csX241" y="csY241"/>
                              </a:cxn>
                              <a:cxn ang="0">
                                <a:pos x="csX242" y="csY242"/>
                              </a:cxn>
                              <a:cxn ang="0">
                                <a:pos x="csX243" y="csY243"/>
                              </a:cxn>
                              <a:cxn ang="0">
                                <a:pos x="csX244" y="csY244"/>
                              </a:cxn>
                              <a:cxn ang="0">
                                <a:pos x="csX245" y="csY245"/>
                              </a:cxn>
                              <a:cxn ang="0">
                                <a:pos x="csX246" y="csY246"/>
                              </a:cxn>
                              <a:cxn ang="0">
                                <a:pos x="csX247" y="csY247"/>
                              </a:cxn>
                              <a:cxn ang="0">
                                <a:pos x="csX248" y="csY248"/>
                              </a:cxn>
                              <a:cxn ang="0">
                                <a:pos x="csX249" y="csY249"/>
                              </a:cxn>
                              <a:cxn ang="0">
                                <a:pos x="csX250" y="csY250"/>
                              </a:cxn>
                              <a:cxn ang="0">
                                <a:pos x="csX251" y="csY251"/>
                              </a:cxn>
                              <a:cxn ang="0">
                                <a:pos x="csX252" y="csY252"/>
                              </a:cxn>
                              <a:cxn ang="0">
                                <a:pos x="csX253" y="csY253"/>
                              </a:cxn>
                              <a:cxn ang="0">
                                <a:pos x="csX254" y="csY254"/>
                              </a:cxn>
                              <a:cxn ang="0">
                                <a:pos x="csX255" y="csY255"/>
                              </a:cxn>
                              <a:cxn ang="0">
                                <a:pos x="csX256" y="csY256"/>
                              </a:cxn>
                              <a:cxn ang="0">
                                <a:pos x="csX257" y="csY257"/>
                              </a:cxn>
                              <a:cxn ang="0">
                                <a:pos x="csX258" y="csY258"/>
                              </a:cxn>
                              <a:cxn ang="0">
                                <a:pos x="csX259" y="csY259"/>
                              </a:cxn>
                              <a:cxn ang="0">
                                <a:pos x="csX260" y="csY260"/>
                              </a:cxn>
                              <a:cxn ang="0">
                                <a:pos x="csX261" y="csY261"/>
                              </a:cxn>
                              <a:cxn ang="0">
                                <a:pos x="csX262" y="csY262"/>
                              </a:cxn>
                              <a:cxn ang="0">
                                <a:pos x="csX263" y="csY263"/>
                              </a:cxn>
                              <a:cxn ang="0">
                                <a:pos x="csX264" y="csY264"/>
                              </a:cxn>
                              <a:cxn ang="0">
                                <a:pos x="csX265" y="csY265"/>
                              </a:cxn>
                              <a:cxn ang="0">
                                <a:pos x="csX266" y="csY266"/>
                              </a:cxn>
                              <a:cxn ang="0">
                                <a:pos x="csX267" y="csY267"/>
                              </a:cxn>
                              <a:cxn ang="0">
                                <a:pos x="csX268" y="csY268"/>
                              </a:cxn>
                              <a:cxn ang="0">
                                <a:pos x="csX269" y="csY269"/>
                              </a:cxn>
                              <a:cxn ang="0">
                                <a:pos x="csX270" y="csY270"/>
                              </a:cxn>
                              <a:cxn ang="0">
                                <a:pos x="csX271" y="csY271"/>
                              </a:cxn>
                              <a:cxn ang="0">
                                <a:pos x="csX272" y="csY272"/>
                              </a:cxn>
                              <a:cxn ang="0">
                                <a:pos x="csX273" y="csY273"/>
                              </a:cxn>
                              <a:cxn ang="0">
                                <a:pos x="csX274" y="csY274"/>
                              </a:cxn>
                              <a:cxn ang="0">
                                <a:pos x="csX275" y="csY275"/>
                              </a:cxn>
                              <a:cxn ang="0">
                                <a:pos x="csX276" y="csY276"/>
                              </a:cxn>
                              <a:cxn ang="0">
                                <a:pos x="csX277" y="csY277"/>
                              </a:cxn>
                              <a:cxn ang="0">
                                <a:pos x="csX278" y="csY278"/>
                              </a:cxn>
                              <a:cxn ang="0">
                                <a:pos x="csX279" y="csY279"/>
                              </a:cxn>
                              <a:cxn ang="0">
                                <a:pos x="csX280" y="csY280"/>
                              </a:cxn>
                              <a:cxn ang="0">
                                <a:pos x="csX281" y="csY281"/>
                              </a:cxn>
                              <a:cxn ang="0">
                                <a:pos x="csX282" y="csY282"/>
                              </a:cxn>
                              <a:cxn ang="0">
                                <a:pos x="csX283" y="csY283"/>
                              </a:cxn>
                              <a:cxn ang="0">
                                <a:pos x="csX284" y="csY284"/>
                              </a:cxn>
                              <a:cxn ang="0">
                                <a:pos x="csX285" y="csY285"/>
                              </a:cxn>
                              <a:cxn ang="0">
                                <a:pos x="csX286" y="csY286"/>
                              </a:cxn>
                              <a:cxn ang="0">
                                <a:pos x="csX287" y="csY287"/>
                              </a:cxn>
                              <a:cxn ang="0">
                                <a:pos x="csX288" y="csY288"/>
                              </a:cxn>
                              <a:cxn ang="0">
                                <a:pos x="csX289" y="csY289"/>
                              </a:cxn>
                              <a:cxn ang="0">
                                <a:pos x="csX290" y="csY290"/>
                              </a:cxn>
                              <a:cxn ang="0">
                                <a:pos x="csX291" y="csY291"/>
                              </a:cxn>
                              <a:cxn ang="0">
                                <a:pos x="csX292" y="csY292"/>
                              </a:cxn>
                              <a:cxn ang="0">
                                <a:pos x="csX293" y="csY293"/>
                              </a:cxn>
                              <a:cxn ang="0">
                                <a:pos x="csX294" y="csY294"/>
                              </a:cxn>
                              <a:cxn ang="0">
                                <a:pos x="csX295" y="csY295"/>
                              </a:cxn>
                              <a:cxn ang="0">
                                <a:pos x="csX296" y="csY296"/>
                              </a:cxn>
                              <a:cxn ang="0">
                                <a:pos x="csX297" y="csY297"/>
                              </a:cxn>
                              <a:cxn ang="0">
                                <a:pos x="csX298" y="csY298"/>
                              </a:cxn>
                              <a:cxn ang="0">
                                <a:pos x="csX299" y="csY299"/>
                              </a:cxn>
                              <a:cxn ang="0">
                                <a:pos x="csX300" y="csY300"/>
                              </a:cxn>
                              <a:cxn ang="0">
                                <a:pos x="csX301" y="csY301"/>
                              </a:cxn>
                              <a:cxn ang="0">
                                <a:pos x="csX302" y="csY302"/>
                              </a:cxn>
                              <a:cxn ang="0">
                                <a:pos x="csX303" y="csY303"/>
                              </a:cxn>
                              <a:cxn ang="0">
                                <a:pos x="csX304" y="csY304"/>
                              </a:cxn>
                              <a:cxn ang="0">
                                <a:pos x="csX305" y="csY305"/>
                              </a:cxn>
                              <a:cxn ang="0">
                                <a:pos x="csX306" y="csY306"/>
                              </a:cxn>
                              <a:cxn ang="0">
                                <a:pos x="csX307" y="csY307"/>
                              </a:cxn>
                              <a:cxn ang="0">
                                <a:pos x="csX308" y="csY308"/>
                              </a:cxn>
                              <a:cxn ang="0">
                                <a:pos x="csX309" y="csY309"/>
                              </a:cxn>
                              <a:cxn ang="0">
                                <a:pos x="csX310" y="csY310"/>
                              </a:cxn>
                              <a:cxn ang="0">
                                <a:pos x="csX311" y="csY311"/>
                              </a:cxn>
                              <a:cxn ang="0">
                                <a:pos x="csX312" y="csY312"/>
                              </a:cxn>
                              <a:cxn ang="0">
                                <a:pos x="csX313" y="csY313"/>
                              </a:cxn>
                              <a:cxn ang="0">
                                <a:pos x="csX314" y="csY314"/>
                              </a:cxn>
                              <a:cxn ang="0">
                                <a:pos x="csX315" y="csY315"/>
                              </a:cxn>
                              <a:cxn ang="0">
                                <a:pos x="csX316" y="csY316"/>
                              </a:cxn>
                              <a:cxn ang="0">
                                <a:pos x="csX317" y="csY317"/>
                              </a:cxn>
                              <a:cxn ang="0">
                                <a:pos x="csX318" y="csY318"/>
                              </a:cxn>
                              <a:cxn ang="0">
                                <a:pos x="csX319" y="csY319"/>
                              </a:cxn>
                              <a:cxn ang="0">
                                <a:pos x="csX320" y="csY320"/>
                              </a:cxn>
                              <a:cxn ang="0">
                                <a:pos x="csX321" y="csY321"/>
                              </a:cxn>
                              <a:cxn ang="0">
                                <a:pos x="csX322" y="csY322"/>
                              </a:cxn>
                              <a:cxn ang="0">
                                <a:pos x="csX323" y="csY323"/>
                              </a:cxn>
                              <a:cxn ang="0">
                                <a:pos x="csX324" y="csY324"/>
                              </a:cxn>
                              <a:cxn ang="0">
                                <a:pos x="csX325" y="csY325"/>
                              </a:cxn>
                              <a:cxn ang="0">
                                <a:pos x="csX326" y="csY326"/>
                              </a:cxn>
                              <a:cxn ang="0">
                                <a:pos x="csX327" y="csY327"/>
                              </a:cxn>
                              <a:cxn ang="0">
                                <a:pos x="csX328" y="csY328"/>
                              </a:cxn>
                              <a:cxn ang="0">
                                <a:pos x="csX329" y="csY329"/>
                              </a:cxn>
                              <a:cxn ang="0">
                                <a:pos x="csX330" y="csY330"/>
                              </a:cxn>
                              <a:cxn ang="0">
                                <a:pos x="csX331" y="csY331"/>
                              </a:cxn>
                              <a:cxn ang="0">
                                <a:pos x="csX332" y="csY332"/>
                              </a:cxn>
                              <a:cxn ang="0">
                                <a:pos x="csX333" y="csY333"/>
                              </a:cxn>
                              <a:cxn ang="0">
                                <a:pos x="csX334" y="csY334"/>
                              </a:cxn>
                              <a:cxn ang="0">
                                <a:pos x="csX335" y="csY335"/>
                              </a:cxn>
                              <a:cxn ang="0">
                                <a:pos x="csX336" y="csY336"/>
                              </a:cxn>
                              <a:cxn ang="0">
                                <a:pos x="csX337" y="csY337"/>
                              </a:cxn>
                              <a:cxn ang="0">
                                <a:pos x="csX338" y="csY338"/>
                              </a:cxn>
                              <a:cxn ang="0">
                                <a:pos x="csX339" y="csY339"/>
                              </a:cxn>
                              <a:cxn ang="0">
                                <a:pos x="csX340" y="csY340"/>
                              </a:cxn>
                              <a:cxn ang="0">
                                <a:pos x="csX341" y="csY341"/>
                              </a:cxn>
                              <a:cxn ang="0">
                                <a:pos x="csX342" y="csY342"/>
                              </a:cxn>
                              <a:cxn ang="0">
                                <a:pos x="csX343" y="csY343"/>
                              </a:cxn>
                              <a:cxn ang="0">
                                <a:pos x="csX344" y="csY344"/>
                              </a:cxn>
                              <a:cxn ang="0">
                                <a:pos x="csX345" y="csY345"/>
                              </a:cxn>
                              <a:cxn ang="0">
                                <a:pos x="csX346" y="csY346"/>
                              </a:cxn>
                              <a:cxn ang="0">
                                <a:pos x="csX347" y="csY347"/>
                              </a:cxn>
                              <a:cxn ang="0">
                                <a:pos x="csX348" y="csY348"/>
                              </a:cxn>
                              <a:cxn ang="0">
                                <a:pos x="csX349" y="csY349"/>
                              </a:cxn>
                              <a:cxn ang="0">
                                <a:pos x="csX350" y="csY350"/>
                              </a:cxn>
                              <a:cxn ang="0">
                                <a:pos x="csX351" y="csY351"/>
                              </a:cxn>
                              <a:cxn ang="0">
                                <a:pos x="csX352" y="csY352"/>
                              </a:cxn>
                              <a:cxn ang="0">
                                <a:pos x="csX353" y="csY353"/>
                              </a:cxn>
                              <a:cxn ang="0">
                                <a:pos x="csX354" y="csY354"/>
                              </a:cxn>
                              <a:cxn ang="0">
                                <a:pos x="csX355" y="csY355"/>
                              </a:cxn>
                              <a:cxn ang="0">
                                <a:pos x="csX356" y="csY356"/>
                              </a:cxn>
                              <a:cxn ang="0">
                                <a:pos x="csX357" y="csY357"/>
                              </a:cxn>
                              <a:cxn ang="0">
                                <a:pos x="csX358" y="csY358"/>
                              </a:cxn>
                              <a:cxn ang="0">
                                <a:pos x="csX359" y="csY359"/>
                              </a:cxn>
                              <a:cxn ang="0">
                                <a:pos x="csX360" y="csY360"/>
                              </a:cxn>
                              <a:cxn ang="0">
                                <a:pos x="csX361" y="csY361"/>
                              </a:cxn>
                              <a:cxn ang="0">
                                <a:pos x="csX362" y="csY362"/>
                              </a:cxn>
                              <a:cxn ang="0">
                                <a:pos x="csX363" y="csY363"/>
                              </a:cxn>
                              <a:cxn ang="0">
                                <a:pos x="csX364" y="csY364"/>
                              </a:cxn>
                              <a:cxn ang="0">
                                <a:pos x="csX365" y="csY365"/>
                              </a:cxn>
                              <a:cxn ang="0">
                                <a:pos x="csX366" y="csY366"/>
                              </a:cxn>
                              <a:cxn ang="0">
                                <a:pos x="csX367" y="csY367"/>
                              </a:cxn>
                              <a:cxn ang="0">
                                <a:pos x="csX368" y="csY368"/>
                              </a:cxn>
                              <a:cxn ang="0">
                                <a:pos x="csX369" y="csY369"/>
                              </a:cxn>
                              <a:cxn ang="0">
                                <a:pos x="csX370" y="csY370"/>
                              </a:cxn>
                              <a:cxn ang="0">
                                <a:pos x="csX371" y="csY371"/>
                              </a:cxn>
                              <a:cxn ang="0">
                                <a:pos x="csX372" y="csY372"/>
                              </a:cxn>
                              <a:cxn ang="0">
                                <a:pos x="csX373" y="csY373"/>
                              </a:cxn>
                              <a:cxn ang="0">
                                <a:pos x="csX374" y="csY374"/>
                              </a:cxn>
                              <a:cxn ang="0">
                                <a:pos x="csX375" y="csY375"/>
                              </a:cxn>
                              <a:cxn ang="0">
                                <a:pos x="csX376" y="csY376"/>
                              </a:cxn>
                              <a:cxn ang="0">
                                <a:pos x="csX377" y="csY377"/>
                              </a:cxn>
                              <a:cxn ang="0">
                                <a:pos x="csX378" y="csY378"/>
                              </a:cxn>
                              <a:cxn ang="0">
                                <a:pos x="csX379" y="csY379"/>
                              </a:cxn>
                              <a:cxn ang="0">
                                <a:pos x="csX380" y="csY380"/>
                              </a:cxn>
                              <a:cxn ang="0">
                                <a:pos x="csX381" y="csY381"/>
                              </a:cxn>
                              <a:cxn ang="0">
                                <a:pos x="csX382" y="csY382"/>
                              </a:cxn>
                              <a:cxn ang="0">
                                <a:pos x="csX383" y="csY383"/>
                              </a:cxn>
                              <a:cxn ang="0">
                                <a:pos x="csX384" y="csY384"/>
                              </a:cxn>
                              <a:cxn ang="0">
                                <a:pos x="csX385" y="csY385"/>
                              </a:cxn>
                              <a:cxn ang="0">
                                <a:pos x="csX386" y="csY386"/>
                              </a:cxn>
                            </a:cxnLst>
                            <a:rect l="l" t="t" r="r" b="b"/>
                            <a:pathLst>
                              <a:path w="277660" h="243650">
                                <a:moveTo>
                                  <a:pt x="264512" y="1"/>
                                </a:moveTo>
                                <a:cubicBezTo>
                                  <a:pt x="191576" y="-83"/>
                                  <a:pt x="118817" y="7193"/>
                                  <a:pt x="47342" y="21718"/>
                                </a:cubicBezTo>
                                <a:cubicBezTo>
                                  <a:pt x="29860" y="25004"/>
                                  <a:pt x="16370" y="38990"/>
                                  <a:pt x="13719" y="56579"/>
                                </a:cubicBezTo>
                                <a:cubicBezTo>
                                  <a:pt x="2884" y="118315"/>
                                  <a:pt x="-1553" y="181004"/>
                                  <a:pt x="479" y="243650"/>
                                </a:cubicBezTo>
                                <a:cubicBezTo>
                                  <a:pt x="14481" y="230315"/>
                                  <a:pt x="143354" y="104871"/>
                                  <a:pt x="143354" y="104871"/>
                                </a:cubicBezTo>
                                <a:lnTo>
                                  <a:pt x="277656" y="238983"/>
                                </a:lnTo>
                                <a:cubicBezTo>
                                  <a:pt x="277808" y="159137"/>
                                  <a:pt x="273419" y="79348"/>
                                  <a:pt x="264512" y="1"/>
                                </a:cubicBezTo>
                                <a:close/>
                                <a:moveTo>
                                  <a:pt x="64487" y="43339"/>
                                </a:moveTo>
                                <a:cubicBezTo>
                                  <a:pt x="63915" y="45625"/>
                                  <a:pt x="63915" y="48578"/>
                                  <a:pt x="67154" y="48578"/>
                                </a:cubicBezTo>
                                <a:cubicBezTo>
                                  <a:pt x="69885" y="48175"/>
                                  <a:pt x="72527" y="47305"/>
                                  <a:pt x="74964" y="46006"/>
                                </a:cubicBezTo>
                                <a:lnTo>
                                  <a:pt x="74964" y="46864"/>
                                </a:lnTo>
                                <a:cubicBezTo>
                                  <a:pt x="71698" y="49320"/>
                                  <a:pt x="67922" y="51012"/>
                                  <a:pt x="63915" y="51817"/>
                                </a:cubicBezTo>
                                <a:cubicBezTo>
                                  <a:pt x="61344" y="51817"/>
                                  <a:pt x="60391" y="50293"/>
                                  <a:pt x="60391" y="48769"/>
                                </a:cubicBezTo>
                                <a:cubicBezTo>
                                  <a:pt x="60391" y="47245"/>
                                  <a:pt x="62772" y="45625"/>
                                  <a:pt x="64677" y="43339"/>
                                </a:cubicBezTo>
                                <a:close/>
                                <a:moveTo>
                                  <a:pt x="111445" y="77058"/>
                                </a:moveTo>
                                <a:cubicBezTo>
                                  <a:pt x="111445" y="79534"/>
                                  <a:pt x="107730" y="80963"/>
                                  <a:pt x="106968" y="82106"/>
                                </a:cubicBezTo>
                                <a:cubicBezTo>
                                  <a:pt x="106206" y="83249"/>
                                  <a:pt x="106206" y="82963"/>
                                  <a:pt x="106111" y="83630"/>
                                </a:cubicBezTo>
                                <a:lnTo>
                                  <a:pt x="106111" y="79534"/>
                                </a:lnTo>
                                <a:cubicBezTo>
                                  <a:pt x="106111" y="78391"/>
                                  <a:pt x="105159" y="77629"/>
                                  <a:pt x="103825" y="77629"/>
                                </a:cubicBezTo>
                                <a:cubicBezTo>
                                  <a:pt x="102492" y="77629"/>
                                  <a:pt x="96586" y="82392"/>
                                  <a:pt x="99729" y="90107"/>
                                </a:cubicBezTo>
                                <a:cubicBezTo>
                                  <a:pt x="99511" y="88316"/>
                                  <a:pt x="99988" y="86509"/>
                                  <a:pt x="101063" y="85059"/>
                                </a:cubicBezTo>
                                <a:cubicBezTo>
                                  <a:pt x="101570" y="84406"/>
                                  <a:pt x="101839" y="83600"/>
                                  <a:pt x="101825" y="82773"/>
                                </a:cubicBezTo>
                                <a:cubicBezTo>
                                  <a:pt x="102667" y="84041"/>
                                  <a:pt x="103099" y="85537"/>
                                  <a:pt x="103063" y="87059"/>
                                </a:cubicBezTo>
                                <a:cubicBezTo>
                                  <a:pt x="103063" y="90298"/>
                                  <a:pt x="100682" y="91060"/>
                                  <a:pt x="101825" y="93441"/>
                                </a:cubicBezTo>
                                <a:cubicBezTo>
                                  <a:pt x="102025" y="94158"/>
                                  <a:pt x="102279" y="94859"/>
                                  <a:pt x="102587" y="95536"/>
                                </a:cubicBezTo>
                                <a:cubicBezTo>
                                  <a:pt x="102469" y="94556"/>
                                  <a:pt x="102469" y="93564"/>
                                  <a:pt x="102587" y="92584"/>
                                </a:cubicBezTo>
                                <a:cubicBezTo>
                                  <a:pt x="103066" y="91567"/>
                                  <a:pt x="103606" y="90581"/>
                                  <a:pt x="104206" y="89631"/>
                                </a:cubicBezTo>
                                <a:cubicBezTo>
                                  <a:pt x="104399" y="88978"/>
                                  <a:pt x="104399" y="88283"/>
                                  <a:pt x="104206" y="87631"/>
                                </a:cubicBezTo>
                                <a:cubicBezTo>
                                  <a:pt x="105429" y="88869"/>
                                  <a:pt x="106085" y="90559"/>
                                  <a:pt x="106016" y="92298"/>
                                </a:cubicBezTo>
                                <a:cubicBezTo>
                                  <a:pt x="105937" y="93919"/>
                                  <a:pt x="105445" y="95493"/>
                                  <a:pt x="104587" y="96870"/>
                                </a:cubicBezTo>
                                <a:cubicBezTo>
                                  <a:pt x="104181" y="97675"/>
                                  <a:pt x="103923" y="98546"/>
                                  <a:pt x="103825" y="99442"/>
                                </a:cubicBezTo>
                                <a:cubicBezTo>
                                  <a:pt x="103063" y="104966"/>
                                  <a:pt x="100396" y="107538"/>
                                  <a:pt x="96872" y="107538"/>
                                </a:cubicBezTo>
                                <a:cubicBezTo>
                                  <a:pt x="95213" y="107292"/>
                                  <a:pt x="93642" y="106638"/>
                                  <a:pt x="92300" y="105633"/>
                                </a:cubicBezTo>
                                <a:cubicBezTo>
                                  <a:pt x="92300" y="112586"/>
                                  <a:pt x="84299" y="112015"/>
                                  <a:pt x="84299" y="116682"/>
                                </a:cubicBezTo>
                                <a:cubicBezTo>
                                  <a:pt x="84431" y="118051"/>
                                  <a:pt x="85038" y="119332"/>
                                  <a:pt x="86013" y="120301"/>
                                </a:cubicBezTo>
                                <a:cubicBezTo>
                                  <a:pt x="86871" y="121159"/>
                                  <a:pt x="90109" y="122397"/>
                                  <a:pt x="91347" y="123921"/>
                                </a:cubicBezTo>
                                <a:cubicBezTo>
                                  <a:pt x="89612" y="123968"/>
                                  <a:pt x="87953" y="124645"/>
                                  <a:pt x="86680" y="125826"/>
                                </a:cubicBezTo>
                                <a:cubicBezTo>
                                  <a:pt x="89633" y="127255"/>
                                  <a:pt x="89538" y="128874"/>
                                  <a:pt x="89919" y="131065"/>
                                </a:cubicBezTo>
                                <a:cubicBezTo>
                                  <a:pt x="87061" y="129636"/>
                                  <a:pt x="85728" y="130493"/>
                                  <a:pt x="85061" y="131065"/>
                                </a:cubicBezTo>
                                <a:cubicBezTo>
                                  <a:pt x="84394" y="131636"/>
                                  <a:pt x="84585" y="133160"/>
                                  <a:pt x="83632" y="134589"/>
                                </a:cubicBezTo>
                                <a:cubicBezTo>
                                  <a:pt x="83632" y="133446"/>
                                  <a:pt x="82394" y="132493"/>
                                  <a:pt x="81251" y="132493"/>
                                </a:cubicBezTo>
                                <a:cubicBezTo>
                                  <a:pt x="79646" y="132890"/>
                                  <a:pt x="78271" y="133921"/>
                                  <a:pt x="77441" y="135351"/>
                                </a:cubicBezTo>
                                <a:cubicBezTo>
                                  <a:pt x="77600" y="136815"/>
                                  <a:pt x="76542" y="138131"/>
                                  <a:pt x="75077" y="138290"/>
                                </a:cubicBezTo>
                                <a:cubicBezTo>
                                  <a:pt x="74945" y="138305"/>
                                  <a:pt x="74812" y="138309"/>
                                  <a:pt x="74679" y="138304"/>
                                </a:cubicBezTo>
                                <a:cubicBezTo>
                                  <a:pt x="73815" y="139181"/>
                                  <a:pt x="73456" y="140437"/>
                                  <a:pt x="73726" y="141637"/>
                                </a:cubicBezTo>
                                <a:cubicBezTo>
                                  <a:pt x="72678" y="140590"/>
                                  <a:pt x="72488" y="139923"/>
                                  <a:pt x="72869" y="138018"/>
                                </a:cubicBezTo>
                                <a:cubicBezTo>
                                  <a:pt x="71631" y="137446"/>
                                  <a:pt x="71726" y="136399"/>
                                  <a:pt x="72107" y="135446"/>
                                </a:cubicBezTo>
                                <a:cubicBezTo>
                                  <a:pt x="71418" y="136492"/>
                                  <a:pt x="70017" y="136789"/>
                                  <a:pt x="68964" y="136113"/>
                                </a:cubicBezTo>
                                <a:cubicBezTo>
                                  <a:pt x="68030" y="136648"/>
                                  <a:pt x="67423" y="137612"/>
                                  <a:pt x="67344" y="138685"/>
                                </a:cubicBezTo>
                                <a:cubicBezTo>
                                  <a:pt x="67344" y="135732"/>
                                  <a:pt x="67344" y="134779"/>
                                  <a:pt x="68297" y="134398"/>
                                </a:cubicBezTo>
                                <a:cubicBezTo>
                                  <a:pt x="67972" y="133349"/>
                                  <a:pt x="68512" y="132227"/>
                                  <a:pt x="69535" y="131827"/>
                                </a:cubicBezTo>
                                <a:cubicBezTo>
                                  <a:pt x="69551" y="131637"/>
                                  <a:pt x="69551" y="131445"/>
                                  <a:pt x="69535" y="131255"/>
                                </a:cubicBezTo>
                                <a:cubicBezTo>
                                  <a:pt x="68693" y="131340"/>
                                  <a:pt x="67877" y="130932"/>
                                  <a:pt x="67440" y="130207"/>
                                </a:cubicBezTo>
                                <a:cubicBezTo>
                                  <a:pt x="66370" y="130222"/>
                                  <a:pt x="65405" y="130853"/>
                                  <a:pt x="64963" y="131827"/>
                                </a:cubicBezTo>
                                <a:cubicBezTo>
                                  <a:pt x="65030" y="130276"/>
                                  <a:pt x="65895" y="128870"/>
                                  <a:pt x="67249" y="128112"/>
                                </a:cubicBezTo>
                                <a:cubicBezTo>
                                  <a:pt x="68297" y="126016"/>
                                  <a:pt x="70392" y="125635"/>
                                  <a:pt x="71631" y="126874"/>
                                </a:cubicBezTo>
                                <a:cubicBezTo>
                                  <a:pt x="72766" y="127786"/>
                                  <a:pt x="74175" y="128289"/>
                                  <a:pt x="75631" y="128302"/>
                                </a:cubicBezTo>
                                <a:cubicBezTo>
                                  <a:pt x="77040" y="128164"/>
                                  <a:pt x="78339" y="127480"/>
                                  <a:pt x="79251" y="126397"/>
                                </a:cubicBezTo>
                                <a:cubicBezTo>
                                  <a:pt x="79523" y="126048"/>
                                  <a:pt x="79747" y="125664"/>
                                  <a:pt x="79917" y="125254"/>
                                </a:cubicBezTo>
                                <a:cubicBezTo>
                                  <a:pt x="79917" y="124397"/>
                                  <a:pt x="80965" y="123445"/>
                                  <a:pt x="79251" y="121254"/>
                                </a:cubicBezTo>
                                <a:cubicBezTo>
                                  <a:pt x="77536" y="119063"/>
                                  <a:pt x="74488" y="116206"/>
                                  <a:pt x="74393" y="113824"/>
                                </a:cubicBezTo>
                                <a:cubicBezTo>
                                  <a:pt x="74264" y="110810"/>
                                  <a:pt x="75571" y="107912"/>
                                  <a:pt x="77917" y="106014"/>
                                </a:cubicBezTo>
                                <a:lnTo>
                                  <a:pt x="76488" y="106014"/>
                                </a:lnTo>
                                <a:cubicBezTo>
                                  <a:pt x="74012" y="106014"/>
                                  <a:pt x="73821" y="104490"/>
                                  <a:pt x="71250" y="104490"/>
                                </a:cubicBezTo>
                                <a:cubicBezTo>
                                  <a:pt x="69483" y="104690"/>
                                  <a:pt x="68184" y="106240"/>
                                  <a:pt x="68297" y="108014"/>
                                </a:cubicBezTo>
                                <a:cubicBezTo>
                                  <a:pt x="68233" y="109068"/>
                                  <a:pt x="68536" y="110111"/>
                                  <a:pt x="69154" y="110967"/>
                                </a:cubicBezTo>
                                <a:cubicBezTo>
                                  <a:pt x="69879" y="112061"/>
                                  <a:pt x="70184" y="113381"/>
                                  <a:pt x="70011" y="114682"/>
                                </a:cubicBezTo>
                                <a:cubicBezTo>
                                  <a:pt x="68542" y="113291"/>
                                  <a:pt x="66242" y="113291"/>
                                  <a:pt x="64773" y="114682"/>
                                </a:cubicBezTo>
                                <a:cubicBezTo>
                                  <a:pt x="64455" y="116066"/>
                                  <a:pt x="63642" y="117285"/>
                                  <a:pt x="62487" y="118111"/>
                                </a:cubicBezTo>
                                <a:cubicBezTo>
                                  <a:pt x="61865" y="116211"/>
                                  <a:pt x="59821" y="115175"/>
                                  <a:pt x="57921" y="115796"/>
                                </a:cubicBezTo>
                                <a:cubicBezTo>
                                  <a:pt x="57336" y="115988"/>
                                  <a:pt x="56809" y="116325"/>
                                  <a:pt x="56391" y="116777"/>
                                </a:cubicBezTo>
                                <a:cubicBezTo>
                                  <a:pt x="56391" y="117444"/>
                                  <a:pt x="55819" y="118873"/>
                                  <a:pt x="53819" y="118873"/>
                                </a:cubicBezTo>
                                <a:lnTo>
                                  <a:pt x="52200" y="118873"/>
                                </a:lnTo>
                                <a:cubicBezTo>
                                  <a:pt x="51406" y="119559"/>
                                  <a:pt x="50814" y="120448"/>
                                  <a:pt x="50485" y="121444"/>
                                </a:cubicBezTo>
                                <a:cubicBezTo>
                                  <a:pt x="50168" y="120229"/>
                                  <a:pt x="50413" y="118936"/>
                                  <a:pt x="51152" y="117920"/>
                                </a:cubicBezTo>
                                <a:cubicBezTo>
                                  <a:pt x="51152" y="117253"/>
                                  <a:pt x="51152" y="115539"/>
                                  <a:pt x="51914" y="115063"/>
                                </a:cubicBezTo>
                                <a:cubicBezTo>
                                  <a:pt x="50770" y="116163"/>
                                  <a:pt x="48961" y="116163"/>
                                  <a:pt x="47818" y="115063"/>
                                </a:cubicBezTo>
                                <a:cubicBezTo>
                                  <a:pt x="47151" y="115063"/>
                                  <a:pt x="46389" y="115729"/>
                                  <a:pt x="45627" y="117253"/>
                                </a:cubicBezTo>
                                <a:cubicBezTo>
                                  <a:pt x="45582" y="115780"/>
                                  <a:pt x="46172" y="114358"/>
                                  <a:pt x="47247" y="113348"/>
                                </a:cubicBezTo>
                                <a:cubicBezTo>
                                  <a:pt x="47247" y="112110"/>
                                  <a:pt x="48961" y="111157"/>
                                  <a:pt x="50580" y="111443"/>
                                </a:cubicBezTo>
                                <a:cubicBezTo>
                                  <a:pt x="52200" y="111729"/>
                                  <a:pt x="50580" y="111443"/>
                                  <a:pt x="50580" y="110872"/>
                                </a:cubicBezTo>
                                <a:cubicBezTo>
                                  <a:pt x="50580" y="110300"/>
                                  <a:pt x="48485" y="110872"/>
                                  <a:pt x="48675" y="108490"/>
                                </a:cubicBezTo>
                                <a:cubicBezTo>
                                  <a:pt x="47716" y="108302"/>
                                  <a:pt x="46724" y="108585"/>
                                  <a:pt x="46008" y="109252"/>
                                </a:cubicBezTo>
                                <a:cubicBezTo>
                                  <a:pt x="46547" y="107907"/>
                                  <a:pt x="47802" y="106985"/>
                                  <a:pt x="49247" y="106871"/>
                                </a:cubicBezTo>
                                <a:cubicBezTo>
                                  <a:pt x="49247" y="106109"/>
                                  <a:pt x="50866" y="106014"/>
                                  <a:pt x="51533" y="106014"/>
                                </a:cubicBezTo>
                                <a:cubicBezTo>
                                  <a:pt x="52015" y="105629"/>
                                  <a:pt x="52648" y="105489"/>
                                  <a:pt x="53247" y="105633"/>
                                </a:cubicBezTo>
                                <a:cubicBezTo>
                                  <a:pt x="54801" y="107643"/>
                                  <a:pt x="57296" y="108692"/>
                                  <a:pt x="59820" y="108395"/>
                                </a:cubicBezTo>
                                <a:cubicBezTo>
                                  <a:pt x="61135" y="108399"/>
                                  <a:pt x="62204" y="107337"/>
                                  <a:pt x="62208" y="106022"/>
                                </a:cubicBezTo>
                                <a:cubicBezTo>
                                  <a:pt x="62209" y="105955"/>
                                  <a:pt x="62206" y="105889"/>
                                  <a:pt x="62201" y="105823"/>
                                </a:cubicBezTo>
                                <a:cubicBezTo>
                                  <a:pt x="62201" y="104299"/>
                                  <a:pt x="59629" y="99918"/>
                                  <a:pt x="59629" y="97918"/>
                                </a:cubicBezTo>
                                <a:cubicBezTo>
                                  <a:pt x="60403" y="94968"/>
                                  <a:pt x="62752" y="92692"/>
                                  <a:pt x="65725" y="92012"/>
                                </a:cubicBezTo>
                                <a:cubicBezTo>
                                  <a:pt x="73155" y="92012"/>
                                  <a:pt x="75250" y="95060"/>
                                  <a:pt x="76488" y="95060"/>
                                </a:cubicBezTo>
                                <a:cubicBezTo>
                                  <a:pt x="77727" y="95060"/>
                                  <a:pt x="79155" y="95060"/>
                                  <a:pt x="79536" y="94203"/>
                                </a:cubicBezTo>
                                <a:cubicBezTo>
                                  <a:pt x="76012" y="89917"/>
                                  <a:pt x="73726" y="90012"/>
                                  <a:pt x="70011" y="87726"/>
                                </a:cubicBezTo>
                                <a:cubicBezTo>
                                  <a:pt x="68477" y="86542"/>
                                  <a:pt x="67483" y="84792"/>
                                  <a:pt x="67249" y="82868"/>
                                </a:cubicBezTo>
                                <a:cubicBezTo>
                                  <a:pt x="65249" y="83344"/>
                                  <a:pt x="63249" y="86107"/>
                                  <a:pt x="62201" y="87821"/>
                                </a:cubicBezTo>
                                <a:cubicBezTo>
                                  <a:pt x="61869" y="86997"/>
                                  <a:pt x="61088" y="86439"/>
                                  <a:pt x="60201" y="86392"/>
                                </a:cubicBezTo>
                                <a:cubicBezTo>
                                  <a:pt x="58581" y="86392"/>
                                  <a:pt x="57438" y="88583"/>
                                  <a:pt x="56581" y="90393"/>
                                </a:cubicBezTo>
                                <a:cubicBezTo>
                                  <a:pt x="56105" y="88297"/>
                                  <a:pt x="54867" y="86392"/>
                                  <a:pt x="52485" y="86392"/>
                                </a:cubicBezTo>
                                <a:cubicBezTo>
                                  <a:pt x="51234" y="86291"/>
                                  <a:pt x="50015" y="86828"/>
                                  <a:pt x="49247" y="87821"/>
                                </a:cubicBezTo>
                                <a:cubicBezTo>
                                  <a:pt x="48604" y="89179"/>
                                  <a:pt x="47068" y="89866"/>
                                  <a:pt x="45627" y="89440"/>
                                </a:cubicBezTo>
                                <a:cubicBezTo>
                                  <a:pt x="44537" y="90043"/>
                                  <a:pt x="43822" y="91152"/>
                                  <a:pt x="43722" y="92393"/>
                                </a:cubicBezTo>
                                <a:cubicBezTo>
                                  <a:pt x="43056" y="89631"/>
                                  <a:pt x="43722" y="89155"/>
                                  <a:pt x="43722" y="88393"/>
                                </a:cubicBezTo>
                                <a:cubicBezTo>
                                  <a:pt x="43402" y="87373"/>
                                  <a:pt x="43699" y="86260"/>
                                  <a:pt x="44484" y="85535"/>
                                </a:cubicBezTo>
                                <a:cubicBezTo>
                                  <a:pt x="43341" y="85535"/>
                                  <a:pt x="41817" y="85535"/>
                                  <a:pt x="41341" y="84868"/>
                                </a:cubicBezTo>
                                <a:cubicBezTo>
                                  <a:pt x="40865" y="84202"/>
                                  <a:pt x="39722" y="84868"/>
                                  <a:pt x="38674" y="86488"/>
                                </a:cubicBezTo>
                                <a:cubicBezTo>
                                  <a:pt x="38774" y="84946"/>
                                  <a:pt x="39679" y="83570"/>
                                  <a:pt x="41055" y="82868"/>
                                </a:cubicBezTo>
                                <a:cubicBezTo>
                                  <a:pt x="41055" y="81820"/>
                                  <a:pt x="42865" y="81439"/>
                                  <a:pt x="44008" y="81439"/>
                                </a:cubicBezTo>
                                <a:cubicBezTo>
                                  <a:pt x="45151" y="81439"/>
                                  <a:pt x="44008" y="81439"/>
                                  <a:pt x="44008" y="80868"/>
                                </a:cubicBezTo>
                                <a:cubicBezTo>
                                  <a:pt x="43166" y="80346"/>
                                  <a:pt x="42716" y="79371"/>
                                  <a:pt x="42865" y="78391"/>
                                </a:cubicBezTo>
                                <a:cubicBezTo>
                                  <a:pt x="41913" y="77344"/>
                                  <a:pt x="40960" y="78391"/>
                                  <a:pt x="40103" y="78391"/>
                                </a:cubicBezTo>
                                <a:cubicBezTo>
                                  <a:pt x="41532" y="76963"/>
                                  <a:pt x="43246" y="76391"/>
                                  <a:pt x="44389" y="77058"/>
                                </a:cubicBezTo>
                                <a:cubicBezTo>
                                  <a:pt x="46866" y="76201"/>
                                  <a:pt x="47818" y="77058"/>
                                  <a:pt x="48009" y="78772"/>
                                </a:cubicBezTo>
                                <a:cubicBezTo>
                                  <a:pt x="48199" y="80487"/>
                                  <a:pt x="50771" y="80582"/>
                                  <a:pt x="53438" y="80582"/>
                                </a:cubicBezTo>
                                <a:cubicBezTo>
                                  <a:pt x="59058" y="80582"/>
                                  <a:pt x="68106" y="75343"/>
                                  <a:pt x="67440" y="71057"/>
                                </a:cubicBezTo>
                                <a:cubicBezTo>
                                  <a:pt x="66591" y="70885"/>
                                  <a:pt x="65716" y="70885"/>
                                  <a:pt x="64868" y="71057"/>
                                </a:cubicBezTo>
                                <a:cubicBezTo>
                                  <a:pt x="61820" y="71057"/>
                                  <a:pt x="58105" y="74772"/>
                                  <a:pt x="55343" y="74867"/>
                                </a:cubicBezTo>
                                <a:cubicBezTo>
                                  <a:pt x="56867" y="73153"/>
                                  <a:pt x="55914" y="71438"/>
                                  <a:pt x="56772" y="70200"/>
                                </a:cubicBezTo>
                                <a:cubicBezTo>
                                  <a:pt x="54647" y="70689"/>
                                  <a:pt x="52475" y="70945"/>
                                  <a:pt x="50295" y="70962"/>
                                </a:cubicBezTo>
                                <a:cubicBezTo>
                                  <a:pt x="51319" y="70017"/>
                                  <a:pt x="51963" y="68729"/>
                                  <a:pt x="52104" y="67342"/>
                                </a:cubicBezTo>
                                <a:cubicBezTo>
                                  <a:pt x="52104" y="66580"/>
                                  <a:pt x="52104" y="64961"/>
                                  <a:pt x="48771" y="64961"/>
                                </a:cubicBezTo>
                                <a:cubicBezTo>
                                  <a:pt x="48106" y="65042"/>
                                  <a:pt x="47435" y="65042"/>
                                  <a:pt x="46770" y="64961"/>
                                </a:cubicBezTo>
                                <a:cubicBezTo>
                                  <a:pt x="46008" y="64961"/>
                                  <a:pt x="43818" y="64961"/>
                                  <a:pt x="43818" y="63056"/>
                                </a:cubicBezTo>
                                <a:cubicBezTo>
                                  <a:pt x="42675" y="62800"/>
                                  <a:pt x="41482" y="63161"/>
                                  <a:pt x="40674" y="64009"/>
                                </a:cubicBezTo>
                                <a:cubicBezTo>
                                  <a:pt x="41347" y="62675"/>
                                  <a:pt x="42506" y="61652"/>
                                  <a:pt x="43913" y="61151"/>
                                </a:cubicBezTo>
                                <a:cubicBezTo>
                                  <a:pt x="44255" y="60432"/>
                                  <a:pt x="44934" y="59932"/>
                                  <a:pt x="45723" y="59818"/>
                                </a:cubicBezTo>
                                <a:lnTo>
                                  <a:pt x="45723" y="59246"/>
                                </a:lnTo>
                                <a:cubicBezTo>
                                  <a:pt x="45723" y="58675"/>
                                  <a:pt x="43056" y="58675"/>
                                  <a:pt x="43151" y="56770"/>
                                </a:cubicBezTo>
                                <a:cubicBezTo>
                                  <a:pt x="43246" y="54865"/>
                                  <a:pt x="41817" y="55817"/>
                                  <a:pt x="40008" y="56770"/>
                                </a:cubicBezTo>
                                <a:cubicBezTo>
                                  <a:pt x="42198" y="55055"/>
                                  <a:pt x="43056" y="55341"/>
                                  <a:pt x="43722" y="55627"/>
                                </a:cubicBezTo>
                                <a:cubicBezTo>
                                  <a:pt x="44683" y="54654"/>
                                  <a:pt x="46251" y="54644"/>
                                  <a:pt x="47225" y="55605"/>
                                </a:cubicBezTo>
                                <a:cubicBezTo>
                                  <a:pt x="47232" y="55612"/>
                                  <a:pt x="47239" y="55619"/>
                                  <a:pt x="47247" y="55627"/>
                                </a:cubicBezTo>
                                <a:lnTo>
                                  <a:pt x="47247" y="55150"/>
                                </a:lnTo>
                                <a:cubicBezTo>
                                  <a:pt x="46787" y="54220"/>
                                  <a:pt x="46787" y="53128"/>
                                  <a:pt x="47247" y="52198"/>
                                </a:cubicBezTo>
                                <a:cubicBezTo>
                                  <a:pt x="47247" y="50864"/>
                                  <a:pt x="46675" y="50483"/>
                                  <a:pt x="45437" y="50197"/>
                                </a:cubicBezTo>
                                <a:cubicBezTo>
                                  <a:pt x="47042" y="50020"/>
                                  <a:pt x="48636" y="50622"/>
                                  <a:pt x="49723" y="51817"/>
                                </a:cubicBezTo>
                                <a:cubicBezTo>
                                  <a:pt x="50950" y="51937"/>
                                  <a:pt x="51934" y="52882"/>
                                  <a:pt x="52104" y="54103"/>
                                </a:cubicBezTo>
                                <a:cubicBezTo>
                                  <a:pt x="52104" y="56484"/>
                                  <a:pt x="49628" y="58103"/>
                                  <a:pt x="54486" y="60580"/>
                                </a:cubicBezTo>
                                <a:cubicBezTo>
                                  <a:pt x="56329" y="61462"/>
                                  <a:pt x="58240" y="62195"/>
                                  <a:pt x="60201" y="62770"/>
                                </a:cubicBezTo>
                                <a:cubicBezTo>
                                  <a:pt x="62097" y="63420"/>
                                  <a:pt x="64039" y="63929"/>
                                  <a:pt x="66011" y="64294"/>
                                </a:cubicBezTo>
                                <a:cubicBezTo>
                                  <a:pt x="65154" y="63056"/>
                                  <a:pt x="66011" y="61723"/>
                                  <a:pt x="64201" y="60389"/>
                                </a:cubicBezTo>
                                <a:cubicBezTo>
                                  <a:pt x="65814" y="60449"/>
                                  <a:pt x="67413" y="60705"/>
                                  <a:pt x="68964" y="61151"/>
                                </a:cubicBezTo>
                                <a:cubicBezTo>
                                  <a:pt x="68964" y="59246"/>
                                  <a:pt x="68964" y="59246"/>
                                  <a:pt x="67916" y="58103"/>
                                </a:cubicBezTo>
                                <a:lnTo>
                                  <a:pt x="71250" y="58103"/>
                                </a:lnTo>
                                <a:cubicBezTo>
                                  <a:pt x="76774" y="58675"/>
                                  <a:pt x="76869" y="55912"/>
                                  <a:pt x="77917" y="52483"/>
                                </a:cubicBezTo>
                                <a:cubicBezTo>
                                  <a:pt x="75066" y="52599"/>
                                  <a:pt x="72300" y="53488"/>
                                  <a:pt x="69916" y="55055"/>
                                </a:cubicBezTo>
                                <a:cubicBezTo>
                                  <a:pt x="70059" y="54140"/>
                                  <a:pt x="70059" y="53208"/>
                                  <a:pt x="69916" y="52293"/>
                                </a:cubicBezTo>
                                <a:cubicBezTo>
                                  <a:pt x="69862" y="51295"/>
                                  <a:pt x="70627" y="50442"/>
                                  <a:pt x="71625" y="50388"/>
                                </a:cubicBezTo>
                                <a:cubicBezTo>
                                  <a:pt x="71690" y="50384"/>
                                  <a:pt x="71756" y="50384"/>
                                  <a:pt x="71821" y="50388"/>
                                </a:cubicBezTo>
                                <a:lnTo>
                                  <a:pt x="73536" y="50388"/>
                                </a:lnTo>
                                <a:cubicBezTo>
                                  <a:pt x="74679" y="50388"/>
                                  <a:pt x="76393" y="49054"/>
                                  <a:pt x="75631" y="46387"/>
                                </a:cubicBezTo>
                                <a:cubicBezTo>
                                  <a:pt x="75443" y="45246"/>
                                  <a:pt x="74365" y="44472"/>
                                  <a:pt x="73223" y="44661"/>
                                </a:cubicBezTo>
                                <a:cubicBezTo>
                                  <a:pt x="73200" y="44664"/>
                                  <a:pt x="73177" y="44668"/>
                                  <a:pt x="73155" y="44673"/>
                                </a:cubicBezTo>
                                <a:cubicBezTo>
                                  <a:pt x="72410" y="44847"/>
                                  <a:pt x="71679" y="45070"/>
                                  <a:pt x="70964" y="45340"/>
                                </a:cubicBezTo>
                                <a:cubicBezTo>
                                  <a:pt x="70011" y="45340"/>
                                  <a:pt x="69726" y="46387"/>
                                  <a:pt x="69630" y="47340"/>
                                </a:cubicBezTo>
                                <a:cubicBezTo>
                                  <a:pt x="69630" y="46864"/>
                                  <a:pt x="69630" y="45721"/>
                                  <a:pt x="68964" y="45340"/>
                                </a:cubicBezTo>
                                <a:cubicBezTo>
                                  <a:pt x="68724" y="44918"/>
                                  <a:pt x="68533" y="44470"/>
                                  <a:pt x="68392" y="44006"/>
                                </a:cubicBezTo>
                                <a:lnTo>
                                  <a:pt x="68392" y="43339"/>
                                </a:lnTo>
                                <a:cubicBezTo>
                                  <a:pt x="67964" y="42378"/>
                                  <a:pt x="68397" y="41252"/>
                                  <a:pt x="69358" y="40825"/>
                                </a:cubicBezTo>
                                <a:cubicBezTo>
                                  <a:pt x="69535" y="40746"/>
                                  <a:pt x="69723" y="40694"/>
                                  <a:pt x="69916" y="40672"/>
                                </a:cubicBezTo>
                                <a:lnTo>
                                  <a:pt x="73345" y="39815"/>
                                </a:lnTo>
                                <a:cubicBezTo>
                                  <a:pt x="74633" y="39608"/>
                                  <a:pt x="75717" y="38740"/>
                                  <a:pt x="76203" y="37529"/>
                                </a:cubicBezTo>
                                <a:cubicBezTo>
                                  <a:pt x="76679" y="36481"/>
                                  <a:pt x="76965" y="36005"/>
                                  <a:pt x="78679" y="36005"/>
                                </a:cubicBezTo>
                                <a:lnTo>
                                  <a:pt x="82108" y="36005"/>
                                </a:lnTo>
                                <a:cubicBezTo>
                                  <a:pt x="84775" y="36005"/>
                                  <a:pt x="87728" y="33814"/>
                                  <a:pt x="86775" y="31528"/>
                                </a:cubicBezTo>
                                <a:cubicBezTo>
                                  <a:pt x="88585" y="31528"/>
                                  <a:pt x="89347" y="34862"/>
                                  <a:pt x="88871" y="36005"/>
                                </a:cubicBezTo>
                                <a:cubicBezTo>
                                  <a:pt x="90393" y="35918"/>
                                  <a:pt x="91882" y="35529"/>
                                  <a:pt x="93252" y="34862"/>
                                </a:cubicBezTo>
                                <a:cubicBezTo>
                                  <a:pt x="93152" y="36856"/>
                                  <a:pt x="92176" y="38704"/>
                                  <a:pt x="90585" y="39910"/>
                                </a:cubicBezTo>
                                <a:cubicBezTo>
                                  <a:pt x="92173" y="40162"/>
                                  <a:pt x="93799" y="39930"/>
                                  <a:pt x="95253" y="39244"/>
                                </a:cubicBezTo>
                                <a:cubicBezTo>
                                  <a:pt x="94659" y="41204"/>
                                  <a:pt x="93615" y="42997"/>
                                  <a:pt x="92205" y="44482"/>
                                </a:cubicBezTo>
                                <a:cubicBezTo>
                                  <a:pt x="94722" y="45200"/>
                                  <a:pt x="96676" y="47191"/>
                                  <a:pt x="97348" y="49721"/>
                                </a:cubicBezTo>
                                <a:cubicBezTo>
                                  <a:pt x="95443" y="48864"/>
                                  <a:pt x="94395" y="49721"/>
                                  <a:pt x="92776" y="49721"/>
                                </a:cubicBezTo>
                                <a:cubicBezTo>
                                  <a:pt x="95103" y="53243"/>
                                  <a:pt x="96960" y="57053"/>
                                  <a:pt x="98301" y="61056"/>
                                </a:cubicBezTo>
                                <a:cubicBezTo>
                                  <a:pt x="96973" y="60315"/>
                                  <a:pt x="95606" y="59647"/>
                                  <a:pt x="94205" y="59056"/>
                                </a:cubicBezTo>
                                <a:cubicBezTo>
                                  <a:pt x="95634" y="62389"/>
                                  <a:pt x="93538" y="65628"/>
                                  <a:pt x="94205" y="67342"/>
                                </a:cubicBezTo>
                                <a:cubicBezTo>
                                  <a:pt x="93104" y="66788"/>
                                  <a:pt x="92130" y="66009"/>
                                  <a:pt x="91347" y="65056"/>
                                </a:cubicBezTo>
                                <a:cubicBezTo>
                                  <a:pt x="90293" y="67315"/>
                                  <a:pt x="89866" y="69815"/>
                                  <a:pt x="90109" y="72295"/>
                                </a:cubicBezTo>
                                <a:cubicBezTo>
                                  <a:pt x="89185" y="71516"/>
                                  <a:pt x="88197" y="70815"/>
                                  <a:pt x="87156" y="70200"/>
                                </a:cubicBezTo>
                                <a:cubicBezTo>
                                  <a:pt x="85490" y="72369"/>
                                  <a:pt x="84738" y="75104"/>
                                  <a:pt x="85061" y="77820"/>
                                </a:cubicBezTo>
                                <a:cubicBezTo>
                                  <a:pt x="85333" y="83036"/>
                                  <a:pt x="86799" y="88120"/>
                                  <a:pt x="89347" y="92679"/>
                                </a:cubicBezTo>
                                <a:cubicBezTo>
                                  <a:pt x="90678" y="95220"/>
                                  <a:pt x="91610" y="97951"/>
                                  <a:pt x="92109" y="100775"/>
                                </a:cubicBezTo>
                                <a:cubicBezTo>
                                  <a:pt x="92517" y="103101"/>
                                  <a:pt x="94511" y="104816"/>
                                  <a:pt x="96872" y="104871"/>
                                </a:cubicBezTo>
                                <a:cubicBezTo>
                                  <a:pt x="99269" y="104718"/>
                                  <a:pt x="101119" y="102701"/>
                                  <a:pt x="101063" y="100299"/>
                                </a:cubicBezTo>
                                <a:cubicBezTo>
                                  <a:pt x="101063" y="95727"/>
                                  <a:pt x="95443" y="92774"/>
                                  <a:pt x="95443" y="84678"/>
                                </a:cubicBezTo>
                                <a:cubicBezTo>
                                  <a:pt x="95443" y="79344"/>
                                  <a:pt x="99539" y="76677"/>
                                  <a:pt x="99634" y="73343"/>
                                </a:cubicBezTo>
                                <a:cubicBezTo>
                                  <a:pt x="99729" y="70009"/>
                                  <a:pt x="97062" y="72200"/>
                                  <a:pt x="94967" y="70867"/>
                                </a:cubicBezTo>
                                <a:cubicBezTo>
                                  <a:pt x="97634" y="70295"/>
                                  <a:pt x="99158" y="67438"/>
                                  <a:pt x="101539" y="67533"/>
                                </a:cubicBezTo>
                                <a:cubicBezTo>
                                  <a:pt x="102792" y="67375"/>
                                  <a:pt x="103935" y="68263"/>
                                  <a:pt x="104093" y="69515"/>
                                </a:cubicBezTo>
                                <a:cubicBezTo>
                                  <a:pt x="104106" y="69616"/>
                                  <a:pt x="104112" y="69717"/>
                                  <a:pt x="104111" y="69819"/>
                                </a:cubicBezTo>
                                <a:cubicBezTo>
                                  <a:pt x="104109" y="71130"/>
                                  <a:pt x="103747" y="72415"/>
                                  <a:pt x="103063" y="73534"/>
                                </a:cubicBezTo>
                                <a:cubicBezTo>
                                  <a:pt x="104953" y="71885"/>
                                  <a:pt x="106117" y="69558"/>
                                  <a:pt x="106302" y="67057"/>
                                </a:cubicBezTo>
                                <a:cubicBezTo>
                                  <a:pt x="106302" y="64771"/>
                                  <a:pt x="103158" y="62199"/>
                                  <a:pt x="104016" y="57532"/>
                                </a:cubicBezTo>
                                <a:cubicBezTo>
                                  <a:pt x="103972" y="57248"/>
                                  <a:pt x="103972" y="56959"/>
                                  <a:pt x="104016" y="56674"/>
                                </a:cubicBezTo>
                                <a:cubicBezTo>
                                  <a:pt x="104968" y="61532"/>
                                  <a:pt x="111921" y="62770"/>
                                  <a:pt x="111921" y="67628"/>
                                </a:cubicBezTo>
                                <a:cubicBezTo>
                                  <a:pt x="111921" y="72486"/>
                                  <a:pt x="108016" y="71343"/>
                                  <a:pt x="105730" y="74581"/>
                                </a:cubicBezTo>
                                <a:cubicBezTo>
                                  <a:pt x="108683" y="73534"/>
                                  <a:pt x="111445" y="74010"/>
                                  <a:pt x="111445" y="77058"/>
                                </a:cubicBezTo>
                                <a:close/>
                                <a:moveTo>
                                  <a:pt x="196122" y="34291"/>
                                </a:moveTo>
                                <a:cubicBezTo>
                                  <a:pt x="195456" y="36672"/>
                                  <a:pt x="195456" y="39720"/>
                                  <a:pt x="198885" y="39720"/>
                                </a:cubicBezTo>
                                <a:cubicBezTo>
                                  <a:pt x="201716" y="39300"/>
                                  <a:pt x="204454" y="38398"/>
                                  <a:pt x="206981" y="37053"/>
                                </a:cubicBezTo>
                                <a:lnTo>
                                  <a:pt x="206981" y="37910"/>
                                </a:lnTo>
                                <a:cubicBezTo>
                                  <a:pt x="203570" y="40462"/>
                                  <a:pt x="199633" y="42220"/>
                                  <a:pt x="195456" y="43054"/>
                                </a:cubicBezTo>
                                <a:cubicBezTo>
                                  <a:pt x="193802" y="43371"/>
                                  <a:pt x="192205" y="42289"/>
                                  <a:pt x="191887" y="40636"/>
                                </a:cubicBezTo>
                                <a:cubicBezTo>
                                  <a:pt x="191841" y="40397"/>
                                  <a:pt x="191824" y="40153"/>
                                  <a:pt x="191836" y="39910"/>
                                </a:cubicBezTo>
                                <a:cubicBezTo>
                                  <a:pt x="192598" y="37434"/>
                                  <a:pt x="194503" y="36577"/>
                                  <a:pt x="196122" y="34291"/>
                                </a:cubicBezTo>
                                <a:close/>
                                <a:moveTo>
                                  <a:pt x="244890" y="69057"/>
                                </a:moveTo>
                                <a:cubicBezTo>
                                  <a:pt x="244890" y="71629"/>
                                  <a:pt x="240890" y="73153"/>
                                  <a:pt x="240128" y="74391"/>
                                </a:cubicBezTo>
                                <a:cubicBezTo>
                                  <a:pt x="239736" y="74831"/>
                                  <a:pt x="239443" y="75351"/>
                                  <a:pt x="239271" y="75915"/>
                                </a:cubicBezTo>
                                <a:cubicBezTo>
                                  <a:pt x="238699" y="74200"/>
                                  <a:pt x="239271" y="72867"/>
                                  <a:pt x="239271" y="71629"/>
                                </a:cubicBezTo>
                                <a:cubicBezTo>
                                  <a:pt x="239271" y="70390"/>
                                  <a:pt x="238318" y="69628"/>
                                  <a:pt x="236889" y="69628"/>
                                </a:cubicBezTo>
                                <a:cubicBezTo>
                                  <a:pt x="232169" y="71950"/>
                                  <a:pt x="230224" y="77658"/>
                                  <a:pt x="232545" y="82379"/>
                                </a:cubicBezTo>
                                <a:cubicBezTo>
                                  <a:pt x="232594" y="82479"/>
                                  <a:pt x="232645" y="82579"/>
                                  <a:pt x="232698" y="82678"/>
                                </a:cubicBezTo>
                                <a:cubicBezTo>
                                  <a:pt x="232422" y="80837"/>
                                  <a:pt x="232866" y="78961"/>
                                  <a:pt x="233937" y="77439"/>
                                </a:cubicBezTo>
                                <a:cubicBezTo>
                                  <a:pt x="234524" y="76789"/>
                                  <a:pt x="234832" y="75933"/>
                                  <a:pt x="234794" y="75058"/>
                                </a:cubicBezTo>
                                <a:cubicBezTo>
                                  <a:pt x="235663" y="76389"/>
                                  <a:pt x="236127" y="77944"/>
                                  <a:pt x="236127" y="79534"/>
                                </a:cubicBezTo>
                                <a:cubicBezTo>
                                  <a:pt x="236127" y="82963"/>
                                  <a:pt x="233651" y="83630"/>
                                  <a:pt x="234794" y="86202"/>
                                </a:cubicBezTo>
                                <a:cubicBezTo>
                                  <a:pt x="235006" y="86946"/>
                                  <a:pt x="235261" y="87677"/>
                                  <a:pt x="235556" y="88393"/>
                                </a:cubicBezTo>
                                <a:cubicBezTo>
                                  <a:pt x="235382" y="87352"/>
                                  <a:pt x="235382" y="86290"/>
                                  <a:pt x="235556" y="85249"/>
                                </a:cubicBezTo>
                                <a:cubicBezTo>
                                  <a:pt x="235556" y="84392"/>
                                  <a:pt x="237080" y="82868"/>
                                  <a:pt x="237175" y="82201"/>
                                </a:cubicBezTo>
                                <a:cubicBezTo>
                                  <a:pt x="237371" y="81517"/>
                                  <a:pt x="237371" y="80791"/>
                                  <a:pt x="237175" y="80106"/>
                                </a:cubicBezTo>
                                <a:cubicBezTo>
                                  <a:pt x="238400" y="81421"/>
                                  <a:pt x="239051" y="83168"/>
                                  <a:pt x="238985" y="84964"/>
                                </a:cubicBezTo>
                                <a:cubicBezTo>
                                  <a:pt x="238939" y="86650"/>
                                  <a:pt x="238446" y="88293"/>
                                  <a:pt x="237556" y="89726"/>
                                </a:cubicBezTo>
                                <a:cubicBezTo>
                                  <a:pt x="237116" y="90592"/>
                                  <a:pt x="236826" y="91526"/>
                                  <a:pt x="236699" y="92488"/>
                                </a:cubicBezTo>
                                <a:cubicBezTo>
                                  <a:pt x="235937" y="98203"/>
                                  <a:pt x="233175" y="100870"/>
                                  <a:pt x="229460" y="100870"/>
                                </a:cubicBezTo>
                                <a:cubicBezTo>
                                  <a:pt x="227526" y="100998"/>
                                  <a:pt x="225598" y="100533"/>
                                  <a:pt x="223935" y="99537"/>
                                </a:cubicBezTo>
                                <a:cubicBezTo>
                                  <a:pt x="223935" y="106871"/>
                                  <a:pt x="215649" y="106300"/>
                                  <a:pt x="215649" y="111062"/>
                                </a:cubicBezTo>
                                <a:cubicBezTo>
                                  <a:pt x="215776" y="112489"/>
                                  <a:pt x="216380" y="113831"/>
                                  <a:pt x="217363" y="114872"/>
                                </a:cubicBezTo>
                                <a:cubicBezTo>
                                  <a:pt x="218316" y="115729"/>
                                  <a:pt x="221649" y="116968"/>
                                  <a:pt x="222888" y="118682"/>
                                </a:cubicBezTo>
                                <a:cubicBezTo>
                                  <a:pt x="221111" y="118667"/>
                                  <a:pt x="219401" y="119351"/>
                                  <a:pt x="218125" y="120587"/>
                                </a:cubicBezTo>
                                <a:cubicBezTo>
                                  <a:pt x="221078" y="122111"/>
                                  <a:pt x="220983" y="123826"/>
                                  <a:pt x="221364" y="126016"/>
                                </a:cubicBezTo>
                                <a:cubicBezTo>
                                  <a:pt x="218411" y="124588"/>
                                  <a:pt x="217077" y="125445"/>
                                  <a:pt x="216315" y="126016"/>
                                </a:cubicBezTo>
                                <a:cubicBezTo>
                                  <a:pt x="215553" y="126588"/>
                                  <a:pt x="216315" y="128207"/>
                                  <a:pt x="214887" y="129731"/>
                                </a:cubicBezTo>
                                <a:cubicBezTo>
                                  <a:pt x="214887" y="128588"/>
                                  <a:pt x="213648" y="127540"/>
                                  <a:pt x="212315" y="127540"/>
                                </a:cubicBezTo>
                                <a:cubicBezTo>
                                  <a:pt x="210661" y="127999"/>
                                  <a:pt x="209256" y="129095"/>
                                  <a:pt x="208410" y="130588"/>
                                </a:cubicBezTo>
                                <a:cubicBezTo>
                                  <a:pt x="208515" y="132163"/>
                                  <a:pt x="207324" y="133525"/>
                                  <a:pt x="205749" y="133630"/>
                                </a:cubicBezTo>
                                <a:cubicBezTo>
                                  <a:pt x="205683" y="133634"/>
                                  <a:pt x="205618" y="133637"/>
                                  <a:pt x="205552" y="133636"/>
                                </a:cubicBezTo>
                                <a:cubicBezTo>
                                  <a:pt x="204603" y="134542"/>
                                  <a:pt x="204236" y="135900"/>
                                  <a:pt x="204600" y="137161"/>
                                </a:cubicBezTo>
                                <a:cubicBezTo>
                                  <a:pt x="203457" y="136018"/>
                                  <a:pt x="203266" y="135351"/>
                                  <a:pt x="203647" y="133351"/>
                                </a:cubicBezTo>
                                <a:cubicBezTo>
                                  <a:pt x="202314" y="132779"/>
                                  <a:pt x="202504" y="131636"/>
                                  <a:pt x="202885" y="130588"/>
                                </a:cubicBezTo>
                                <a:cubicBezTo>
                                  <a:pt x="202100" y="131618"/>
                                  <a:pt x="200672" y="131904"/>
                                  <a:pt x="199551" y="131255"/>
                                </a:cubicBezTo>
                                <a:cubicBezTo>
                                  <a:pt x="198619" y="131853"/>
                                  <a:pt x="197994" y="132826"/>
                                  <a:pt x="197837" y="133922"/>
                                </a:cubicBezTo>
                                <a:cubicBezTo>
                                  <a:pt x="197837" y="130874"/>
                                  <a:pt x="197837" y="129826"/>
                                  <a:pt x="198885" y="129445"/>
                                </a:cubicBezTo>
                                <a:cubicBezTo>
                                  <a:pt x="198562" y="128344"/>
                                  <a:pt x="199144" y="127181"/>
                                  <a:pt x="200218" y="126778"/>
                                </a:cubicBezTo>
                                <a:cubicBezTo>
                                  <a:pt x="200275" y="126560"/>
                                  <a:pt x="200275" y="126330"/>
                                  <a:pt x="200218" y="126112"/>
                                </a:cubicBezTo>
                                <a:cubicBezTo>
                                  <a:pt x="199355" y="126169"/>
                                  <a:pt x="198524" y="125772"/>
                                  <a:pt x="198027" y="125064"/>
                                </a:cubicBezTo>
                                <a:cubicBezTo>
                                  <a:pt x="197075" y="125064"/>
                                  <a:pt x="195741" y="126112"/>
                                  <a:pt x="195456" y="126778"/>
                                </a:cubicBezTo>
                                <a:cubicBezTo>
                                  <a:pt x="195508" y="125173"/>
                                  <a:pt x="196417" y="123719"/>
                                  <a:pt x="197837" y="122968"/>
                                </a:cubicBezTo>
                                <a:cubicBezTo>
                                  <a:pt x="198980" y="120682"/>
                                  <a:pt x="201171" y="120301"/>
                                  <a:pt x="202409" y="121635"/>
                                </a:cubicBezTo>
                                <a:cubicBezTo>
                                  <a:pt x="203616" y="122549"/>
                                  <a:pt x="205086" y="123050"/>
                                  <a:pt x="206600" y="123064"/>
                                </a:cubicBezTo>
                                <a:cubicBezTo>
                                  <a:pt x="208094" y="122962"/>
                                  <a:pt x="209477" y="122236"/>
                                  <a:pt x="210410" y="121063"/>
                                </a:cubicBezTo>
                                <a:cubicBezTo>
                                  <a:pt x="210682" y="120714"/>
                                  <a:pt x="210906" y="120330"/>
                                  <a:pt x="211077" y="119920"/>
                                </a:cubicBezTo>
                                <a:cubicBezTo>
                                  <a:pt x="211077" y="119063"/>
                                  <a:pt x="212220" y="118015"/>
                                  <a:pt x="210410" y="115729"/>
                                </a:cubicBezTo>
                                <a:cubicBezTo>
                                  <a:pt x="208600" y="113443"/>
                                  <a:pt x="205457" y="110491"/>
                                  <a:pt x="205362" y="108014"/>
                                </a:cubicBezTo>
                                <a:cubicBezTo>
                                  <a:pt x="205161" y="104884"/>
                                  <a:pt x="206515" y="101856"/>
                                  <a:pt x="208981" y="99918"/>
                                </a:cubicBezTo>
                                <a:lnTo>
                                  <a:pt x="207552" y="99918"/>
                                </a:lnTo>
                                <a:cubicBezTo>
                                  <a:pt x="204981" y="99918"/>
                                  <a:pt x="204695" y="98299"/>
                                  <a:pt x="202028" y="98299"/>
                                </a:cubicBezTo>
                                <a:cubicBezTo>
                                  <a:pt x="200209" y="98499"/>
                                  <a:pt x="198867" y="100092"/>
                                  <a:pt x="198980" y="101918"/>
                                </a:cubicBezTo>
                                <a:cubicBezTo>
                                  <a:pt x="198903" y="103033"/>
                                  <a:pt x="199205" y="104140"/>
                                  <a:pt x="199837" y="105061"/>
                                </a:cubicBezTo>
                                <a:cubicBezTo>
                                  <a:pt x="200654" y="106151"/>
                                  <a:pt x="200966" y="107537"/>
                                  <a:pt x="200694" y="108871"/>
                                </a:cubicBezTo>
                                <a:cubicBezTo>
                                  <a:pt x="199162" y="107455"/>
                                  <a:pt x="196798" y="107455"/>
                                  <a:pt x="195265" y="108871"/>
                                </a:cubicBezTo>
                                <a:cubicBezTo>
                                  <a:pt x="194950" y="110332"/>
                                  <a:pt x="194101" y="111623"/>
                                  <a:pt x="192884" y="112491"/>
                                </a:cubicBezTo>
                                <a:cubicBezTo>
                                  <a:pt x="192328" y="110516"/>
                                  <a:pt x="190277" y="109365"/>
                                  <a:pt x="188302" y="109921"/>
                                </a:cubicBezTo>
                                <a:cubicBezTo>
                                  <a:pt x="187603" y="110117"/>
                                  <a:pt x="186978" y="110514"/>
                                  <a:pt x="186502" y="111062"/>
                                </a:cubicBezTo>
                                <a:cubicBezTo>
                                  <a:pt x="186502" y="111729"/>
                                  <a:pt x="185931" y="113253"/>
                                  <a:pt x="183930" y="113253"/>
                                </a:cubicBezTo>
                                <a:cubicBezTo>
                                  <a:pt x="181930" y="113253"/>
                                  <a:pt x="182787" y="113253"/>
                                  <a:pt x="182216" y="112777"/>
                                </a:cubicBezTo>
                                <a:cubicBezTo>
                                  <a:pt x="181342" y="113449"/>
                                  <a:pt x="180708" y="114384"/>
                                  <a:pt x="180406" y="115444"/>
                                </a:cubicBezTo>
                                <a:cubicBezTo>
                                  <a:pt x="180083" y="114154"/>
                                  <a:pt x="180364" y="112787"/>
                                  <a:pt x="181168" y="111729"/>
                                </a:cubicBezTo>
                                <a:cubicBezTo>
                                  <a:pt x="181168" y="111062"/>
                                  <a:pt x="181168" y="109252"/>
                                  <a:pt x="181930" y="108776"/>
                                </a:cubicBezTo>
                                <a:lnTo>
                                  <a:pt x="181930" y="108300"/>
                                </a:lnTo>
                                <a:cubicBezTo>
                                  <a:pt x="180781" y="109457"/>
                                  <a:pt x="178912" y="109464"/>
                                  <a:pt x="177754" y="108315"/>
                                </a:cubicBezTo>
                                <a:cubicBezTo>
                                  <a:pt x="177749" y="108310"/>
                                  <a:pt x="177744" y="108305"/>
                                  <a:pt x="177739" y="108300"/>
                                </a:cubicBezTo>
                                <a:cubicBezTo>
                                  <a:pt x="176977" y="108300"/>
                                  <a:pt x="176215" y="108967"/>
                                  <a:pt x="175453" y="110586"/>
                                </a:cubicBezTo>
                                <a:cubicBezTo>
                                  <a:pt x="175095" y="108766"/>
                                  <a:pt x="175708" y="106890"/>
                                  <a:pt x="177072" y="105633"/>
                                </a:cubicBezTo>
                                <a:cubicBezTo>
                                  <a:pt x="177072" y="104395"/>
                                  <a:pt x="178787" y="103347"/>
                                  <a:pt x="180501" y="103728"/>
                                </a:cubicBezTo>
                                <a:lnTo>
                                  <a:pt x="180501" y="103061"/>
                                </a:lnTo>
                                <a:cubicBezTo>
                                  <a:pt x="180501" y="102394"/>
                                  <a:pt x="180501" y="103061"/>
                                  <a:pt x="180501" y="103061"/>
                                </a:cubicBezTo>
                                <a:cubicBezTo>
                                  <a:pt x="180501" y="103061"/>
                                  <a:pt x="178311" y="103061"/>
                                  <a:pt x="178406" y="100585"/>
                                </a:cubicBezTo>
                                <a:cubicBezTo>
                                  <a:pt x="177445" y="100270"/>
                                  <a:pt x="176389" y="100572"/>
                                  <a:pt x="175739" y="101347"/>
                                </a:cubicBezTo>
                                <a:cubicBezTo>
                                  <a:pt x="176242" y="99919"/>
                                  <a:pt x="177561" y="98939"/>
                                  <a:pt x="179073" y="98870"/>
                                </a:cubicBezTo>
                                <a:cubicBezTo>
                                  <a:pt x="179073" y="98108"/>
                                  <a:pt x="180692" y="98013"/>
                                  <a:pt x="181359" y="98013"/>
                                </a:cubicBezTo>
                                <a:cubicBezTo>
                                  <a:pt x="182333" y="97895"/>
                                  <a:pt x="183267" y="98440"/>
                                  <a:pt x="183645" y="99346"/>
                                </a:cubicBezTo>
                                <a:cubicBezTo>
                                  <a:pt x="185216" y="101460"/>
                                  <a:pt x="187789" y="102583"/>
                                  <a:pt x="190407" y="102299"/>
                                </a:cubicBezTo>
                                <a:cubicBezTo>
                                  <a:pt x="191828" y="102300"/>
                                  <a:pt x="192980" y="101150"/>
                                  <a:pt x="192981" y="99729"/>
                                </a:cubicBezTo>
                                <a:cubicBezTo>
                                  <a:pt x="192981" y="99697"/>
                                  <a:pt x="192980" y="99665"/>
                                  <a:pt x="192979" y="99632"/>
                                </a:cubicBezTo>
                                <a:cubicBezTo>
                                  <a:pt x="192979" y="98013"/>
                                  <a:pt x="190217" y="93441"/>
                                  <a:pt x="190217" y="91345"/>
                                </a:cubicBezTo>
                                <a:cubicBezTo>
                                  <a:pt x="191024" y="88254"/>
                                  <a:pt x="193484" y="85867"/>
                                  <a:pt x="196599" y="85154"/>
                                </a:cubicBezTo>
                                <a:cubicBezTo>
                                  <a:pt x="204314" y="85154"/>
                                  <a:pt x="206124" y="88393"/>
                                  <a:pt x="207743" y="88393"/>
                                </a:cubicBezTo>
                                <a:cubicBezTo>
                                  <a:pt x="209362" y="88393"/>
                                  <a:pt x="210505" y="87916"/>
                                  <a:pt x="210886" y="87535"/>
                                </a:cubicBezTo>
                                <a:cubicBezTo>
                                  <a:pt x="207267" y="83059"/>
                                  <a:pt x="204981" y="83154"/>
                                  <a:pt x="201361" y="80773"/>
                                </a:cubicBezTo>
                                <a:cubicBezTo>
                                  <a:pt x="199758" y="79510"/>
                                  <a:pt x="198729" y="77657"/>
                                  <a:pt x="198504" y="75629"/>
                                </a:cubicBezTo>
                                <a:cubicBezTo>
                                  <a:pt x="196313" y="76105"/>
                                  <a:pt x="194217" y="78963"/>
                                  <a:pt x="193265" y="80773"/>
                                </a:cubicBezTo>
                                <a:cubicBezTo>
                                  <a:pt x="192882" y="79948"/>
                                  <a:pt x="192077" y="79399"/>
                                  <a:pt x="191169" y="79344"/>
                                </a:cubicBezTo>
                                <a:cubicBezTo>
                                  <a:pt x="189455" y="79344"/>
                                  <a:pt x="188217" y="81630"/>
                                  <a:pt x="187359" y="83535"/>
                                </a:cubicBezTo>
                                <a:cubicBezTo>
                                  <a:pt x="187359" y="81344"/>
                                  <a:pt x="185550" y="79344"/>
                                  <a:pt x="183073" y="79344"/>
                                </a:cubicBezTo>
                                <a:cubicBezTo>
                                  <a:pt x="181768" y="79210"/>
                                  <a:pt x="180492" y="79793"/>
                                  <a:pt x="179739" y="80868"/>
                                </a:cubicBezTo>
                                <a:cubicBezTo>
                                  <a:pt x="179004" y="82237"/>
                                  <a:pt x="177441" y="82940"/>
                                  <a:pt x="175929" y="82582"/>
                                </a:cubicBezTo>
                                <a:cubicBezTo>
                                  <a:pt x="175167" y="82582"/>
                                  <a:pt x="174501" y="83249"/>
                                  <a:pt x="173929" y="85535"/>
                                </a:cubicBezTo>
                                <a:cubicBezTo>
                                  <a:pt x="173262" y="82678"/>
                                  <a:pt x="173929" y="82201"/>
                                  <a:pt x="173929" y="81439"/>
                                </a:cubicBezTo>
                                <a:cubicBezTo>
                                  <a:pt x="173575" y="80378"/>
                                  <a:pt x="173831" y="79208"/>
                                  <a:pt x="174596" y="78391"/>
                                </a:cubicBezTo>
                                <a:cubicBezTo>
                                  <a:pt x="173453" y="78391"/>
                                  <a:pt x="171834" y="78391"/>
                                  <a:pt x="171357" y="77725"/>
                                </a:cubicBezTo>
                                <a:cubicBezTo>
                                  <a:pt x="170881" y="77058"/>
                                  <a:pt x="169738" y="77725"/>
                                  <a:pt x="168595" y="79439"/>
                                </a:cubicBezTo>
                                <a:cubicBezTo>
                                  <a:pt x="168739" y="77838"/>
                                  <a:pt x="169666" y="76411"/>
                                  <a:pt x="171072" y="75629"/>
                                </a:cubicBezTo>
                                <a:cubicBezTo>
                                  <a:pt x="171072" y="74581"/>
                                  <a:pt x="172977" y="74105"/>
                                  <a:pt x="174120" y="74105"/>
                                </a:cubicBezTo>
                                <a:lnTo>
                                  <a:pt x="174120" y="73534"/>
                                </a:lnTo>
                                <a:cubicBezTo>
                                  <a:pt x="173220" y="73058"/>
                                  <a:pt x="172722" y="72063"/>
                                  <a:pt x="172881" y="71057"/>
                                </a:cubicBezTo>
                                <a:cubicBezTo>
                                  <a:pt x="171929" y="69914"/>
                                  <a:pt x="170881" y="70581"/>
                                  <a:pt x="170024" y="71057"/>
                                </a:cubicBezTo>
                                <a:cubicBezTo>
                                  <a:pt x="171548" y="69438"/>
                                  <a:pt x="173262" y="68866"/>
                                  <a:pt x="174501" y="69533"/>
                                </a:cubicBezTo>
                                <a:cubicBezTo>
                                  <a:pt x="177072" y="68676"/>
                                  <a:pt x="178025" y="69533"/>
                                  <a:pt x="178215" y="71343"/>
                                </a:cubicBezTo>
                                <a:cubicBezTo>
                                  <a:pt x="178406" y="73153"/>
                                  <a:pt x="181168" y="73248"/>
                                  <a:pt x="183835" y="73248"/>
                                </a:cubicBezTo>
                                <a:cubicBezTo>
                                  <a:pt x="189741" y="73248"/>
                                  <a:pt x="199170" y="67723"/>
                                  <a:pt x="198504" y="63723"/>
                                </a:cubicBezTo>
                                <a:cubicBezTo>
                                  <a:pt x="197622" y="63556"/>
                                  <a:pt x="196718" y="63556"/>
                                  <a:pt x="195837" y="63723"/>
                                </a:cubicBezTo>
                                <a:cubicBezTo>
                                  <a:pt x="192693" y="63723"/>
                                  <a:pt x="188693" y="67723"/>
                                  <a:pt x="185645" y="67723"/>
                                </a:cubicBezTo>
                                <a:cubicBezTo>
                                  <a:pt x="187169" y="66009"/>
                                  <a:pt x="186216" y="64199"/>
                                  <a:pt x="187074" y="62961"/>
                                </a:cubicBezTo>
                                <a:cubicBezTo>
                                  <a:pt x="184840" y="63362"/>
                                  <a:pt x="182579" y="63585"/>
                                  <a:pt x="180311" y="63628"/>
                                </a:cubicBezTo>
                                <a:cubicBezTo>
                                  <a:pt x="181399" y="62680"/>
                                  <a:pt x="182081" y="61350"/>
                                  <a:pt x="182216" y="59913"/>
                                </a:cubicBezTo>
                                <a:cubicBezTo>
                                  <a:pt x="182216" y="59056"/>
                                  <a:pt x="182216" y="57532"/>
                                  <a:pt x="178692" y="57532"/>
                                </a:cubicBezTo>
                                <a:cubicBezTo>
                                  <a:pt x="178027" y="57612"/>
                                  <a:pt x="177356" y="57612"/>
                                  <a:pt x="176691" y="57532"/>
                                </a:cubicBezTo>
                                <a:cubicBezTo>
                                  <a:pt x="175834" y="57532"/>
                                  <a:pt x="173548" y="57532"/>
                                  <a:pt x="173548" y="55436"/>
                                </a:cubicBezTo>
                                <a:cubicBezTo>
                                  <a:pt x="172364" y="55257"/>
                                  <a:pt x="171164" y="55645"/>
                                  <a:pt x="170310" y="56484"/>
                                </a:cubicBezTo>
                                <a:cubicBezTo>
                                  <a:pt x="170981" y="55073"/>
                                  <a:pt x="172177" y="53979"/>
                                  <a:pt x="173643" y="53436"/>
                                </a:cubicBezTo>
                                <a:cubicBezTo>
                                  <a:pt x="174035" y="52676"/>
                                  <a:pt x="174791" y="52172"/>
                                  <a:pt x="175644" y="52102"/>
                                </a:cubicBezTo>
                                <a:cubicBezTo>
                                  <a:pt x="175657" y="51880"/>
                                  <a:pt x="175657" y="51658"/>
                                  <a:pt x="175644" y="51436"/>
                                </a:cubicBezTo>
                                <a:cubicBezTo>
                                  <a:pt x="174405" y="51436"/>
                                  <a:pt x="172881" y="50864"/>
                                  <a:pt x="172977" y="48864"/>
                                </a:cubicBezTo>
                                <a:cubicBezTo>
                                  <a:pt x="173072" y="46864"/>
                                  <a:pt x="171548" y="47911"/>
                                  <a:pt x="169643" y="48864"/>
                                </a:cubicBezTo>
                                <a:cubicBezTo>
                                  <a:pt x="172024" y="47149"/>
                                  <a:pt x="172881" y="47435"/>
                                  <a:pt x="173643" y="47721"/>
                                </a:cubicBezTo>
                                <a:cubicBezTo>
                                  <a:pt x="174646" y="46728"/>
                                  <a:pt x="176261" y="46728"/>
                                  <a:pt x="177263" y="47721"/>
                                </a:cubicBezTo>
                                <a:lnTo>
                                  <a:pt x="177263" y="47149"/>
                                </a:lnTo>
                                <a:cubicBezTo>
                                  <a:pt x="176735" y="46236"/>
                                  <a:pt x="176735" y="45110"/>
                                  <a:pt x="177263" y="44197"/>
                                </a:cubicBezTo>
                                <a:cubicBezTo>
                                  <a:pt x="177263" y="42768"/>
                                  <a:pt x="176596" y="42387"/>
                                  <a:pt x="175263" y="42101"/>
                                </a:cubicBezTo>
                                <a:cubicBezTo>
                                  <a:pt x="176958" y="41877"/>
                                  <a:pt x="178658" y="42479"/>
                                  <a:pt x="179835" y="43720"/>
                                </a:cubicBezTo>
                                <a:cubicBezTo>
                                  <a:pt x="181099" y="43942"/>
                                  <a:pt x="182090" y="44932"/>
                                  <a:pt x="182311" y="46197"/>
                                </a:cubicBezTo>
                                <a:cubicBezTo>
                                  <a:pt x="182311" y="48578"/>
                                  <a:pt x="179739" y="50293"/>
                                  <a:pt x="184692" y="52864"/>
                                </a:cubicBezTo>
                                <a:cubicBezTo>
                                  <a:pt x="186638" y="53763"/>
                                  <a:pt x="188643" y="54527"/>
                                  <a:pt x="190693" y="55150"/>
                                </a:cubicBezTo>
                                <a:cubicBezTo>
                                  <a:pt x="192643" y="55860"/>
                                  <a:pt x="194651" y="56402"/>
                                  <a:pt x="196694" y="56770"/>
                                </a:cubicBezTo>
                                <a:cubicBezTo>
                                  <a:pt x="195837" y="55436"/>
                                  <a:pt x="196694" y="54103"/>
                                  <a:pt x="194789" y="52674"/>
                                </a:cubicBezTo>
                                <a:cubicBezTo>
                                  <a:pt x="196496" y="52727"/>
                                  <a:pt x="198190" y="52983"/>
                                  <a:pt x="199837" y="53436"/>
                                </a:cubicBezTo>
                                <a:cubicBezTo>
                                  <a:pt x="199837" y="51531"/>
                                  <a:pt x="199837" y="51531"/>
                                  <a:pt x="198694" y="50293"/>
                                </a:cubicBezTo>
                                <a:lnTo>
                                  <a:pt x="202218" y="50293"/>
                                </a:lnTo>
                                <a:cubicBezTo>
                                  <a:pt x="207933" y="50864"/>
                                  <a:pt x="208029" y="48102"/>
                                  <a:pt x="209172" y="44482"/>
                                </a:cubicBezTo>
                                <a:cubicBezTo>
                                  <a:pt x="206188" y="44596"/>
                                  <a:pt x="203290" y="45517"/>
                                  <a:pt x="200790" y="47149"/>
                                </a:cubicBezTo>
                                <a:cubicBezTo>
                                  <a:pt x="200933" y="46202"/>
                                  <a:pt x="200933" y="45239"/>
                                  <a:pt x="200790" y="44292"/>
                                </a:cubicBezTo>
                                <a:cubicBezTo>
                                  <a:pt x="200736" y="43241"/>
                                  <a:pt x="201544" y="42346"/>
                                  <a:pt x="202594" y="42292"/>
                                </a:cubicBezTo>
                                <a:cubicBezTo>
                                  <a:pt x="202659" y="42288"/>
                                  <a:pt x="202725" y="42288"/>
                                  <a:pt x="202790" y="42292"/>
                                </a:cubicBezTo>
                                <a:lnTo>
                                  <a:pt x="204600" y="42292"/>
                                </a:lnTo>
                                <a:cubicBezTo>
                                  <a:pt x="205838" y="42292"/>
                                  <a:pt x="207552" y="40863"/>
                                  <a:pt x="206790" y="38101"/>
                                </a:cubicBezTo>
                                <a:cubicBezTo>
                                  <a:pt x="206790" y="36767"/>
                                  <a:pt x="205362" y="35910"/>
                                  <a:pt x="204219" y="36291"/>
                                </a:cubicBezTo>
                                <a:cubicBezTo>
                                  <a:pt x="203076" y="36672"/>
                                  <a:pt x="203171" y="36291"/>
                                  <a:pt x="201933" y="36958"/>
                                </a:cubicBezTo>
                                <a:cubicBezTo>
                                  <a:pt x="201077" y="37304"/>
                                  <a:pt x="200513" y="38130"/>
                                  <a:pt x="200504" y="39053"/>
                                </a:cubicBezTo>
                                <a:cubicBezTo>
                                  <a:pt x="200504" y="39053"/>
                                  <a:pt x="200028" y="37339"/>
                                  <a:pt x="199837" y="37053"/>
                                </a:cubicBezTo>
                                <a:lnTo>
                                  <a:pt x="199170" y="35529"/>
                                </a:lnTo>
                                <a:lnTo>
                                  <a:pt x="199170" y="34957"/>
                                </a:lnTo>
                                <a:cubicBezTo>
                                  <a:pt x="198686" y="33964"/>
                                  <a:pt x="199099" y="32767"/>
                                  <a:pt x="200092" y="32283"/>
                                </a:cubicBezTo>
                                <a:cubicBezTo>
                                  <a:pt x="200282" y="32191"/>
                                  <a:pt x="200485" y="32129"/>
                                  <a:pt x="200694" y="32100"/>
                                </a:cubicBezTo>
                                <a:lnTo>
                                  <a:pt x="204314" y="31243"/>
                                </a:lnTo>
                                <a:cubicBezTo>
                                  <a:pt x="206314" y="30671"/>
                                  <a:pt x="206886" y="29909"/>
                                  <a:pt x="207267" y="28861"/>
                                </a:cubicBezTo>
                                <a:cubicBezTo>
                                  <a:pt x="207648" y="27814"/>
                                  <a:pt x="208029" y="27337"/>
                                  <a:pt x="209838" y="27337"/>
                                </a:cubicBezTo>
                                <a:lnTo>
                                  <a:pt x="215172" y="27337"/>
                                </a:lnTo>
                                <a:cubicBezTo>
                                  <a:pt x="217935" y="27337"/>
                                  <a:pt x="220983" y="25147"/>
                                  <a:pt x="219935" y="22670"/>
                                </a:cubicBezTo>
                                <a:cubicBezTo>
                                  <a:pt x="221935" y="22670"/>
                                  <a:pt x="222697" y="26099"/>
                                  <a:pt x="222221" y="27337"/>
                                </a:cubicBezTo>
                                <a:cubicBezTo>
                                  <a:pt x="223804" y="27250"/>
                                  <a:pt x="225355" y="26862"/>
                                  <a:pt x="226793" y="26194"/>
                                </a:cubicBezTo>
                                <a:cubicBezTo>
                                  <a:pt x="226690" y="28285"/>
                                  <a:pt x="225637" y="30215"/>
                                  <a:pt x="223935" y="31433"/>
                                </a:cubicBezTo>
                                <a:cubicBezTo>
                                  <a:pt x="225585" y="31694"/>
                                  <a:pt x="227275" y="31462"/>
                                  <a:pt x="228793" y="30766"/>
                                </a:cubicBezTo>
                                <a:cubicBezTo>
                                  <a:pt x="228206" y="32779"/>
                                  <a:pt x="227126" y="34612"/>
                                  <a:pt x="225650" y="36100"/>
                                </a:cubicBezTo>
                                <a:cubicBezTo>
                                  <a:pt x="228253" y="36913"/>
                                  <a:pt x="230263" y="38995"/>
                                  <a:pt x="230984" y="41625"/>
                                </a:cubicBezTo>
                                <a:cubicBezTo>
                                  <a:pt x="229079" y="40768"/>
                                  <a:pt x="227936" y="41625"/>
                                  <a:pt x="226221" y="41625"/>
                                </a:cubicBezTo>
                                <a:cubicBezTo>
                                  <a:pt x="228662" y="45327"/>
                                  <a:pt x="230615" y="49329"/>
                                  <a:pt x="232032" y="53531"/>
                                </a:cubicBezTo>
                                <a:cubicBezTo>
                                  <a:pt x="230671" y="52701"/>
                                  <a:pt x="229236" y="52000"/>
                                  <a:pt x="227745" y="51436"/>
                                </a:cubicBezTo>
                                <a:cubicBezTo>
                                  <a:pt x="229269" y="54865"/>
                                  <a:pt x="227079" y="58198"/>
                                  <a:pt x="227745" y="60008"/>
                                </a:cubicBezTo>
                                <a:cubicBezTo>
                                  <a:pt x="226620" y="59449"/>
                                  <a:pt x="225616" y="58672"/>
                                  <a:pt x="224793" y="57722"/>
                                </a:cubicBezTo>
                                <a:cubicBezTo>
                                  <a:pt x="223634" y="60050"/>
                                  <a:pt x="223171" y="62663"/>
                                  <a:pt x="223459" y="65247"/>
                                </a:cubicBezTo>
                                <a:cubicBezTo>
                                  <a:pt x="222488" y="64384"/>
                                  <a:pt x="221436" y="63619"/>
                                  <a:pt x="220316" y="62961"/>
                                </a:cubicBezTo>
                                <a:cubicBezTo>
                                  <a:pt x="218651" y="65277"/>
                                  <a:pt x="217905" y="68128"/>
                                  <a:pt x="218220" y="70962"/>
                                </a:cubicBezTo>
                                <a:cubicBezTo>
                                  <a:pt x="218480" y="76386"/>
                                  <a:pt x="220014" y="81672"/>
                                  <a:pt x="222697" y="86392"/>
                                </a:cubicBezTo>
                                <a:cubicBezTo>
                                  <a:pt x="224050" y="89067"/>
                                  <a:pt x="225012" y="91922"/>
                                  <a:pt x="225555" y="94870"/>
                                </a:cubicBezTo>
                                <a:cubicBezTo>
                                  <a:pt x="225965" y="97301"/>
                                  <a:pt x="228043" y="99099"/>
                                  <a:pt x="230508" y="99156"/>
                                </a:cubicBezTo>
                                <a:cubicBezTo>
                                  <a:pt x="233010" y="99003"/>
                                  <a:pt x="234945" y="96900"/>
                                  <a:pt x="234889" y="94393"/>
                                </a:cubicBezTo>
                                <a:cubicBezTo>
                                  <a:pt x="234889" y="89536"/>
                                  <a:pt x="229079" y="86488"/>
                                  <a:pt x="229079" y="78106"/>
                                </a:cubicBezTo>
                                <a:cubicBezTo>
                                  <a:pt x="229079" y="72581"/>
                                  <a:pt x="233270" y="69819"/>
                                  <a:pt x="233460" y="66295"/>
                                </a:cubicBezTo>
                                <a:cubicBezTo>
                                  <a:pt x="233651" y="62770"/>
                                  <a:pt x="230698" y="65056"/>
                                  <a:pt x="228507" y="63628"/>
                                </a:cubicBezTo>
                                <a:cubicBezTo>
                                  <a:pt x="231270" y="63628"/>
                                  <a:pt x="232889" y="60103"/>
                                  <a:pt x="235365" y="60199"/>
                                </a:cubicBezTo>
                                <a:cubicBezTo>
                                  <a:pt x="237842" y="60294"/>
                                  <a:pt x="237937" y="61532"/>
                                  <a:pt x="238032" y="62580"/>
                                </a:cubicBezTo>
                                <a:cubicBezTo>
                                  <a:pt x="238023" y="63950"/>
                                  <a:pt x="237662" y="65295"/>
                                  <a:pt x="236985" y="66485"/>
                                </a:cubicBezTo>
                                <a:cubicBezTo>
                                  <a:pt x="238903" y="64716"/>
                                  <a:pt x="240120" y="62316"/>
                                  <a:pt x="240414" y="59722"/>
                                </a:cubicBezTo>
                                <a:cubicBezTo>
                                  <a:pt x="240414" y="57341"/>
                                  <a:pt x="237080" y="54674"/>
                                  <a:pt x="237937" y="50197"/>
                                </a:cubicBezTo>
                                <a:cubicBezTo>
                                  <a:pt x="237909" y="49881"/>
                                  <a:pt x="237909" y="49562"/>
                                  <a:pt x="237937" y="49245"/>
                                </a:cubicBezTo>
                                <a:cubicBezTo>
                                  <a:pt x="238985" y="54388"/>
                                  <a:pt x="246224" y="55722"/>
                                  <a:pt x="246224" y="60770"/>
                                </a:cubicBezTo>
                                <a:cubicBezTo>
                                  <a:pt x="246224" y="65818"/>
                                  <a:pt x="242128" y="64580"/>
                                  <a:pt x="239747" y="67914"/>
                                </a:cubicBezTo>
                                <a:cubicBezTo>
                                  <a:pt x="242319" y="65723"/>
                                  <a:pt x="245271" y="66199"/>
                                  <a:pt x="245271" y="69057"/>
                                </a:cubicBezTo>
                                <a:close/>
                              </a:path>
                            </a:pathLst>
                          </a:custGeom>
                          <a:solidFill>
                            <a:srgbClr val="68246D"/>
                          </a:solidFill>
                          <a:ln w="9525" cap="flat">
                            <a:noFill/>
                            <a:prstDash val="solid"/>
                            <a:miter/>
                          </a:ln>
                        </wps:spPr>
                        <wps:bodyPr/>
                      </wps:wsp>
                      <wps:wsp>
                        <wps:cNvPr id="86323951" name="Freeform: Shape 86323951"/>
                        <wps:cNvSpPr/>
                        <wps:spPr>
                          <a:xfrm>
                            <a:off x="78394" y="37669"/>
                            <a:ext cx="5425" cy="2726"/>
                          </a:xfrm>
                          <a:custGeom>
                            <a:avLst/>
                            <a:gdLst>
                              <a:gd name="csX0" fmla="*/ 282 w 5425"/>
                              <a:gd name="csY0" fmla="*/ 250 h 2726"/>
                              <a:gd name="csX1" fmla="*/ 282 w 5425"/>
                              <a:gd name="csY1" fmla="*/ 2726 h 2726"/>
                              <a:gd name="csX2" fmla="*/ 3235 w 5425"/>
                              <a:gd name="csY2" fmla="*/ 1774 h 2726"/>
                              <a:gd name="csX3" fmla="*/ 5426 w 5425"/>
                              <a:gd name="csY3" fmla="*/ 59 h 2726"/>
                              <a:gd name="csX4" fmla="*/ 282 w 5425"/>
                              <a:gd name="csY4" fmla="*/ 250 h 2726"/>
                            </a:gdLst>
                            <a:ahLst/>
                            <a:cxnLst>
                              <a:cxn ang="0">
                                <a:pos x="csX0" y="csY0"/>
                              </a:cxn>
                              <a:cxn ang="0">
                                <a:pos x="csX1" y="csY1"/>
                              </a:cxn>
                              <a:cxn ang="0">
                                <a:pos x="csX2" y="csY2"/>
                              </a:cxn>
                              <a:cxn ang="0">
                                <a:pos x="csX3" y="csY3"/>
                              </a:cxn>
                              <a:cxn ang="0">
                                <a:pos x="csX4" y="csY4"/>
                              </a:cxn>
                            </a:cxnLst>
                            <a:rect l="l" t="t" r="r" b="b"/>
                            <a:pathLst>
                              <a:path w="5425" h="2726">
                                <a:moveTo>
                                  <a:pt x="282" y="250"/>
                                </a:moveTo>
                                <a:cubicBezTo>
                                  <a:pt x="-94" y="1033"/>
                                  <a:pt x="-94" y="1944"/>
                                  <a:pt x="282" y="2726"/>
                                </a:cubicBezTo>
                                <a:cubicBezTo>
                                  <a:pt x="1318" y="2600"/>
                                  <a:pt x="2320" y="2277"/>
                                  <a:pt x="3235" y="1774"/>
                                </a:cubicBezTo>
                                <a:cubicBezTo>
                                  <a:pt x="4092" y="1202"/>
                                  <a:pt x="4378" y="726"/>
                                  <a:pt x="5426" y="59"/>
                                </a:cubicBezTo>
                                <a:cubicBezTo>
                                  <a:pt x="3709" y="-62"/>
                                  <a:pt x="1985" y="2"/>
                                  <a:pt x="282" y="250"/>
                                </a:cubicBezTo>
                                <a:close/>
                              </a:path>
                            </a:pathLst>
                          </a:custGeom>
                          <a:solidFill>
                            <a:srgbClr val="702567"/>
                          </a:solidFill>
                          <a:ln w="9525" cap="flat">
                            <a:noFill/>
                            <a:prstDash val="solid"/>
                            <a:miter/>
                          </a:ln>
                        </wps:spPr>
                        <wps:bodyPr/>
                      </wps:wsp>
                      <wps:wsp>
                        <wps:cNvPr id="361377749" name="Freeform: Shape 361377749"/>
                        <wps:cNvSpPr/>
                        <wps:spPr>
                          <a:xfrm>
                            <a:off x="210786" y="28332"/>
                            <a:ext cx="5621" cy="2918"/>
                          </a:xfrm>
                          <a:custGeom>
                            <a:avLst/>
                            <a:gdLst>
                              <a:gd name="csX0" fmla="*/ 287 w 5621"/>
                              <a:gd name="csY0" fmla="*/ 252 h 2918"/>
                              <a:gd name="csX1" fmla="*/ 287 w 5621"/>
                              <a:gd name="csY1" fmla="*/ 2919 h 2918"/>
                              <a:gd name="csX2" fmla="*/ 3335 w 5621"/>
                              <a:gd name="csY2" fmla="*/ 1871 h 2918"/>
                              <a:gd name="csX3" fmla="*/ 5621 w 5621"/>
                              <a:gd name="csY3" fmla="*/ 61 h 2918"/>
                              <a:gd name="csX4" fmla="*/ 287 w 5621"/>
                              <a:gd name="csY4" fmla="*/ 252 h 2918"/>
                            </a:gdLst>
                            <a:ahLst/>
                            <a:cxnLst>
                              <a:cxn ang="0">
                                <a:pos x="csX0" y="csY0"/>
                              </a:cxn>
                              <a:cxn ang="0">
                                <a:pos x="csX1" y="csY1"/>
                              </a:cxn>
                              <a:cxn ang="0">
                                <a:pos x="csX2" y="csY2"/>
                              </a:cxn>
                              <a:cxn ang="0">
                                <a:pos x="csX3" y="csY3"/>
                              </a:cxn>
                              <a:cxn ang="0">
                                <a:pos x="csX4" y="csY4"/>
                              </a:cxn>
                            </a:cxnLst>
                            <a:rect l="l" t="t" r="r" b="b"/>
                            <a:pathLst>
                              <a:path w="5621" h="2918">
                                <a:moveTo>
                                  <a:pt x="287" y="252"/>
                                </a:moveTo>
                                <a:cubicBezTo>
                                  <a:pt x="-96" y="1100"/>
                                  <a:pt x="-96" y="2071"/>
                                  <a:pt x="287" y="2919"/>
                                </a:cubicBezTo>
                                <a:cubicBezTo>
                                  <a:pt x="1347" y="2713"/>
                                  <a:pt x="2373" y="2360"/>
                                  <a:pt x="3335" y="1871"/>
                                </a:cubicBezTo>
                                <a:cubicBezTo>
                                  <a:pt x="4288" y="1300"/>
                                  <a:pt x="4574" y="823"/>
                                  <a:pt x="5621" y="61"/>
                                </a:cubicBezTo>
                                <a:cubicBezTo>
                                  <a:pt x="3842" y="-62"/>
                                  <a:pt x="2054" y="1"/>
                                  <a:pt x="287" y="252"/>
                                </a:cubicBezTo>
                                <a:close/>
                              </a:path>
                            </a:pathLst>
                          </a:custGeom>
                          <a:solidFill>
                            <a:srgbClr val="702567"/>
                          </a:solidFill>
                          <a:ln w="9525" cap="flat">
                            <a:noFill/>
                            <a:prstDash val="solid"/>
                            <a:miter/>
                          </a:ln>
                        </wps:spPr>
                        <wps:bodyPr/>
                      </wps:wsp>
                    </wpg:wg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357CCAA">
              <v:group id="Graphic 12" style="position:absolute;margin-left:207.65pt;margin-top:47.45pt;width:180pt;height:74.55pt;z-index:251688979;mso-position-horizontal-relative:page;mso-width-relative:margin;mso-height-relative:margin" coordsize="22848,9450" coordorigin="" o:spid="_x0000_s1026" w14:anchorId="374DD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">
                <v:shape id="Freeform: Shape 564936567" style="position:absolute;left:6789;top:6932;width:13300;height:2518;visibility:visible;mso-wrap-style:square;v-text-anchor:top" coordsize="1329975,251845" o:spid="_x0000_s1027" fillcolor="#002a41" stroked="f" path="m1218629,251841v22288,,36671,-11239,49244,-41815l1329976,57150r-23432,l1258919,180499,1205103,57150r-24384,l1247966,204597v-8859,20860,-17145,27718,-30290,27718c1209589,232554,1201579,230683,1194435,226886r-7429,17430c1196736,249380,1207565,251964,1218533,251841t-83343,-44101c1144464,207897,1153632,205737,1161860,201454r,-19050c1155200,185819,1147817,187584,1140333,187547v-11912,1799,-23026,-6400,-24824,-18311c1115196,167161,1115184,165051,1115473,162973r,-86487l1162431,76486r,-19050l1115473,57436r,-44958l1093375,12478r,44672l1072801,57150r,19050l1093375,76200r,89345c1093375,195644,1111472,207359,1135190,207359t-117063,-2571l1040130,204788r,-147638l1018127,57150r,147638xm1016699,24384r25146,l1041845,r-25146,l1016699,24384xm928211,207645v29528,,52673,-16383,52673,-44386l980884,162687v,-26670,-24574,-35528,-47625,-42386c913543,114300,895159,108871,895159,94774r,-572c895159,81915,906399,72771,923734,72771v15651,590,30826,5538,43816,14287l977075,70485c961195,60191,942751,54549,923830,54197v-29242,,-50387,16859,-50387,42291l873443,97060v,27241,25717,35242,48958,41815c941451,144304,959358,150114,959358,164973r,572c959358,179832,946404,188976,928688,188976v-18691,-649,-36669,-7332,-51245,-19050l866299,185642v17466,13800,38989,21465,61245,21813m768382,204597r22002,l790384,145828v,-44577,26385,-67818,58675,-67818l850773,78010r,-23717c823963,53844,799776,70325,790385,95441r-1,-38577l768382,56864r,147733xm617792,121825v3143,-28575,22574,-49816,48101,-49816c695039,72009,710565,94869,713518,121825r-95726,xm617792,139541r118586,l736378,131826v,-43529,-25146,-78391,-68961,-78391c626459,53435,596360,87725,596360,130683v-1999,40667,29348,75255,70015,77255c667674,208001,668974,208031,670274,208026v23525,640,46025,-9626,60960,-27813l717328,168497v-11781,13414,-28821,21030,-46673,20860c642864,189643,619834,167876,618554,140113m501110,206312r19050,l584549,57150r-23717,l510731,179927,460915,57150r-24384,l501110,206312xm383953,205169r22098,l406051,57150r-22098,l383953,205169xm382524,24765r25241,l407765,381r-25241,l382524,24765xm211074,205169r22003,l233077,120396c231493,96408,249655,75677,273644,74093v1271,-83,2545,-112,3819,-84c303562,74009,318421,91154,318421,118681r,86488l340423,205169r,-91917c340423,78010,319564,54007,283750,54007v-20901,-683,-40442,10336,-50673,28575l233077,56864r-22003,l211074,205169xm83344,208312v50101,,83629,-30385,83629,-88773l166973,4763r-22669,l144304,121253v,43815,-23432,66104,-60389,66104c46958,187357,22670,163068,22670,119825r,-115062l,4763,,121253v,57150,33814,87059,83344,8705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">
                  <v:stroke joinstyle="miter"/>
                  <v:path arrowok="t" o:connecttype="custom" o:connectlocs="1218629,251841;1267873,210026;1329976,57150;1306544,57150;1258919,180499;1205103,57150;1180719,57150;1247966,204597;1217676,232315;1194435,226886;1187006,244316;1218533,251841;1135190,207740;1161860,201454;1161860,182404;1140333,187547;1115509,169236;1115473,162973;1115473,76486;1162431,76486;1162431,57436;1115473,57436;1115473,12478;1093375,12478;1093375,57150;1072801,57150;1072801,76200;1093375,76200;1093375,165545;1135190,207359;1018127,204788;1040130,204788;1040130,57150;1018127,57150;1016699,24384;1041845,24384;1041845,0;1016699,0;928211,207645;980884,163259;980884,162687;933259,120301;895159,94774;895159,94202;923734,72771;967550,87058;977075,70485;923830,54197;873443,96488;873443,97060;922401,138875;959358,164973;959358,165545;928688,188976;877443,169926;866299,185642;927544,207455;768382,204597;790384,204597;790384,145828;849059,78010;850773,78010;850773,54293;790385,95441;790384,56864;768382,56864;617792,121825;665893,72009;713518,121825;617792,139541;736378,139541;736378,131826;667417,53435;596360,130683;666375,207938;670274,208026;731234,180213;717328,168497;670655,189357;618554,140113;501110,206312;520160,206312;584549,57150;560832,57150;510731,179927;460915,57150;436531,57150;383953,205169;406051,205169;406051,57150;383953,57150;382524,24765;407765,24765;407765,381;382524,381;211074,205169;233077,205169;233077,120396;273644,74093;277463,74009;318421,118681;318421,205169;340423,205169;340423,113252;283750,54007;233077,82582;233077,56864;211074,56864;83344,208312;166973,119539;166973,4763;144304,4763;144304,121253;83915,187357;22670,119825;22670,4763;0,4763;0,121253;83344,208312" o:connectangles="0,0,0,0,0,0,0,0,0,0,0,0,0,0,0,0,0,0,0,0,0,0,0,0,0,0,0,0,0,0,0,0,0,0,0,0,0,0,0,0,0,0,0,0,0,0,0,0,0,0,0,0,0,0,0,0,0,0,0,0,0,0,0,0,0,0,0,0,0,0,0,0,0,0,0,0,0,0,0,0,0,0,0,0,0,0,0,0,0,0,0,0,0,0,0,0,0,0,0,0,0,0,0,0,0,0,0,0,0,0,0,0,0,0,0,0,0,0,0"/>
                </v:shape>
                <v:shape id="Freeform: Shape 352763732" style="position:absolute;left:6410;top:2828;width:16438;height:3339;visibility:visible;mso-wrap-style:square;v-text-anchor:top" coordsize="1643824,333981" o:spid="_x0000_s1028" fillcolor="#002a41" stroked="f" path="m1375029,329470r,-18193l1373791,311277v-8583,213,-17105,-1479,-24956,-4953c1341692,302990,1338167,294989,1338167,282226r,-91536c1338080,178965,1339684,167288,1342930,156019v2687,-9897,8100,-18840,15621,-25812c1366986,123350,1377708,119946,1388554,120682v13708,-1374,27128,4559,35338,15621c1431390,149640,1434926,164840,1434084,180118r,149637l1509522,329755r,-18192l1508189,311563v-8339,324,-16616,-1548,-24004,-5429c1477899,302514,1474660,293942,1474660,280321r,-95536c1474553,173916,1476095,163093,1479232,152686v2603,-9151,7797,-17355,14955,-23622c1502301,122694,1512464,119510,1522762,120110v13739,-1408,27204,4528,35433,15621c1565692,149069,1569228,164269,1568387,179546r,149638l1643825,329184r,-18193l1642491,310991v-8338,325,-16616,-1548,-24003,-5429c1612202,301943,1608963,293370,1608963,279749r,-102108c1608963,147923,1602613,126333,1589913,112871,1576320,98985,1557405,91627,1538002,92678v-12904,-106,-25688,2490,-37529,7620c1486966,107125,1476184,118345,1469898,132112r-3429,c1462201,119137,1453230,108229,1441323,101537v-11778,-6041,-24865,-9084,-38100,-8859c1390740,92482,1378372,95085,1367028,100298v-12908,7193,-23160,18347,-29242,31814l1336262,132112r-5619,-35148l1262539,96964r,18289l1263777,115253v8272,-295,16488,1472,23908,5143c1294067,123920,1297210,132016,1297210,144685r,135350c1297210,293656,1294162,302228,1287685,305848v-7416,3897,-15728,5770,-24098,5429l1257967,311277r,18193l1375029,329470xm1074420,266605v-999,-14335,4124,-28422,14097,-38767c1097915,219012,1114901,213995,1139476,212788r27813,-1238l1167289,246698v829,16158,-4789,31986,-15621,44005c1140567,301838,1125272,307756,1109567,306991v-23431,,-35147,-13526,-35147,-40386m1129093,328422v7705,-3524,14633,-8542,20384,-14764c1155794,306839,1161740,299685,1167289,292227r3429,l1177671,329470r58579,l1236250,311277r-1334,c1227400,312049,1219896,309708,1214152,304800v-4914,-7267,-7076,-16048,-6096,-24765l1208056,167735v,-27527,-6572,-46863,-19717,-58197c1175194,98203,1155287,92678,1128713,92678v-13227,-151,-26427,1224,-39339,4096c1078896,98851,1069085,103462,1060799,110204v-6849,6098,-10621,14934,-10287,24099c1049767,142506,1053383,150498,1060037,155353v8366,4737,17935,6923,27527,6286c1087469,153454,1088430,145290,1090422,137351v1588,-6868,5659,-12907,11430,-16955c1109354,115951,1118005,113830,1126712,114300v9354,-682,18668,1764,26480,6953c1159081,126083,1163091,132823,1164527,140303v1828,9059,2690,18287,2571,27528l1167098,193834r-36004,1238c1097852,196310,1072991,202311,1056704,213360v-16640,11514,-25950,30968,-24480,51149c1032224,288227,1038511,305753,1051274,316992v21993,17358,51542,21745,77629,11525m876872,329565r,-18193l875538,311372v-8553,231,-17049,-1462,-24860,-4953c843534,303086,840010,295085,840010,282321r,-91631c839111,172754,843553,154953,852773,139541v8946,-12920,24044,-20162,39720,-19050c910114,120491,922496,125730,929545,136112v7851,13212,11566,28473,10668,43815l940213,329565r75438,l1015651,311372r-1238,c1006042,311713,997730,309841,990314,305943v-6191,-3619,-9525,-12192,-9525,-25813l980789,177641v,-29718,-6572,-51308,-19717,-64770c945634,98527,924945,91217,903922,92678v-27086,-1007,-52043,14624,-62960,39434l838772,132112v571,-7811,952,-14574,1333,-20384c840486,105918,840105,100489,840105,95250l840105,,760285,r,18193l763810,18193v8578,-175,17082,1617,24860,5239c795814,26861,799338,35052,799338,47720r,232315c799338,293656,795814,302228,788956,305848v-7821,3812,-16449,5675,-25146,5429l760285,311277r,18193l876872,329565xm696468,329565r,-18193l684276,311372v-8581,204,-17102,-1487,-24955,-4953c652272,303086,648748,295085,648748,282321r,-68104c648801,204656,649501,195109,650843,185642v1462,-10367,3788,-20595,6954,-30575c660477,146150,664914,137860,670846,130683v5007,-6091,12499,-9592,20383,-9525c698181,120513,704956,123592,709041,129254v4025,7978,5803,16901,5143,25813c725370,156282,736607,153294,745712,146685v6235,-5672,9708,-13766,9525,-22193c755669,115221,751319,106377,743712,101060,733025,94835,720709,91980,708374,92869v-10367,-529,-20689,1706,-29909,6477c671375,103562,665424,109448,661130,116491v-4615,7577,-8689,15470,-12192,23622l646747,140113,638556,97155r-66675,l571881,115253r1334,c581814,115067,590345,116825,598170,120396v7048,3524,10668,11620,10668,24289l608838,280035v,13621,-3524,22193,-10478,25813c590539,309660,581912,311523,573214,311277r-1333,l571881,329470r124587,95xm447389,326327v13871,-6766,25025,-18053,31623,-32004l481203,294323r5620,35147l555879,329470r,-18193l554545,311277v-8582,213,-17105,-1479,-24955,-4953c522446,302990,518922,294989,518922,282226r,-185262l440912,96964r,18289l442246,115253v8685,-232,17302,1596,25146,5334c474345,124301,477774,132874,477774,146494r,89345c478636,253737,474124,271484,464820,286798v-9612,13216,-25437,20441,-41720,19050c405479,305848,393478,300704,387096,290322v-7006,-13501,-10293,-28624,-9525,-43815l377571,96964r-77629,l299942,115253r1334,c309846,115048,318350,116808,326136,120396v7144,3524,10668,11620,10668,24289l336804,248793v,29782,6350,51403,19050,64865c369770,327710,389074,335071,408813,333851v13369,133,26624,-2459,38957,-7620m84963,41910r38100,c157163,41910,182880,53340,200025,76200v17145,22860,25813,55721,25813,98488c225838,217456,217265,250888,200025,273368v-17240,22479,-42958,34480,-77438,34480l84487,307848,84963,41910xm132588,329946v27357,1008,54459,-5586,78296,-19050c231951,298325,248593,279519,258509,257080v11164,-26001,16589,-54104,15906,-82392c274415,125539,261969,87439,237077,60388,212185,33337,177482,19907,132969,20098l,20098,,38290r5620,c14232,38081,22775,39874,30575,43529v7049,3429,10573,11526,10573,24289l41148,280035v,13621,-3429,22193,-10382,25813c22945,309660,14317,311523,5620,311277r-5620,l,329470r132588,4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">
                  <v:stroke joinstyle="miter"/>
                  <v:path arrowok="t" o:connecttype="custom" o:connectlocs="1375029,329470;1375029,311277;1373791,311277;1348835,306324;1338167,282226;1338167,190690;1342930,156019;1358551,130207;1388554,120682;1423892,136303;1434084,180118;1434084,329755;1509522,329755;1509522,311563;1508189,311563;1484185,306134;1474660,280321;1474660,184785;1479232,152686;1494187,129064;1522762,120110;1558195,135731;1568387,179546;1568387,329184;1643825,329184;1643825,310991;1642491,310991;1618488,305562;1608963,279749;1608963,177641;1589913,112871;1538002,92678;1500473,100298;1469898,132112;1466469,132112;1441323,101537;1403223,92678;1367028,100298;1337786,132112;1336262,132112;1330643,96964;1262539,96964;1262539,115253;1263777,115253;1287685,120396;1297210,144685;1297210,280035;1287685,305848;1263587,311277;1257967,311277;1257967,329470;1074420,266605;1088517,227838;1139476,212788;1167289,211550;1167289,246698;1151668,290703;1109567,306991;1074420,266605;1129093,328422;1149477,313658;1167289,292227;1170718,292227;1177671,329470;1236250,329470;1236250,311277;1234916,311277;1214152,304800;1208056,280035;1208056,167735;1188339,109538;1128713,92678;1089374,96774;1060799,110204;1050512,134303;1060037,155353;1087564,161639;1090422,137351;1101852,120396;1126712,114300;1153192,121253;1164527,140303;1167098,167831;1167098,193834;1131094,195072;1056704,213360;1032224,264509;1051274,316992;1128903,328517;876872,329565;876872,311372;875538,311372;850678,306419;840010,282321;840010,190690;852773,139541;892493,120491;929545,136112;940213,179927;940213,329565;1015651,329565;1015651,311372;1014413,311372;990314,305943;980789,280130;980789,177641;961072,112871;903922,92678;840962,132112;838772,132112;840105,111728;840105,95250;840105,0;760285,0;760285,18193;763810,18193;788670,23432;799338,47720;799338,280035;788956,305848;763810,311277;760285,311277;760285,329470;696468,329565;696468,311372;684276,311372;659321,306419;648748,282321;648748,214217;650843,185642;657797,155067;670846,130683;691229,121158;709041,129254;714184,155067;745712,146685;755237,124492;743712,101060;708374,92869;678465,99346;661130,116491;648938,140113;646747,140113;638556,97155;571881,97155;571881,115253;573215,115253;598170,120396;608838,144685;608838,280035;598360,305848;573214,311277;571881,311277;571881,329470;447389,326327;479012,294323;481203,294323;486823,329470;555879,329470;555879,311277;554545,311277;529590,306324;518922,282226;518922,96964;440912,96964;440912,115253;442246,115253;467392,120587;477774,146494;477774,235839;464820,286798;423100,305848;387096,290322;377571,246507;377571,96964;299942,96964;299942,115253;301276,115253;326136,120396;336804,144685;336804,248793;355854,313658;408813,333851;447770,326231;84963,41910;123063,41910;200025,76200;225838,174688;200025,273368;122587,307848;84487,307848;132588,329946;210884,310896;258509,257080;274415,174688;237077,60388;132969,20098;0,20098;0,38290;5620,38290;30575,43529;41148,67818;41148,280035;30766,305848;5620,311277;0,311277;0,329470" o:connectangles="0,0,0,0,0,0,0,0,0,0,0,0,0,0,0,0,0,0,0,0,0,0,0,0,0,0,0,0,0,0,0,0,0,0,0,0,0,0,0,0,0,0,0,0,0,0,0,0,0,0,0,0,0,0,0,0,0,0,0,0,0,0,0,0,0,0,0,0,0,0,0,0,0,0,0,0,0,0,0,0,0,0,0,0,0,0,0,0,0,0,0,0,0,0,0,0,0,0,0,0,0,0,0,0,0,0,0,0,0,0,0,0,0,0,0,0,0,0,0,0,0,0,0,0,0,0,0,0,0,0,0,0,0,0,0,0,0,0,0,0,0,0,0,0,0,0,0,0,0,0,0,0,0,0,0,0,0,0,0,0,0,0,0,0,0,0,0,0,0,0,0,0,0,0,0,0,0,0,0,0,0,0,0,0,0,0,0,0,0,0,0,0,0,0,0,0,0,0,0,0,0,0,0,0,0,0,0"/>
                </v:shape>
                <v:shape id="Freeform: Shape 1763950119" style="position:absolute;left:3183;width:2763;height:2863;visibility:visible;mso-wrap-style:square;v-text-anchor:top" coordsize="276332,286334" o:spid="_x0000_s1029" fillcolor="#68246d" stroked="f" path="m274420,271285v4476,-71718,1090,-143711,-10096,-214693c261529,38901,247849,24915,230224,21730,158824,6922,86068,-357,13149,13,4225,77032,-165,154509,5,232042r,37053l8673,269952v4191,,5810,2667,6381,6858c15626,281001,16197,286335,16197,286335v,,156877,-1143,258223,-150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">
                  <v:stroke joinstyle="miter"/>
                  <v:path arrowok="t" o:connecttype="custom" o:connectlocs="274420,271285;264324,56592;230224,21730;13149,13;5,232042;5,269095;8673,269952;15054,276810;16197,286335;274420,271285" o:connectangles="0,0,0,0,0,0,0,0,0,0"/>
                </v:shape>
                <v:shape id="Freeform: Shape 1843716735" style="position:absolute;left:116;top:3270;width:2660;height:3461;visibility:visible;mso-wrap-style:square;v-text-anchor:top" coordsize="266033,346070" o:spid="_x0000_s1030" fillcolor="#68246d" stroked="f" path="m265843,17839r-8763,-1143c252889,16220,251174,14029,250698,9743,250222,5456,249555,218,249555,218,166130,-1117,82720,3690,,14600,13621,92991,103251,270251,247650,346070v7144,-58674,18383,-201834,18383,-293751l266033,17267r-190,5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">
                  <v:stroke joinstyle="miter"/>
                  <v:path arrowok="t" o:connecttype="custom" o:connectlocs="265843,17839;257080,16696;250698,9743;249555,218;0,14600;247650,346070;266033,52319;266033,17267" o:connectangles="0,0,0,0,0,0,0,0"/>
                </v:shape>
                <v:shape id="Freeform: Shape 532695745" style="position:absolute;left:3185;top:3276;width:2667;height:3461;visibility:visible;mso-wrap-style:square;v-text-anchor:top" coordsize="266700,346070" o:spid="_x0000_s1031" fillcolor="#68246d" stroked="f" path="m16478,217v83647,-1334,167279,3473,250222,14383c252984,92991,163449,270251,19050,346070,11906,287396,,144235,,52319l,17267r8382,-762c12478,16029,14192,13838,14764,9552,15335,5266,15811,27,15811,27r667,1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">
                  <v:stroke joinstyle="miter"/>
                  <v:path arrowok="t" o:connecttype="custom" o:connectlocs="16478,217;266700,14600;19050,346070;0,52319;0,17267;8382,16505;14764,9552;15811,27" o:connectangles="0,0,0,0,0,0,0,0"/>
                </v:shape>
                <v:shape id="Freeform: Shape 907456610" style="position:absolute;left:1438;top:1689;width:53;height:27;visibility:visible;mso-wrap-style:square;v-text-anchor:top" coordsize="5341,2676" o:spid="_x0000_s1032" fillcolor="#702567" stroked="f" path="m293,200v-391,779,-391,1697,,2476c1302,2563,2275,2238,3151,1724,3926,1212,4658,639,5341,9,3656,-26,1971,38,293,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">
                  <v:stroke joinstyle="miter"/>
                  <v:path arrowok="t" o:connecttype="custom" o:connectlocs="293,200;293,2676;3151,1724;5341,9;293,200" o:connectangles="0,0,0,0,0"/>
                </v:shape>
                <v:shape id="Freeform: Shape 1672044704" style="position:absolute;left:14;top:1342;width:2760;height:1525;visibility:visible;mso-wrap-style:square;v-text-anchor:top" coordsize="276034,152506" o:spid="_x0000_s1033" fillcolor="#68246d" stroked="f" path="m141256,l,137065v85706,11138,172087,16263,258509,15335l259842,152400v,,572,-4667,1048,-9525c261366,138017,263081,136398,267272,136017r8763,-857l141256,xm128968,40291v-666,2286,-571,5239,2572,5239c134216,45146,136799,44274,139160,42958r,857c135970,46261,132251,47924,128302,48673v-1617,210,-3099,-930,-3309,-2547c124975,45991,124967,45856,124968,45720v381,-2381,2096,-3143,4000,-5429xm174974,73152v,2477,-3810,3905,-4476,5048c170092,78594,169797,79086,169640,79629v-476,-1619,,-2858,,-4000c169640,74486,168688,73724,167450,73724v-4225,2018,-6013,7079,-3994,11303c163570,85266,163694,85498,163830,85725v-272,-1750,175,-3536,1238,-4953c165590,80127,165861,79315,165830,78486v785,1259,1213,2708,1238,4191c167069,85916,164687,86582,165735,89059v,667,476,1143,762,2000c166344,90081,166344,89085,166497,88106v,-762,1429,-2286,1524,-2857c168167,84622,168167,83970,168021,83344v1149,1201,1767,2815,1715,4476c169731,89454,169233,91047,168307,92392v-374,818,-631,1683,-762,2572c166878,100298,164211,102870,160782,102870v-1451,6,-2885,-320,-4191,-952c156591,108776,148685,108299,148685,112776v133,1369,739,2650,1715,3619c152260,117392,154015,118573,155639,119920v-1699,-2,-3335,646,-4572,1810c153924,123158,153829,124778,154210,126873v-2762,-1333,-4096,-571,-4763,c148781,127445,149447,128969,148019,130302v,-1048,-1143,-2000,-2382,-2000c144086,128757,142761,129776,141923,131159v159,1412,-856,2685,-2268,2844c139522,134018,139389,134023,139256,134017v-864,877,-1223,2133,-953,3334c137255,136303,137065,135636,137446,133731v-1238,,-1048,-1619,-667,-2476c136017,131921,135350,132779,133636,131921v-908,517,-1510,1439,-1619,2477c132017,131540,132017,130588,132969,130207v-239,-1042,275,-2109,1238,-2572l134207,127064v-816,63,-1607,-297,-2095,-953c131159,126111,129921,127064,129731,127635v-268,-1381,160,-2804,1143,-3810c131921,121634,133922,121253,135160,122492v1142,899,2547,1401,4000,1428c140551,123810,141830,123118,142685,122015v280,-308,506,-662,666,-1048c143351,120110,144399,119158,142685,116967v-1715,-2191,-4668,-4953,-4763,-7239c137830,106795,139095,103984,141351,102108r-1333,c137541,102108,137351,100584,134874,100584v-1752,152,-3063,1674,-2953,3429c131873,105065,132174,106103,132779,106966v736,1053,1042,2348,857,3619c132301,109068,130028,108820,128397,110014v-217,1399,-1012,2644,-2191,3429c125645,111579,123679,110523,121815,111085v-620,187,-1177,541,-1609,1024c120206,112776,119634,114205,117729,114205r-1619,c115340,114874,114751,115725,114395,116681v-287,-1185,-44,-2437,667,-3429c115062,112586,115062,110966,115824,110490v-1111,1089,-2889,1089,-4000,c111062,110490,110395,111062,109633,112586v15,-1435,597,-2804,1619,-3810c111252,107633,112871,106585,114586,106966r,-572c114586,105823,114586,106394,114586,106394v,,-2096,,-2000,-2286c111700,103874,110757,104128,110109,104775v495,-1323,1732,-2223,3143,-2286c113252,101727,114776,101632,115443,101632v923,-96,1791,456,2096,1333c119044,104929,121458,105974,123920,105728v1315,1,2382,-1065,2383,-2380c126303,103316,126303,103283,126302,103251v,-1524,-2477,-5905,-2477,-7906c124590,92498,126859,90302,129730,89630v3712,111,7341,1125,10573,2953c142685,92583,142970,92583,143256,91821v-3429,-4286,-5524,-4191,-8858,-6382c132864,84255,131869,82505,131636,80582v-2001,476,-3906,3143,-4858,4857c126373,84691,125624,84192,124778,84106v-1620,,-2763,2095,-3525,3905c121025,85884,119293,84233,117158,84106v-1334,,-2858,,-3239,1333c113316,86790,111830,87513,110395,87154v-762,,-1334,667,-1810,2857c107918,87249,108585,86773,108585,86106v-369,-1000,-107,-2124,667,-2857c108204,83249,106585,83249,106204,82582v-381,-667,-1619,,-2572,1619c103713,82679,104578,81308,105918,80582v607,-978,1712,-1530,2858,-1429l108776,78677v-845,-482,-1329,-1414,-1239,-2382c106680,75248,105632,76295,104870,76295v1429,-1524,3144,-2095,4191,-1428c110109,75533,112395,74867,112681,76581v286,1715,2667,1810,5239,1810c123539,78391,132398,73152,131731,68866v-821,-126,-1656,-126,-2477,c126206,68866,122492,72581,119729,72676v1429,-1715,,-3334,1334,-4572c118965,68552,116826,68776,114681,68770v1033,-898,1681,-2160,1810,-3524c116491,64484,116491,62960,113157,62960v-632,83,-1273,83,-1905,c110490,62960,108299,62960,108299,61055v-1113,-260,-2281,104,-3048,953c105885,60681,107013,59655,108395,59150v303,-736,1013,-1222,1809,-1238l110204,57245v,-666,-2571,-571,-2571,-2381c107633,53054,106299,53912,104585,54388v2190,-1619,2952,-1334,3714,-1143c109275,52372,110752,52372,111728,53245v-458,-898,-458,-1960,,-2858c111728,49149,111062,48768,109918,48482v1594,-233,3199,337,4287,1524c115394,50167,116330,51103,116491,52292v,2286,-2381,3905,2286,6382c120614,59466,122489,60165,124397,60769v1865,647,3775,1157,5715,1524c129349,61055,130112,59722,128302,58484v1608,28,3208,251,4762,666c133064,57341,133064,57341,132017,56197r3333,c140684,56769,140780,54102,141827,50673v-2776,125,-5470,979,-7810,2477c134114,52263,134114,51369,134017,50482v-54,-998,711,-1850,1709,-1905c135791,48574,135857,48574,135922,48577r1714,1c138779,48578,140399,47244,139637,44577v-762,-2667,-1334,-2000,-2382,-1714l135065,43529v-784,351,-1274,1143,-1239,2000l133160,43625r-667,-1429l132493,41624v-435,-958,-10,-2087,948,-2521c133594,39033,133756,38984,133922,38957r3429,-857c139256,37529,139827,36862,140208,35814v381,-1048,667,-1429,2381,-1429l147066,34385v2667,,5525,-2095,4572,-4381c153448,30004,154210,33242,153734,34385v1521,-87,3010,-476,4381,-1143c157914,35207,156958,37017,155448,38291v1565,180,3150,-84,4572,-762c159466,39478,158416,41250,156972,42672v2484,717,4427,2659,5144,5144c160211,47054,159163,47816,157544,47816v2053,2912,3778,6042,5143,9334c161369,56390,160001,55721,158591,55150v1429,3238,-571,6382,,8096c157477,62755,156498,62003,155734,61055v-1106,2208,-1536,4693,-1238,7144c153596,67388,152605,66685,151543,66104v-1609,2158,-2325,4852,-2000,7524c149815,78741,151248,83725,153734,88202v1321,2477,2253,5144,2762,7905c156862,98418,158824,100140,161163,100203v2360,-201,4155,-2205,4096,-4572c165259,91154,159734,88297,159734,80296v,-5239,4096,-7811,4191,-11144c164021,65818,161258,68009,159258,66675v2572,,4096,-3334,6382,-3238c167926,63532,168212,64675,168307,65723v-28,1290,-425,2546,-1143,3619c169067,67733,170264,65442,170498,62960v,-2190,-3144,-4667,-2382,-8953l168116,53150v858,4762,7716,6000,7716,10763c175832,68675,171926,67628,169736,70676v2476,-667,5238,-191,5238,24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">
                  <v:stroke joinstyle="miter"/>
                  <v:path arrowok="t" o:connecttype="custom" o:connectlocs="141256,0;0,137065;258509,152400;259842,152400;260890,142875;267272,136017;276035,135160;128968,40291;131540,45530;139160,42958;139160,43815;128302,48673;124993,46126;124968,45720;128968,40291;174974,73152;170498,78200;169640,79629;169640,75629;167450,73724;163456,85027;163830,85725;165068,80772;165830,78486;167068,82677;165735,89059;166497,91059;166497,88106;168021,85249;168021,83344;169736,87820;168307,92392;167545,94964;160782,102870;156591,101918;148685,112776;150400,116395;155639,119920;151067,121730;154210,126873;149447,126873;148019,130302;145637,128302;141923,131159;139655,134003;139256,134017;138303,137351;137446,133731;136779,131255;133636,131921;132017,134398;132969,130207;134207,127635;134207,127064;132112,126111;129731,127635;130874,123825;135160,122492;139160,123920;142685,122015;143351,120967;142685,116967;137922,109728;141351,102108;140018,102108;134874,100584;131921,104013;132779,106966;133636,110585;128397,110014;126206,113443;121815,111085;120206,112109;117729,114205;116110,114205;114395,116681;115062,113252;115824,110490;111824,110490;109633,112586;111252,108776;114586,106966;114586,106394;114586,106394;112586,104108;110109,104775;113252,102489;115443,101632;117539,102965;123920,105728;126303,103348;126302,103251;123825,95345;129730,89630;140303,92583;143256,91821;134398,85439;131636,80582;126778,85439;124778,84106;121253,88011;117158,84106;113919,85439;110395,87154;108585,90011;108585,86106;109252,83249;106204,82582;103632,84201;105918,80582;108776,79153;108776,78677;107537,76295;104870,76295;109061,74867;112681,76581;117920,78391;131731,68866;129254,68866;119729,72676;121063,68104;114681,68770;116491,65246;113157,62960;111252,62960;108299,61055;105251,62008;108395,59150;110204,57912;110204,57245;107633,54864;104585,54388;108299,53245;111728,53245;111728,50387;109918,48482;114205,50006;116491,52292;118777,58674;124397,60769;130112,62293;128302,58484;133064,59150;132017,56197;135350,56197;141827,50673;134017,53150;134017,50482;135726,48577;135922,48577;137636,48578;139637,44577;137255,42863;135065,43529;133826,45529;133160,43625;132493,42196;132493,41624;133441,39103;133922,38957;137351,38100;140208,35814;142589,34385;147066,34385;151638,30004;153734,34385;158115,33242;155448,38291;160020,37529;156972,42672;162116,47816;157544,47816;162687,57150;158591,55150;158591,63246;155734,61055;154496,68199;151543,66104;149543,73628;153734,88202;156496,96107;161163,100203;165259,95631;159734,80296;163925,69152;159258,66675;165640,63437;168307,65723;167164,69342;170498,62960;168116,54007;168116,53150;175832,63913;169736,70676;174974,73152" o:connectangles="0,0,0,0,0,0,0,0,0,0,0,0,0,0,0,0,0,0,0,0,0,0,0,0,0,0,0,0,0,0,0,0,0,0,0,0,0,0,0,0,0,0,0,0,0,0,0,0,0,0,0,0,0,0,0,0,0,0,0,0,0,0,0,0,0,0,0,0,0,0,0,0,0,0,0,0,0,0,0,0,0,0,0,0,0,0,0,0,0,0,0,0,0,0,0,0,0,0,0,0,0,0,0,0,0,0,0,0,0,0,0,0,0,0,0,0,0,0,0,0,0,0,0,0,0,0,0,0,0,0,0,0,0,0,0,0,0,0,0,0,0,0,0,0,0,0,0,0,0,0,0,0,0,0,0,0,0,0,0,0,0,0,0,0,0,0,0,0,0,0,0,0,0,0,0,0,0,0,0,0,0,0,0,0,0,0,0,0,0,0,0,0,0,0,0"/>
                </v:shape>
                <v:shape id="Freeform: Shape 1756916342" style="position:absolute;width:2776;height:2436;visibility:visible;mso-wrap-style:square;v-text-anchor:top" coordsize="277660,243650" o:spid="_x0000_s1034" fillcolor="#68246d" stroked="f" path="m264512,1c191576,-83,118817,7193,47342,21718,29860,25004,16370,38990,13719,56579,2884,118315,-1553,181004,479,243650,14481,230315,143354,104871,143354,104871l277656,238983c277808,159137,273419,79348,264512,1xm64487,43339v-572,2286,-572,5239,2667,5239c69885,48175,72527,47305,74964,46006r,858c71698,49320,67922,51012,63915,51817v-2571,,-3524,-1524,-3524,-3048c60391,47245,62772,45625,64677,43339r-190,xm111445,77058v,2476,-3715,3905,-4477,5048c106206,83249,106206,82963,106111,83630r,-4096c106111,78391,105159,77629,103825,77629v-1333,,-7239,4763,-4096,12478c99511,88316,99988,86509,101063,85059v507,-653,776,-1459,762,-2286c102667,84041,103099,85537,103063,87059v,3239,-2381,4001,-1238,6382c102025,94158,102279,94859,102587,95536v-118,-980,-118,-1972,,-2952c103066,91567,103606,90581,104206,89631v193,-653,193,-1348,,-2000c105429,88869,106085,90559,106016,92298v-79,1621,-571,3195,-1429,4572c104181,97675,103923,98546,103825,99442v-762,5524,-3429,8096,-6953,8096c95213,107292,93642,106638,92300,105633v,6953,-8001,6382,-8001,11049c84431,118051,85038,119332,86013,120301v858,858,4096,2096,5334,3620c89612,123968,87953,124645,86680,125826v2953,1429,2858,3048,3239,5239c87061,129636,85728,130493,85061,131065v-667,571,-476,2095,-1429,3524c83632,133446,82394,132493,81251,132493v-1605,397,-2980,1428,-3810,2858c77600,136815,76542,138131,75077,138290v-132,15,-265,19,-398,14c73815,139181,73456,140437,73726,141637v-1048,-1047,-1238,-1714,-857,-3619c71631,137446,71726,136399,72107,135446v-689,1046,-2090,1343,-3143,667c68030,136648,67423,137612,67344,138685v,-2953,,-3906,953,-4287c67972,133349,68512,132227,69535,131827v16,-190,16,-382,,-572c68693,131340,67877,130932,67440,130207v-1070,15,-2035,646,-2477,1620c65030,130276,65895,128870,67249,128112v1048,-2096,3143,-2477,4382,-1238c72766,127786,74175,128289,75631,128302v1409,-138,2708,-822,3620,-1905c79523,126048,79747,125664,79917,125254v,-857,1048,-1809,-666,-4000c77536,119063,74488,116206,74393,113824v-129,-3014,1178,-5912,3524,-7810l76488,106014v-2476,,-2667,-1524,-5238,-1524c69483,104690,68184,106240,68297,108014v-64,1054,239,2097,857,2953c69879,112061,70184,113381,70011,114682v-1469,-1391,-3769,-1391,-5238,c64455,116066,63642,117285,62487,118111v-622,-1900,-2666,-2936,-4566,-2315c57336,115988,56809,116325,56391,116777v,667,-572,2096,-2572,2096l52200,118873v-794,686,-1386,1575,-1715,2571c50168,120229,50413,118936,51152,117920v,-667,,-2381,762,-2857c50770,116163,48961,116163,47818,115063v-667,,-1429,666,-2191,2190c45582,115780,46172,114358,47247,113348v,-1238,1714,-2191,3333,-1905c52200,111729,50580,111443,50580,110872v,-572,-2095,,-1905,-2382c47716,108302,46724,108585,46008,109252v539,-1345,1794,-2267,3239,-2381c49247,106109,50866,106014,51533,106014v482,-385,1115,-525,1714,-381c54801,107643,57296,108692,59820,108395v1315,4,2384,-1058,2388,-2373c62209,105955,62206,105889,62201,105823v,-1524,-2572,-5905,-2572,-7905c60403,94968,62752,92692,65725,92012v7430,,9525,3048,10763,3048c77727,95060,79155,95060,79536,94203,76012,89917,73726,90012,70011,87726,68477,86542,67483,84792,67249,82868v-2000,476,-4000,3239,-5048,4953c61869,86997,61088,86439,60201,86392v-1620,,-2763,2191,-3620,4001c56105,88297,54867,86392,52485,86392v-1251,-101,-2470,436,-3238,1429c48604,89179,47068,89866,45627,89440v-1090,603,-1805,1712,-1905,2953c43056,89631,43722,89155,43722,88393v-320,-1020,-23,-2133,762,-2858c43341,85535,41817,85535,41341,84868v-476,-666,-1619,,-2667,1620c38774,84946,39679,83570,41055,82868v,-1048,1810,-1429,2953,-1429c45151,81439,44008,81439,44008,80868v-842,-522,-1292,-1497,-1143,-2477c41913,77344,40960,78391,40103,78391v1429,-1428,3143,-2000,4286,-1333c46866,76201,47818,77058,48009,78772v190,1715,2762,1810,5429,1810c59058,80582,68106,75343,67440,71057v-849,-172,-1724,-172,-2572,c61820,71057,58105,74772,55343,74867v1524,-1714,571,-3429,1429,-4667c54647,70689,52475,70945,50295,70962v1024,-945,1668,-2233,1809,-3620c52104,66580,52104,64961,48771,64961v-665,81,-1336,81,-2001,c46008,64961,43818,64961,43818,63056v-1143,-256,-2336,105,-3144,953c41347,62675,42506,61652,43913,61151v342,-719,1021,-1219,1810,-1333l45723,59246v,-571,-2667,-571,-2572,-2476c43246,54865,41817,55817,40008,56770v2190,-1715,3048,-1429,3714,-1143c44683,54654,46251,54644,47225,55605v7,7,14,14,22,22l47247,55150v-460,-930,-460,-2022,,-2952c47247,50864,46675,50483,45437,50197v1605,-177,3199,425,4286,1620c50950,51937,51934,52882,52104,54103v,2381,-2476,4000,2382,6477c56329,61462,58240,62195,60201,62770v1896,650,3838,1159,5810,1524c65154,63056,66011,61723,64201,60389v1613,60,3212,316,4763,762c68964,59246,68964,59246,67916,58103r3334,c76774,58675,76869,55912,77917,52483v-2851,116,-5617,1005,-8001,2572c70059,54140,70059,53208,69916,52293v-54,-998,711,-1851,1709,-1905c71690,50384,71756,50384,71821,50388r1715,c74679,50388,76393,49054,75631,46387v-188,-1141,-1266,-1915,-2408,-1726c73200,44664,73177,44668,73155,44673v-745,174,-1476,397,-2191,667c70011,45340,69726,46387,69630,47340v,-476,,-1619,-666,-2000c68724,44918,68533,44470,68392,44006r,-667c67964,42378,68397,41252,69358,40825v177,-79,365,-131,558,-153l73345,39815v1288,-207,2372,-1075,2858,-2286c76679,36481,76965,36005,78679,36005r3429,c84775,36005,87728,33814,86775,31528v1810,,2572,3334,2096,4477c90393,35918,91882,35529,93252,34862v-100,1994,-1076,3842,-2667,5048c92173,40162,93799,39930,95253,39244v-594,1960,-1638,3753,-3048,5238c94722,45200,96676,47191,97348,49721v-1905,-857,-2953,,-4572,c95103,53243,96960,57053,98301,61056v-1328,-741,-2695,-1409,-4096,-2000c95634,62389,93538,65628,94205,67342v-1101,-554,-2075,-1333,-2858,-2286c90293,67315,89866,69815,90109,72295v-924,-779,-1912,-1480,-2953,-2095c85490,72369,84738,75104,85061,77820v272,5216,1738,10300,4286,14859c90678,95220,91610,97951,92109,100775v408,2326,2402,4041,4763,4096c99269,104718,101119,102701,101063,100299v,-4572,-5620,-7525,-5620,-15621c95443,79344,99539,76677,99634,73343v95,-3334,-2572,-1143,-4667,-2476c97634,70295,99158,67438,101539,67533v1253,-158,2396,730,2554,1982c104106,69616,104112,69717,104111,69819v-2,1311,-364,2596,-1048,3715c104953,71885,106117,69558,106302,67057v,-2286,-3144,-4858,-2286,-9525c103972,57248,103972,56959,104016,56674v952,4858,7905,6096,7905,10954c111921,72486,108016,71343,105730,74581v2953,-1047,5715,-571,5715,2477xm196122,34291v-666,2381,-666,5429,2763,5429c201716,39300,204454,38398,206981,37053r,857c203570,40462,199633,42220,195456,43054v-1654,317,-3251,-765,-3569,-2418c191841,40397,191824,40153,191836,39910v762,-2476,2667,-3333,4286,-5619xm244890,69057v,2572,-4000,4096,-4762,5334c239736,74831,239443,75351,239271,75915v-572,-1715,,-3048,,-4286c239271,70390,238318,69628,236889,69628v-4720,2322,-6665,8030,-4344,12751c232594,82479,232645,82579,232698,82678v-276,-1841,168,-3717,1239,-5239c234524,76789,234832,75933,234794,75058v869,1331,1333,2886,1333,4476c236127,82963,233651,83630,234794,86202v212,744,467,1475,762,2191c235382,87352,235382,86290,235556,85249v,-857,1524,-2381,1619,-3048c237371,81517,237371,80791,237175,80106v1225,1315,1876,3062,1810,4858c238939,86650,238446,88293,237556,89726v-440,866,-730,1800,-857,2762c235937,98203,233175,100870,229460,100870v-1934,128,-3862,-337,-5525,-1333c223935,106871,215649,106300,215649,111062v127,1427,731,2769,1714,3810c218316,115729,221649,116968,222888,118682v-1777,-15,-3487,669,-4763,1905c221078,122111,220983,123826,221364,126016v-2953,-1428,-4287,-571,-5049,c215553,126588,216315,128207,214887,129731v,-1143,-1239,-2191,-2572,-2191c210661,127999,209256,129095,208410,130588v105,1575,-1086,2937,-2661,3042c205683,133634,205618,133637,205552,133636v-949,906,-1316,2264,-952,3525c203457,136018,203266,135351,203647,133351v-1333,-572,-1143,-1715,-762,-2763c202100,131618,200672,131904,199551,131255v-932,598,-1557,1571,-1714,2667c197837,130874,197837,129826,198885,129445v-323,-1101,259,-2264,1333,-2667c200275,126560,200275,126330,200218,126112v-863,57,-1694,-340,-2191,-1048c197075,125064,195741,126112,195456,126778v52,-1605,961,-3059,2381,-3810c198980,120682,201171,120301,202409,121635v1207,914,2677,1415,4191,1429c208094,122962,209477,122236,210410,121063v272,-349,496,-733,667,-1143c211077,119063,212220,118015,210410,115729v-1810,-2286,-4953,-5238,-5048,-7715c205161,104884,206515,101856,208981,99918r-1429,c204981,99918,204695,98299,202028,98299v-1819,200,-3161,1793,-3048,3619c198903,103033,199205,104140,199837,105061v817,1090,1129,2476,857,3810c199162,107455,196798,107455,195265,108871v-315,1461,-1164,2752,-2381,3620c192328,110516,190277,109365,188302,109921v-699,196,-1324,593,-1800,1141c186502,111729,185931,113253,183930,113253v-2000,,-1143,,-1714,-476c181342,113449,180708,114384,180406,115444v-323,-1290,-42,-2657,762,-3715c181168,111062,181168,109252,181930,108776r,-476c180781,109457,178912,109464,177754,108315v-5,-5,-10,-10,-15,-15c176977,108300,176215,108967,175453,110586v-358,-1820,255,-3696,1619,-4953c177072,104395,178787,103347,180501,103728r,-667c180501,102394,180501,103061,180501,103061v,,-2190,,-2095,-2476c177445,100270,176389,100572,175739,101347v503,-1428,1822,-2408,3334,-2477c179073,98108,180692,98013,181359,98013v974,-118,1908,427,2286,1333c185216,101460,187789,102583,190407,102299v1421,1,2573,-1149,2574,-2570c192981,99697,192980,99665,192979,99632v,-1619,-2762,-6191,-2762,-8287c191024,88254,193484,85867,196599,85154v7715,,9525,3239,11144,3239c209362,88393,210505,87916,210886,87535v-3619,-4476,-5905,-4381,-9525,-6762c199758,79510,198729,77657,198504,75629v-2191,476,-4287,3334,-5239,5144c192882,79948,192077,79399,191169,79344v-1714,,-2952,2286,-3810,4191c187359,81344,185550,79344,183073,79344v-1305,-134,-2581,449,-3334,1524c179004,82237,177441,82940,175929,82582v-762,,-1428,667,-2000,2953c173262,82678,173929,82201,173929,81439v-354,-1061,-98,-2231,667,-3048c173453,78391,171834,78391,171357,77725v-476,-667,-1619,,-2762,1714c168739,77838,169666,76411,171072,75629v,-1048,1905,-1524,3048,-1524l174120,73534v-900,-476,-1398,-1471,-1239,-2477c171929,69914,170881,70581,170024,71057v1524,-1619,3238,-2191,4477,-1524c177072,68676,178025,69533,178215,71343v191,1810,2953,1905,5620,1905c189741,73248,199170,67723,198504,63723v-882,-167,-1786,-167,-2667,c192693,63723,188693,67723,185645,67723v1524,-1714,571,-3524,1429,-4762c184840,63362,182579,63585,180311,63628v1088,-948,1770,-2278,1905,-3715c182216,59056,182216,57532,178692,57532v-665,80,-1336,80,-2001,c175834,57532,173548,57532,173548,55436v-1184,-179,-2384,209,-3238,1048c170981,55073,172177,53979,173643,53436v392,-760,1148,-1264,2001,-1334c175657,51880,175657,51658,175644,51436v-1239,,-2763,-572,-2667,-2572c173072,46864,171548,47911,169643,48864v2381,-1715,3238,-1429,4000,-1143c174646,46728,176261,46728,177263,47721r,-572c176735,46236,176735,45110,177263,44197v,-1429,-667,-1810,-2000,-2096c176958,41877,178658,42479,179835,43720v1264,222,2255,1212,2476,2477c182311,48578,179739,50293,184692,52864v1946,899,3951,1663,6001,2286c192643,55860,194651,56402,196694,56770v-857,-1334,,-2667,-1905,-4096c196496,52727,198190,52983,199837,53436v,-1905,,-1905,-1143,-3143l202218,50293v5715,571,5811,-2191,6954,-5811c206188,44596,203290,45517,200790,47149v143,-947,143,-1910,,-2857c200736,43241,201544,42346,202594,42292v65,-4,131,-4,196,l204600,42292v1238,,2952,-1429,2190,-4191c206790,36767,205362,35910,204219,36291v-1143,381,-1048,,-2286,667c201077,37304,200513,38130,200504,39053v,,-476,-1714,-667,-2000l199170,35529r,-572c198686,33964,199099,32767,200092,32283v190,-92,393,-154,602,-183l204314,31243v2000,-572,2572,-1334,2953,-2382c207648,27814,208029,27337,209838,27337r5334,c217935,27337,220983,25147,219935,22670v2000,,2762,3429,2286,4667c223804,27250,225355,26862,226793,26194v-103,2091,-1156,4021,-2858,5239c225585,31694,227275,31462,228793,30766v-587,2013,-1667,3846,-3143,5334c228253,36913,230263,38995,230984,41625v-1905,-857,-3048,,-4763,c228662,45327,230615,49329,232032,53531v-1361,-830,-2796,-1531,-4287,-2095c229269,54865,227079,58198,227745,60008v-1125,-559,-2129,-1336,-2952,-2286c223634,60050,223171,62663,223459,65247v-971,-863,-2023,-1628,-3143,-2286c218651,65277,217905,68128,218220,70962v260,5424,1794,10710,4477,15430c224050,89067,225012,91922,225555,94870v410,2431,2488,4229,4953,4286c233010,99003,234945,96900,234889,94393v,-4857,-5810,-7905,-5810,-16287c229079,72581,233270,69819,233460,66295v191,-3525,-2762,-1239,-4953,-2667c231270,63628,232889,60103,235365,60199v2477,95,2572,1333,2667,2381c238023,63950,237662,65295,236985,66485v1918,-1769,3135,-4169,3429,-6763c240414,57341,237080,54674,237937,50197v-28,-316,-28,-635,,-952c238985,54388,246224,55722,246224,60770v,5048,-4096,3810,-6477,7144c242319,65723,245271,66199,245271,69057r-3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">
                  <v:stroke joinstyle="miter"/>
                  <v:path arrowok="t" o:connecttype="custom" o:connectlocs="264512,1;47342,21718;13719,56579;479,243650;143354,104871;277656,238983;264512,1;64487,43339;67154,48578;74964,46006;74964,46864;63915,51817;60391,48769;64677,43339;111445,77058;106968,82106;106111,83630;106111,79534;103825,77629;99729,90107;101063,85059;101825,82773;103063,87059;101825,93441;102587,95536;102587,92584;104206,89631;104206,87631;106016,92298;104587,96870;103825,99442;96872,107538;92300,105633;84299,116682;86013,120301;91347,123921;86680,125826;89919,131065;85061,131065;83632,134589;81251,132493;77441,135351;75077,138290;74679,138304;73726,141637;72869,138018;72107,135446;68964,136113;67344,138685;68297,134398;69535,131827;69535,131255;67440,130207;64963,131827;67249,128112;71631,126874;75631,128302;79251,126397;79917,125254;79251,121254;74393,113824;77917,106014;76488,106014;71250,104490;68297,108014;69154,110967;70011,114682;64773,114682;62487,118111;57921,115796;56391,116777;53819,118873;52200,118873;50485,121444;51152,117920;51914,115063;47818,115063;45627,117253;47247,113348;50580,111443;50580,110872;48675,108490;46008,109252;49247,106871;51533,106014;53247,105633;59820,108395;62208,106022;62201,105823;59629,97918;65725,92012;76488,95060;79536,94203;70011,87726;67249,82868;62201,87821;60201,86392;56581,90393;52485,86392;49247,87821;45627,89440;43722,92393;43722,88393;44484,85535;41341,84868;38674,86488;41055,82868;44008,81439;44008,80868;42865,78391;40103,78391;44389,77058;48009,78772;53438,80582;67440,71057;64868,71057;55343,74867;56772,70200;50295,70962;52104,67342;48771,64961;46770,64961;43818,63056;40674,64009;43913,61151;45723,59818;45723,59246;43151,56770;40008,56770;43722,55627;47225,55605;47247,55627;47247,55150;47247,52198;45437,50197;49723,51817;52104,54103;54486,60580;60201,62770;66011,64294;64201,60389;68964,61151;67916,58103;71250,58103;77917,52483;69916,55055;69916,52293;71625,50388;71821,50388;73536,50388;75631,46387;73223,44661;73155,44673;70964,45340;69630,47340;68964,45340;68392,44006;68392,43339;69358,40825;69916,40672;73345,39815;76203,37529;78679,36005;82108,36005;86775,31528;88871,36005;93252,34862;90585,39910;95253,39244;92205,44482;97348,49721;92776,49721;98301,61056;94205,59056;94205,67342;91347,65056;90109,72295;87156,70200;85061,77820;89347,92679;92109,100775;96872,104871;101063,100299;95443,84678;99634,73343;94967,70867;101539,67533;104093,69515;104111,69819;103063,73534;106302,67057;104016,57532;104016,56674;111921,67628;105730,74581;111445,77058;196122,34291;198885,39720;206981,37053;206981,37910;195456,43054;191887,40636;191836,39910;196122,34291;244890,69057;240128,74391;239271,75915;239271,71629;236889,69628;232545,82379;232698,82678;233937,77439;234794,75058;236127,79534;234794,86202;235556,88393;235556,85249;237175,82201;237175,80106;238985,84964;237556,89726;236699,92488;229460,100870;223935,99537;215649,111062;217363,114872;222888,118682;218125,120587;221364,126016;216315,126016;214887,129731;212315,127540;208410,130588;205749,133630;205552,133636;204600,137161;203647,133351;202885,130588;199551,131255;197837,133922;198885,129445;200218,126778;200218,126112;198027,125064;195456,126778;197837,122968;202409,121635;206600,123064;210410,121063;211077,119920;210410,115729;205362,108014;208981,99918;207552,99918;202028,98299;198980,101918;199837,105061;200694,108871;195265,108871;192884,112491;188302,109921;186502,111062;183930,113253;182216,112777;180406,115444;181168,111729;181930,108776;181930,108300;177754,108315;177739,108300;175453,110586;177072,105633;180501,103728;180501,103061;180501,103061;178406,100585;175739,101347;179073,98870;181359,98013;183645,99346;190407,102299;192981,99729;192979,99632;190217,91345;196599,85154;207743,88393;210886,87535;201361,80773;198504,75629;193265,80773;191169,79344;187359,83535;183073,79344;179739,80868;175929,82582;173929,85535;173929,81439;174596,78391;171357,77725;168595,79439;171072,75629;174120,74105;174120,73534;172881,71057;170024,71057;174501,69533;178215,71343;183835,73248;198504,63723;195837,63723;185645,67723;187074,62961;180311,63628;182216,59913;178692,57532;176691,57532;173548,55436;170310,56484;173643,53436;175644,52102;175644,51436;172977,48864;169643,48864;173643,47721;177263,47721;177263,47149;177263,44197;175263,42101;179835,43720;182311,46197;184692,52864;190693,55150;196694,56770;194789,52674;199837,53436;198694,50293;202218,50293;209172,44482;200790,47149;200790,44292;202594,42292;202790,42292;204600,42292;206790,38101;204219,36291;201933,36958;200504,39053;199837,37053;199170,35529;199170,34957;200092,32283;200694,32100;204314,31243;207267,28861;209838,27337;215172,27337;219935,22670;222221,27337;226793,26194;223935,31433;228793,30766;225650,36100;230984,41625;226221,41625;232032,53531;227745,51436;227745,60008;224793,57722;223459,65247;220316,62961;218220,70962;222697,86392;225555,94870;230508,99156;234889,94393;229079,78106;233460,66295;228507,63628;235365,60199;238032,62580;236985,66485;240414,59722;237937,50197;237937,49245;246224,60770;239747,67914;245271,69057"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shape id="Freeform: Shape 86323951" style="position:absolute;left:783;top:376;width:55;height:27;visibility:visible;mso-wrap-style:square;v-text-anchor:top" coordsize="5425,2726" o:spid="_x0000_s1035" fillcolor="#702567" stroked="f" path="m282,250v-376,783,-376,1694,,2476c1318,2600,2320,2277,3235,1774,4092,1202,4378,726,5426,59,3709,-62,1985,2,282,2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">
                  <v:stroke joinstyle="miter"/>
                  <v:path arrowok="t" o:connecttype="custom" o:connectlocs="282,250;282,2726;3235,1774;5426,59;282,250" o:connectangles="0,0,0,0,0"/>
                </v:shape>
                <v:shape id="Freeform: Shape 361377749" style="position:absolute;left:2107;top:283;width:57;height:29;visibility:visible;mso-wrap-style:square;v-text-anchor:top" coordsize="5621,2918" o:spid="_x0000_s1036" fillcolor="#702567" stroked="f" path="m287,252v-383,848,-383,1819,,2667c1347,2713,2373,2360,3335,1871,4288,1300,4574,823,5621,61,3842,-62,2054,1,287,25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">
                  <v:stroke joinstyle="miter"/>
                  <v:path arrowok="t" o:connecttype="custom" o:connectlocs="287,252;287,2919;3335,1871;5621,61;287,252" o:connectangles="0,0,0,0,0"/>
                </v:shape>
                <w10:wrap anchorx="page"/>
              </v:group>
            </w:pict>
          </mc:Fallback>
        </mc:AlternateContent>
      </w:r>
      <w:r>
        <w:rPr>
          <w:noProof/>
          <w:sz w:val="36"/>
          <w:szCs w:val="32"/>
        </w:rPr>
        <mc:AlternateContent>
          <mc:Choice Requires="wps">
            <w:drawing>
              <wp:anchor distT="0" distB="0" distL="114300" distR="114300" simplePos="0" relativeHeight="251687955" behindDoc="0" locked="0" layoutInCell="1" allowOverlap="1" wp14:anchorId="0E01DBFF" wp14:editId="04DC4A84">
                <wp:simplePos x="0" y="0"/>
                <wp:positionH relativeFrom="column">
                  <wp:posOffset>1676400</wp:posOffset>
                </wp:positionH>
                <wp:positionV relativeFrom="paragraph">
                  <wp:posOffset>690880</wp:posOffset>
                </wp:positionV>
                <wp:extent cx="2286000" cy="942975"/>
                <wp:effectExtent l="0" t="0" r="0" b="0"/>
                <wp:wrapNone/>
                <wp:docPr id="1224042488" name="Rectangle 140924579"/>
                <wp:cNvGraphicFramePr/>
                <a:graphic xmlns:a="http://schemas.openxmlformats.org/drawingml/2006/main">
                  <a:graphicData uri="http://schemas.microsoft.com/office/word/2010/wordprocessingShape">
                    <wps:wsp>
                      <wps:cNvSpPr/>
                      <wps:spPr>
                        <a:xfrm>
                          <a:off x="0" y="0"/>
                          <a:ext cx="2286000" cy="942975"/>
                        </a:xfrm>
                        <a:prstGeom prst="rect">
                          <a:avLst/>
                        </a:prstGeom>
                        <a:noFill/>
                        <a:ln w="9525" cap="flat">
                          <a:noFill/>
                          <a:prstDash val="solid"/>
                          <a:miter/>
                        </a:ln>
                      </wps:spPr>
                      <wps:bodyPr/>
                    </wps:wsp>
                  </a:graphicData>
                </a:graphic>
              </wp:anchor>
            </w:drawing>
          </mc:Choice>
          <mc:Fallback xmlns:a14="http://schemas.microsoft.com/office/drawing/2010/main" xmlns:pic="http://schemas.openxmlformats.org/drawingml/2006/picture" xmlns:a="http://schemas.openxmlformats.org/drawingml/2006/main">
            <w:pict w14:anchorId="452C9A78">
              <v:rect id="Rectangle 140924579" style="position:absolute;margin-left:132pt;margin-top:54.4pt;width:180pt;height:74.25pt;z-index:251687955;visibility:visible;mso-wrap-style:square;mso-wrap-distance-left:9pt;mso-wrap-distance-top:0;mso-wrap-distance-right:9pt;mso-wrap-distance-bottom:0;mso-position-horizontal:absolute;mso-position-horizontal-relative:text;mso-position-vertical:absolute;mso-position-vertical-relative:text;v-text-anchor:top" o:spid="_x0000_s1026" filled="f" stroked="f" w14:anchorId="656576F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"/>
            </w:pict>
          </mc:Fallback>
        </mc:AlternateContent>
      </w:r>
      <w:r w:rsidR="00923765" w:rsidRPr="00662E51">
        <w:rPr>
          <w:sz w:val="36"/>
          <w:szCs w:val="32"/>
        </w:rPr>
        <w:br w:type="page"/>
      </w:r>
    </w:p>
    <w:p w14:paraId="38736B22" w14:textId="1DDE4333" w:rsidR="00BB576F" w:rsidRPr="00181B41" w:rsidRDefault="00827E42" w:rsidP="00181B41">
      <w:pPr>
        <w:pStyle w:val="Heading1"/>
        <w:numPr>
          <w:ilvl w:val="0"/>
          <w:numId w:val="0"/>
        </w:numPr>
        <w:ind w:left="357" w:hanging="357"/>
        <w:jc w:val="center"/>
        <w:rPr>
          <w:sz w:val="22"/>
          <w:szCs w:val="20"/>
        </w:rPr>
      </w:pPr>
      <w:bookmarkStart w:id="4" w:name="_Toc221184283"/>
      <w:bookmarkStart w:id="5" w:name="_Toc231215206"/>
      <w:r w:rsidRPr="00576482">
        <w:rPr>
          <w:szCs w:val="28"/>
        </w:rPr>
        <w:lastRenderedPageBreak/>
        <w:t>Table of Contents</w:t>
      </w:r>
      <w:bookmarkEnd w:id="4"/>
      <w:bookmarkEnd w:id="5"/>
    </w:p>
    <w:p w14:paraId="574C70BE" w14:textId="3B9E9549" w:rsidR="00181B41" w:rsidRPr="00181B41" w:rsidRDefault="00225936">
      <w:pPr>
        <w:pStyle w:val="TOC1"/>
        <w:tabs>
          <w:tab w:val="right" w:pos="9016"/>
        </w:tabs>
        <w:rPr>
          <w:rFonts w:ascii="Century Schoolbook" w:eastAsiaTheme="minorEastAsia" w:hAnsi="Century Schoolbook"/>
          <w:b w:val="0"/>
          <w:bCs w:val="0"/>
          <w:caps w:val="0"/>
          <w:noProof/>
          <w:sz w:val="24"/>
          <w:szCs w:val="24"/>
          <w:u w:val="none"/>
          <w:lang w:eastAsia="en-GB"/>
        </w:rPr>
      </w:pPr>
      <w:r w:rsidRPr="00181B41">
        <w:rPr>
          <w:rFonts w:ascii="Century Schoolbook" w:hAnsi="Century Schoolbook"/>
          <w:sz w:val="24"/>
          <w:szCs w:val="24"/>
        </w:rPr>
        <w:fldChar w:fldCharType="begin"/>
      </w:r>
      <w:r w:rsidRPr="00181B41">
        <w:rPr>
          <w:rFonts w:ascii="Century Schoolbook" w:hAnsi="Century Schoolbook"/>
          <w:sz w:val="24"/>
          <w:szCs w:val="24"/>
        </w:rPr>
        <w:instrText xml:space="preserve"> TOC \o "1-3" \h \z \u </w:instrText>
      </w:r>
      <w:r w:rsidRPr="00181B41">
        <w:rPr>
          <w:rFonts w:ascii="Century Schoolbook" w:hAnsi="Century Schoolbook"/>
          <w:sz w:val="24"/>
          <w:szCs w:val="24"/>
        </w:rPr>
        <w:fldChar w:fldCharType="separate"/>
      </w:r>
      <w:hyperlink w:anchor="_Toc231215204" w:history="1">
        <w:r w:rsidR="00181B41" w:rsidRPr="00181B41">
          <w:rPr>
            <w:rStyle w:val="Hyperlink"/>
            <w:rFonts w:ascii="Century Schoolbook" w:hAnsi="Century Schoolbook"/>
            <w:noProof/>
            <w:sz w:val="24"/>
            <w:szCs w:val="24"/>
          </w:rPr>
          <w:t>Abstract:</w:t>
        </w:r>
        <w:r w:rsidR="00181B41" w:rsidRPr="00181B41">
          <w:rPr>
            <w:rFonts w:ascii="Century Schoolbook" w:hAnsi="Century Schoolbook"/>
            <w:noProof/>
            <w:webHidden/>
            <w:sz w:val="24"/>
            <w:szCs w:val="24"/>
          </w:rPr>
          <w:tab/>
        </w:r>
        <w:r w:rsidR="00181B41" w:rsidRPr="00181B41">
          <w:rPr>
            <w:rFonts w:ascii="Century Schoolbook" w:hAnsi="Century Schoolbook"/>
            <w:noProof/>
            <w:webHidden/>
            <w:sz w:val="24"/>
            <w:szCs w:val="24"/>
          </w:rPr>
          <w:fldChar w:fldCharType="begin"/>
        </w:r>
        <w:r w:rsidR="00181B41" w:rsidRPr="00181B41">
          <w:rPr>
            <w:rFonts w:ascii="Century Schoolbook" w:hAnsi="Century Schoolbook"/>
            <w:noProof/>
            <w:webHidden/>
            <w:sz w:val="24"/>
            <w:szCs w:val="24"/>
          </w:rPr>
          <w:instrText xml:space="preserve"> PAGEREF _Toc231215204 \h </w:instrText>
        </w:r>
        <w:r w:rsidR="00181B41" w:rsidRPr="00181B41">
          <w:rPr>
            <w:rFonts w:ascii="Century Schoolbook" w:hAnsi="Century Schoolbook"/>
            <w:noProof/>
            <w:webHidden/>
            <w:sz w:val="24"/>
            <w:szCs w:val="24"/>
          </w:rPr>
        </w:r>
        <w:r w:rsidR="00181B41" w:rsidRPr="00181B41">
          <w:rPr>
            <w:rFonts w:ascii="Century Schoolbook" w:hAnsi="Century Schoolbook"/>
            <w:noProof/>
            <w:webHidden/>
            <w:sz w:val="24"/>
            <w:szCs w:val="24"/>
          </w:rPr>
          <w:fldChar w:fldCharType="separate"/>
        </w:r>
        <w:r w:rsidR="00181B41" w:rsidRPr="00181B41">
          <w:rPr>
            <w:rFonts w:ascii="Century Schoolbook" w:hAnsi="Century Schoolbook"/>
            <w:noProof/>
            <w:webHidden/>
            <w:sz w:val="24"/>
            <w:szCs w:val="24"/>
          </w:rPr>
          <w:t>1</w:t>
        </w:r>
        <w:r w:rsidR="00181B41" w:rsidRPr="00181B41">
          <w:rPr>
            <w:rFonts w:ascii="Century Schoolbook" w:hAnsi="Century Schoolbook"/>
            <w:noProof/>
            <w:webHidden/>
            <w:sz w:val="24"/>
            <w:szCs w:val="24"/>
          </w:rPr>
          <w:fldChar w:fldCharType="end"/>
        </w:r>
      </w:hyperlink>
    </w:p>
    <w:p w14:paraId="2A8E0FD4" w14:textId="0702F3D5"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05" w:history="1">
        <w:r w:rsidRPr="00181B41">
          <w:rPr>
            <w:rStyle w:val="Hyperlink"/>
            <w:rFonts w:ascii="Century Schoolbook" w:hAnsi="Century Schoolbook"/>
            <w:noProof/>
            <w:sz w:val="24"/>
            <w:szCs w:val="24"/>
          </w:rPr>
          <w:t>Title Page</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_Toc231215205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w:t>
        </w:r>
        <w:r w:rsidRPr="00181B41">
          <w:rPr>
            <w:rFonts w:ascii="Century Schoolbook" w:hAnsi="Century Schoolbook"/>
            <w:noProof/>
            <w:webHidden/>
            <w:sz w:val="24"/>
            <w:szCs w:val="24"/>
          </w:rPr>
          <w:fldChar w:fldCharType="end"/>
        </w:r>
      </w:hyperlink>
    </w:p>
    <w:p w14:paraId="2701F396" w14:textId="17A85C0D"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06" w:history="1">
        <w:r w:rsidRPr="00181B41">
          <w:rPr>
            <w:rStyle w:val="Hyperlink"/>
            <w:rFonts w:ascii="Century Schoolbook" w:hAnsi="Century Schoolbook"/>
            <w:noProof/>
            <w:sz w:val="24"/>
            <w:szCs w:val="24"/>
          </w:rPr>
          <w:t>Table of Contents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_Toc231215206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3</w:t>
        </w:r>
        <w:r w:rsidRPr="00181B41">
          <w:rPr>
            <w:rFonts w:ascii="Century Schoolbook" w:hAnsi="Century Schoolbook"/>
            <w:noProof/>
            <w:webHidden/>
            <w:sz w:val="24"/>
            <w:szCs w:val="24"/>
          </w:rPr>
          <w:fldChar w:fldCharType="end"/>
        </w:r>
      </w:hyperlink>
    </w:p>
    <w:p w14:paraId="10EA847B" w14:textId="1E9466CC"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07" w:history="1">
        <w:r w:rsidRPr="00181B41">
          <w:rPr>
            <w:rStyle w:val="Hyperlink"/>
            <w:rFonts w:ascii="Century Schoolbook" w:hAnsi="Century Schoolbook"/>
            <w:noProof/>
            <w:sz w:val="24"/>
            <w:szCs w:val="24"/>
          </w:rPr>
          <w:t>Table of Figures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_Toc231215207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6</w:t>
        </w:r>
        <w:r w:rsidRPr="00181B41">
          <w:rPr>
            <w:rFonts w:ascii="Century Schoolbook" w:hAnsi="Century Schoolbook"/>
            <w:noProof/>
            <w:webHidden/>
            <w:sz w:val="24"/>
            <w:szCs w:val="24"/>
          </w:rPr>
          <w:fldChar w:fldCharType="end"/>
        </w:r>
      </w:hyperlink>
    </w:p>
    <w:p w14:paraId="0FE92500" w14:textId="149A7442"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08" w:history="1">
        <w:r w:rsidRPr="00181B41">
          <w:rPr>
            <w:rStyle w:val="Hyperlink"/>
            <w:rFonts w:ascii="Century Schoolbook" w:hAnsi="Century Schoolbook"/>
            <w:noProof/>
            <w:sz w:val="24"/>
            <w:szCs w:val="24"/>
          </w:rPr>
          <w:t>Statement of Copyright:</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_Toc231215208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7</w:t>
        </w:r>
        <w:r w:rsidRPr="00181B41">
          <w:rPr>
            <w:rFonts w:ascii="Century Schoolbook" w:hAnsi="Century Schoolbook"/>
            <w:noProof/>
            <w:webHidden/>
            <w:sz w:val="24"/>
            <w:szCs w:val="24"/>
          </w:rPr>
          <w:fldChar w:fldCharType="end"/>
        </w:r>
      </w:hyperlink>
    </w:p>
    <w:p w14:paraId="7E3D1AF5" w14:textId="0F74EDFF"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09" w:history="1">
        <w:r w:rsidRPr="00181B41">
          <w:rPr>
            <w:rStyle w:val="Hyperlink"/>
            <w:rFonts w:ascii="Century Schoolbook" w:hAnsi="Century Schoolbook"/>
            <w:noProof/>
            <w:sz w:val="24"/>
            <w:szCs w:val="24"/>
          </w:rPr>
          <w:t>Acknowledgements: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_Toc231215209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8</w:t>
        </w:r>
        <w:r w:rsidRPr="00181B41">
          <w:rPr>
            <w:rFonts w:ascii="Century Schoolbook" w:hAnsi="Century Schoolbook"/>
            <w:noProof/>
            <w:webHidden/>
            <w:sz w:val="24"/>
            <w:szCs w:val="24"/>
          </w:rPr>
          <w:fldChar w:fldCharType="end"/>
        </w:r>
      </w:hyperlink>
    </w:p>
    <w:p w14:paraId="09401E6C" w14:textId="524FF583"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10" w:history="1">
        <w:r w:rsidRPr="00181B41">
          <w:rPr>
            <w:rStyle w:val="Hyperlink"/>
            <w:rFonts w:ascii="Century Schoolbook" w:hAnsi="Century Schoolbook"/>
            <w:noProof/>
            <w:sz w:val="24"/>
            <w:szCs w:val="24"/>
          </w:rPr>
          <w:t>Chapter 1: Introduction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_Toc231215210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9</w:t>
        </w:r>
        <w:r w:rsidRPr="00181B41">
          <w:rPr>
            <w:rFonts w:ascii="Century Schoolbook" w:hAnsi="Century Schoolbook"/>
            <w:noProof/>
            <w:webHidden/>
            <w:sz w:val="24"/>
            <w:szCs w:val="24"/>
          </w:rPr>
          <w:fldChar w:fldCharType="end"/>
        </w:r>
      </w:hyperlink>
    </w:p>
    <w:p w14:paraId="7BDBBA9F" w14:textId="3AFCC355"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11" w:history="1">
        <w:r w:rsidRPr="00181B41">
          <w:rPr>
            <w:rStyle w:val="Hyperlink"/>
            <w:rFonts w:ascii="Century Schoolbook" w:hAnsi="Century Schoolbook"/>
            <w:noProof/>
            <w:sz w:val="24"/>
            <w:szCs w:val="24"/>
          </w:rPr>
          <w:t>1.1</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Aims and Research Questions: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_Toc231215211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12</w:t>
        </w:r>
        <w:r w:rsidRPr="00181B41">
          <w:rPr>
            <w:rFonts w:ascii="Century Schoolbook" w:hAnsi="Century Schoolbook"/>
            <w:noProof/>
            <w:webHidden/>
            <w:sz w:val="24"/>
            <w:szCs w:val="24"/>
          </w:rPr>
          <w:fldChar w:fldCharType="end"/>
        </w:r>
      </w:hyperlink>
    </w:p>
    <w:p w14:paraId="3793581A" w14:textId="29661A8B"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12" w:history="1">
        <w:r w:rsidRPr="00181B41">
          <w:rPr>
            <w:rStyle w:val="Hyperlink"/>
            <w:rFonts w:ascii="Century Schoolbook" w:hAnsi="Century Schoolbook"/>
            <w:noProof/>
            <w:sz w:val="24"/>
            <w:szCs w:val="24"/>
          </w:rPr>
          <w:t>1.2</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Thesis Structure:</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_Toc231215212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13</w:t>
        </w:r>
        <w:r w:rsidRPr="00181B41">
          <w:rPr>
            <w:rFonts w:ascii="Century Schoolbook" w:hAnsi="Century Schoolbook"/>
            <w:noProof/>
            <w:webHidden/>
            <w:sz w:val="24"/>
            <w:szCs w:val="24"/>
          </w:rPr>
          <w:fldChar w:fldCharType="end"/>
        </w:r>
      </w:hyperlink>
    </w:p>
    <w:p w14:paraId="2AA7BE7B" w14:textId="3BC054DC"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13" w:history="1">
        <w:r w:rsidRPr="00181B41">
          <w:rPr>
            <w:rStyle w:val="Hyperlink"/>
            <w:rFonts w:ascii="Century Schoolbook" w:hAnsi="Century Schoolbook"/>
            <w:noProof/>
            <w:sz w:val="24"/>
            <w:szCs w:val="24"/>
          </w:rPr>
          <w:t>1.2.1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Chapter 2: A Brief History of Council Housing in the UK:</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_Toc231215213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13</w:t>
        </w:r>
        <w:r w:rsidRPr="00181B41">
          <w:rPr>
            <w:rFonts w:ascii="Century Schoolbook" w:hAnsi="Century Schoolbook"/>
            <w:noProof/>
            <w:webHidden/>
            <w:sz w:val="24"/>
            <w:szCs w:val="24"/>
          </w:rPr>
          <w:fldChar w:fldCharType="end"/>
        </w:r>
      </w:hyperlink>
    </w:p>
    <w:p w14:paraId="004330C8" w14:textId="591AAB32"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14" w:history="1">
        <w:r w:rsidRPr="00181B41">
          <w:rPr>
            <w:rStyle w:val="Hyperlink"/>
            <w:rFonts w:ascii="Century Schoolbook" w:hAnsi="Century Schoolbook"/>
            <w:noProof/>
            <w:sz w:val="24"/>
            <w:szCs w:val="24"/>
          </w:rPr>
          <w:t>1.2.2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Chapter 3: Literature Review and Theoretical Framework:</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_Toc231215214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14</w:t>
        </w:r>
        <w:r w:rsidRPr="00181B41">
          <w:rPr>
            <w:rFonts w:ascii="Century Schoolbook" w:hAnsi="Century Schoolbook"/>
            <w:noProof/>
            <w:webHidden/>
            <w:sz w:val="24"/>
            <w:szCs w:val="24"/>
          </w:rPr>
          <w:fldChar w:fldCharType="end"/>
        </w:r>
      </w:hyperlink>
    </w:p>
    <w:p w14:paraId="2CB30FB2" w14:textId="33737EBB"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15" w:history="1">
        <w:r w:rsidRPr="00181B41">
          <w:rPr>
            <w:rStyle w:val="Hyperlink"/>
            <w:rFonts w:ascii="Century Schoolbook" w:hAnsi="Century Schoolbook"/>
            <w:noProof/>
            <w:sz w:val="24"/>
            <w:szCs w:val="24"/>
          </w:rPr>
          <w:t>1.2.3</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Chapter 4: Methodological Approach:</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_Toc231215215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15</w:t>
        </w:r>
        <w:r w:rsidRPr="00181B41">
          <w:rPr>
            <w:rFonts w:ascii="Century Schoolbook" w:hAnsi="Century Schoolbook"/>
            <w:noProof/>
            <w:webHidden/>
            <w:sz w:val="24"/>
            <w:szCs w:val="24"/>
          </w:rPr>
          <w:fldChar w:fldCharType="end"/>
        </w:r>
      </w:hyperlink>
    </w:p>
    <w:p w14:paraId="6C6DEB7E" w14:textId="36896653"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16" w:history="1">
        <w:r w:rsidRPr="00181B41">
          <w:rPr>
            <w:rStyle w:val="Hyperlink"/>
            <w:rFonts w:ascii="Century Schoolbook" w:hAnsi="Century Schoolbook"/>
            <w:noProof/>
            <w:sz w:val="24"/>
            <w:szCs w:val="24"/>
          </w:rPr>
          <w:t>1.2.4</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Chapter 5: Working on the Farm: Acts of Citizenship and Accommodative Resistance</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_Toc231215216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15</w:t>
        </w:r>
        <w:r w:rsidRPr="00181B41">
          <w:rPr>
            <w:rFonts w:ascii="Century Schoolbook" w:hAnsi="Century Schoolbook"/>
            <w:noProof/>
            <w:webHidden/>
            <w:sz w:val="24"/>
            <w:szCs w:val="24"/>
          </w:rPr>
          <w:fldChar w:fldCharType="end"/>
        </w:r>
      </w:hyperlink>
    </w:p>
    <w:p w14:paraId="4FF0221B" w14:textId="1113F530"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17" w:history="1">
        <w:r w:rsidRPr="00181B41">
          <w:rPr>
            <w:rStyle w:val="Hyperlink"/>
            <w:rFonts w:ascii="Century Schoolbook" w:hAnsi="Century Schoolbook"/>
            <w:noProof/>
            <w:sz w:val="24"/>
            <w:szCs w:val="24"/>
          </w:rPr>
          <w:t>1.2.5</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Chapter 6: “Personal Connections and Personal Alliances”: Leveraging Local Electoral Politics for Power</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_Toc231215217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16</w:t>
        </w:r>
        <w:r w:rsidRPr="00181B41">
          <w:rPr>
            <w:rFonts w:ascii="Century Schoolbook" w:hAnsi="Century Schoolbook"/>
            <w:noProof/>
            <w:webHidden/>
            <w:sz w:val="24"/>
            <w:szCs w:val="24"/>
          </w:rPr>
          <w:fldChar w:fldCharType="end"/>
        </w:r>
      </w:hyperlink>
    </w:p>
    <w:p w14:paraId="4A593DD9" w14:textId="57ED2FBA"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18" w:history="1">
        <w:r w:rsidRPr="00181B41">
          <w:rPr>
            <w:rStyle w:val="Hyperlink"/>
            <w:rFonts w:ascii="Century Schoolbook" w:hAnsi="Century Schoolbook"/>
            <w:noProof/>
            <w:sz w:val="24"/>
            <w:szCs w:val="24"/>
          </w:rPr>
          <w:t>1.2.6</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Chapter 7: Local Parties, Authoritarian Neoliberalism, and Urban Change in Tottenham, London: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_Toc231215218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16</w:t>
        </w:r>
        <w:r w:rsidRPr="00181B41">
          <w:rPr>
            <w:rFonts w:ascii="Century Schoolbook" w:hAnsi="Century Schoolbook"/>
            <w:noProof/>
            <w:webHidden/>
            <w:sz w:val="24"/>
            <w:szCs w:val="24"/>
          </w:rPr>
          <w:fldChar w:fldCharType="end"/>
        </w:r>
      </w:hyperlink>
    </w:p>
    <w:p w14:paraId="5CA69814" w14:textId="3B02A18A"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19" w:history="1">
        <w:r w:rsidRPr="00181B41">
          <w:rPr>
            <w:rStyle w:val="Hyperlink"/>
            <w:rFonts w:ascii="Century Schoolbook" w:hAnsi="Century Schoolbook"/>
            <w:noProof/>
            <w:sz w:val="24"/>
            <w:szCs w:val="24"/>
          </w:rPr>
          <w:t>1.2.7</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Chapter 8: Conclusion: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_Toc231215219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17</w:t>
        </w:r>
        <w:r w:rsidRPr="00181B41">
          <w:rPr>
            <w:rFonts w:ascii="Century Schoolbook" w:hAnsi="Century Schoolbook"/>
            <w:noProof/>
            <w:webHidden/>
            <w:sz w:val="24"/>
            <w:szCs w:val="24"/>
          </w:rPr>
          <w:fldChar w:fldCharType="end"/>
        </w:r>
      </w:hyperlink>
    </w:p>
    <w:p w14:paraId="7E2526D5" w14:textId="55FE4EA1"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20" w:history="1">
        <w:r w:rsidRPr="00181B41">
          <w:rPr>
            <w:rStyle w:val="Hyperlink"/>
            <w:rFonts w:ascii="Century Schoolbook" w:hAnsi="Century Schoolbook"/>
            <w:noProof/>
            <w:sz w:val="24"/>
            <w:szCs w:val="24"/>
          </w:rPr>
          <w:t>1.3</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Context and Background of the London Borough of Haringey: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_Toc231215220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17</w:t>
        </w:r>
        <w:r w:rsidRPr="00181B41">
          <w:rPr>
            <w:rFonts w:ascii="Century Schoolbook" w:hAnsi="Century Schoolbook"/>
            <w:noProof/>
            <w:webHidden/>
            <w:sz w:val="24"/>
            <w:szCs w:val="24"/>
          </w:rPr>
          <w:fldChar w:fldCharType="end"/>
        </w:r>
      </w:hyperlink>
    </w:p>
    <w:p w14:paraId="724FA4F9" w14:textId="69810839"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21" w:history="1">
        <w:r w:rsidRPr="00181B41">
          <w:rPr>
            <w:rStyle w:val="Hyperlink"/>
            <w:rFonts w:ascii="Century Schoolbook" w:hAnsi="Century Schoolbook"/>
            <w:noProof/>
            <w:sz w:val="24"/>
            <w:szCs w:val="24"/>
          </w:rPr>
          <w:t>1.3.1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Local Politics in Haringey—a Short History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_Toc231215221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20</w:t>
        </w:r>
        <w:r w:rsidRPr="00181B41">
          <w:rPr>
            <w:rFonts w:ascii="Century Schoolbook" w:hAnsi="Century Schoolbook"/>
            <w:noProof/>
            <w:webHidden/>
            <w:sz w:val="24"/>
            <w:szCs w:val="24"/>
          </w:rPr>
          <w:fldChar w:fldCharType="end"/>
        </w:r>
      </w:hyperlink>
    </w:p>
    <w:p w14:paraId="7478DE5D" w14:textId="31BC9419"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22" w:history="1">
        <w:r w:rsidRPr="00181B41">
          <w:rPr>
            <w:rStyle w:val="Hyperlink"/>
            <w:rFonts w:ascii="Century Schoolbook" w:hAnsi="Century Schoolbook"/>
            <w:noProof/>
            <w:sz w:val="24"/>
            <w:szCs w:val="24"/>
          </w:rPr>
          <w:t>1.3.2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The 2011 Uprising:</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_Toc231215222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25</w:t>
        </w:r>
        <w:r w:rsidRPr="00181B41">
          <w:rPr>
            <w:rFonts w:ascii="Century Schoolbook" w:hAnsi="Century Schoolbook"/>
            <w:noProof/>
            <w:webHidden/>
            <w:sz w:val="24"/>
            <w:szCs w:val="24"/>
          </w:rPr>
          <w:fldChar w:fldCharType="end"/>
        </w:r>
      </w:hyperlink>
    </w:p>
    <w:p w14:paraId="5BF78401" w14:textId="19329A60"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23" w:history="1">
        <w:r w:rsidRPr="00181B41">
          <w:rPr>
            <w:rStyle w:val="Hyperlink"/>
            <w:rFonts w:ascii="Century Schoolbook" w:hAnsi="Century Schoolbook"/>
            <w:noProof/>
            <w:sz w:val="24"/>
            <w:szCs w:val="24"/>
          </w:rPr>
          <w:t>1.4</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Case Studies: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_Toc231215223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27</w:t>
        </w:r>
        <w:r w:rsidRPr="00181B41">
          <w:rPr>
            <w:rFonts w:ascii="Century Schoolbook" w:hAnsi="Century Schoolbook"/>
            <w:noProof/>
            <w:webHidden/>
            <w:sz w:val="24"/>
            <w:szCs w:val="24"/>
          </w:rPr>
          <w:fldChar w:fldCharType="end"/>
        </w:r>
      </w:hyperlink>
    </w:p>
    <w:p w14:paraId="418FFBB2" w14:textId="045FEDD6"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24" w:history="1">
        <w:r w:rsidRPr="00181B41">
          <w:rPr>
            <w:rStyle w:val="Hyperlink"/>
            <w:rFonts w:ascii="Century Schoolbook" w:hAnsi="Century Schoolbook"/>
            <w:noProof/>
            <w:sz w:val="24"/>
            <w:szCs w:val="24"/>
          </w:rPr>
          <w:t>1.4.1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Broadwater Farm Estate and Youth Association: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_Toc231215224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27</w:t>
        </w:r>
        <w:r w:rsidRPr="00181B41">
          <w:rPr>
            <w:rFonts w:ascii="Century Schoolbook" w:hAnsi="Century Schoolbook"/>
            <w:noProof/>
            <w:webHidden/>
            <w:sz w:val="24"/>
            <w:szCs w:val="24"/>
          </w:rPr>
          <w:fldChar w:fldCharType="end"/>
        </w:r>
      </w:hyperlink>
    </w:p>
    <w:p w14:paraId="4BB7B3A1" w14:textId="334B62BE"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25" w:history="1">
        <w:r w:rsidRPr="00181B41">
          <w:rPr>
            <w:rStyle w:val="Hyperlink"/>
            <w:rFonts w:ascii="Century Schoolbook" w:hAnsi="Century Schoolbook"/>
            <w:noProof/>
            <w:sz w:val="24"/>
            <w:szCs w:val="24"/>
          </w:rPr>
          <w:t>1.4.2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Haringey Development Vehicle:</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_Toc231215225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30</w:t>
        </w:r>
        <w:r w:rsidRPr="00181B41">
          <w:rPr>
            <w:rFonts w:ascii="Century Schoolbook" w:hAnsi="Century Schoolbook"/>
            <w:noProof/>
            <w:webHidden/>
            <w:sz w:val="24"/>
            <w:szCs w:val="24"/>
          </w:rPr>
          <w:fldChar w:fldCharType="end"/>
        </w:r>
      </w:hyperlink>
    </w:p>
    <w:p w14:paraId="61730AC4" w14:textId="2479C7E5"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26" w:history="1">
        <w:r w:rsidRPr="00181B41">
          <w:rPr>
            <w:rStyle w:val="Hyperlink"/>
            <w:rFonts w:ascii="Century Schoolbook" w:hAnsi="Century Schoolbook"/>
            <w:noProof/>
            <w:sz w:val="24"/>
            <w:szCs w:val="24"/>
          </w:rPr>
          <w:t>1.4.3</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High Road West:</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_Toc231215226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34</w:t>
        </w:r>
        <w:r w:rsidRPr="00181B41">
          <w:rPr>
            <w:rFonts w:ascii="Century Schoolbook" w:hAnsi="Century Schoolbook"/>
            <w:noProof/>
            <w:webHidden/>
            <w:sz w:val="24"/>
            <w:szCs w:val="24"/>
          </w:rPr>
          <w:fldChar w:fldCharType="end"/>
        </w:r>
      </w:hyperlink>
    </w:p>
    <w:p w14:paraId="1570F4E5" w14:textId="7B7A97DB"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27" w:history="1">
        <w:r w:rsidRPr="00181B41">
          <w:rPr>
            <w:rStyle w:val="Hyperlink"/>
            <w:rFonts w:ascii="Century Schoolbook" w:hAnsi="Century Schoolbook"/>
            <w:noProof/>
            <w:sz w:val="24"/>
            <w:szCs w:val="24"/>
          </w:rPr>
          <w:t>1.4.4</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Tying the Case Studies Together:</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_Toc231215227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37</w:t>
        </w:r>
        <w:r w:rsidRPr="00181B41">
          <w:rPr>
            <w:rFonts w:ascii="Century Schoolbook" w:hAnsi="Century Schoolbook"/>
            <w:noProof/>
            <w:webHidden/>
            <w:sz w:val="24"/>
            <w:szCs w:val="24"/>
          </w:rPr>
          <w:fldChar w:fldCharType="end"/>
        </w:r>
      </w:hyperlink>
    </w:p>
    <w:p w14:paraId="296FBA0D" w14:textId="67007608"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28" w:history="1">
        <w:r w:rsidRPr="00181B41">
          <w:rPr>
            <w:rStyle w:val="Hyperlink"/>
            <w:rFonts w:ascii="Century Schoolbook" w:hAnsi="Century Schoolbook"/>
            <w:noProof/>
            <w:sz w:val="24"/>
            <w:szCs w:val="24"/>
          </w:rPr>
          <w:t>Chapter 2: A Brief History of Council Housing</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_Toc231215228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40</w:t>
        </w:r>
        <w:r w:rsidRPr="00181B41">
          <w:rPr>
            <w:rFonts w:ascii="Century Schoolbook" w:hAnsi="Century Schoolbook"/>
            <w:noProof/>
            <w:webHidden/>
            <w:sz w:val="24"/>
            <w:szCs w:val="24"/>
          </w:rPr>
          <w:fldChar w:fldCharType="end"/>
        </w:r>
      </w:hyperlink>
    </w:p>
    <w:p w14:paraId="3E415BCA" w14:textId="47F07741"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30" w:history="1">
        <w:r w:rsidRPr="00181B41">
          <w:rPr>
            <w:rStyle w:val="Hyperlink"/>
            <w:rFonts w:ascii="Century Schoolbook" w:hAnsi="Century Schoolbook"/>
            <w:noProof/>
            <w:sz w:val="24"/>
            <w:szCs w:val="24"/>
          </w:rPr>
          <w:t>2.1</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Race and Ethnicity in Council Housing:</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_Toc231215230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52</w:t>
        </w:r>
        <w:r w:rsidRPr="00181B41">
          <w:rPr>
            <w:rFonts w:ascii="Century Schoolbook" w:hAnsi="Century Schoolbook"/>
            <w:noProof/>
            <w:webHidden/>
            <w:sz w:val="24"/>
            <w:szCs w:val="24"/>
          </w:rPr>
          <w:fldChar w:fldCharType="end"/>
        </w:r>
      </w:hyperlink>
    </w:p>
    <w:p w14:paraId="6C6B30C4" w14:textId="18C764EE"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31" w:history="1">
        <w:r w:rsidRPr="00181B41">
          <w:rPr>
            <w:rStyle w:val="Hyperlink"/>
            <w:rFonts w:ascii="Century Schoolbook" w:hAnsi="Century Schoolbook"/>
            <w:noProof/>
            <w:sz w:val="24"/>
            <w:szCs w:val="24"/>
          </w:rPr>
          <w:t>2.2</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Conclusion: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_Toc231215231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56</w:t>
        </w:r>
        <w:r w:rsidRPr="00181B41">
          <w:rPr>
            <w:rFonts w:ascii="Century Schoolbook" w:hAnsi="Century Schoolbook"/>
            <w:noProof/>
            <w:webHidden/>
            <w:sz w:val="24"/>
            <w:szCs w:val="24"/>
          </w:rPr>
          <w:fldChar w:fldCharType="end"/>
        </w:r>
      </w:hyperlink>
    </w:p>
    <w:p w14:paraId="673ACDFB" w14:textId="6E5C9C95"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32" w:history="1">
        <w:r w:rsidRPr="00181B41">
          <w:rPr>
            <w:rStyle w:val="Hyperlink"/>
            <w:rFonts w:ascii="Century Schoolbook" w:hAnsi="Century Schoolbook"/>
            <w:noProof/>
            <w:sz w:val="24"/>
            <w:szCs w:val="24"/>
          </w:rPr>
          <w:t>Chapter 3: Literature Review and Conceptual Framework</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_Toc231215232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58</w:t>
        </w:r>
        <w:r w:rsidRPr="00181B41">
          <w:rPr>
            <w:rFonts w:ascii="Century Schoolbook" w:hAnsi="Century Schoolbook"/>
            <w:noProof/>
            <w:webHidden/>
            <w:sz w:val="24"/>
            <w:szCs w:val="24"/>
          </w:rPr>
          <w:fldChar w:fldCharType="end"/>
        </w:r>
      </w:hyperlink>
    </w:p>
    <w:p w14:paraId="55FCFCE9" w14:textId="1CD6EAD2"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34" w:history="1">
        <w:r w:rsidRPr="00181B41">
          <w:rPr>
            <w:rStyle w:val="Hyperlink"/>
            <w:rFonts w:ascii="Century Schoolbook" w:hAnsi="Century Schoolbook" w:cs="Arial"/>
            <w:noProof/>
            <w:sz w:val="24"/>
            <w:szCs w:val="24"/>
          </w:rPr>
          <w:t>3.1</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Introduction: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_Toc231215234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58</w:t>
        </w:r>
        <w:r w:rsidRPr="00181B41">
          <w:rPr>
            <w:rFonts w:ascii="Century Schoolbook" w:hAnsi="Century Schoolbook"/>
            <w:noProof/>
            <w:webHidden/>
            <w:sz w:val="24"/>
            <w:szCs w:val="24"/>
          </w:rPr>
          <w:fldChar w:fldCharType="end"/>
        </w:r>
      </w:hyperlink>
    </w:p>
    <w:p w14:paraId="657F519B" w14:textId="717BA2D1"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35" w:history="1">
        <w:r w:rsidRPr="00181B41">
          <w:rPr>
            <w:rStyle w:val="Hyperlink"/>
            <w:rFonts w:ascii="Century Schoolbook" w:hAnsi="Century Schoolbook"/>
            <w:noProof/>
            <w:sz w:val="24"/>
            <w:szCs w:val="24"/>
          </w:rPr>
          <w:t>3.2</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The Local State and the Local Party: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_Toc231215235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59</w:t>
        </w:r>
        <w:r w:rsidRPr="00181B41">
          <w:rPr>
            <w:rFonts w:ascii="Century Schoolbook" w:hAnsi="Century Schoolbook"/>
            <w:noProof/>
            <w:webHidden/>
            <w:sz w:val="24"/>
            <w:szCs w:val="24"/>
          </w:rPr>
          <w:fldChar w:fldCharType="end"/>
        </w:r>
      </w:hyperlink>
    </w:p>
    <w:p w14:paraId="606A94C7" w14:textId="4A68DDBD"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36" w:history="1">
        <w:r w:rsidRPr="00181B41">
          <w:rPr>
            <w:rStyle w:val="Hyperlink"/>
            <w:rFonts w:ascii="Century Schoolbook" w:hAnsi="Century Schoolbook"/>
            <w:noProof/>
            <w:sz w:val="24"/>
            <w:szCs w:val="24"/>
          </w:rPr>
          <w:t>3.2.1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Local State:</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_Toc231215236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59</w:t>
        </w:r>
        <w:r w:rsidRPr="00181B41">
          <w:rPr>
            <w:rFonts w:ascii="Century Schoolbook" w:hAnsi="Century Schoolbook"/>
            <w:noProof/>
            <w:webHidden/>
            <w:sz w:val="24"/>
            <w:szCs w:val="24"/>
          </w:rPr>
          <w:fldChar w:fldCharType="end"/>
        </w:r>
      </w:hyperlink>
    </w:p>
    <w:p w14:paraId="73DA7E97" w14:textId="50A29B18"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37" w:history="1">
        <w:r w:rsidRPr="00181B41">
          <w:rPr>
            <w:rStyle w:val="Hyperlink"/>
            <w:rFonts w:ascii="Century Schoolbook" w:hAnsi="Century Schoolbook"/>
            <w:noProof/>
            <w:sz w:val="24"/>
            <w:szCs w:val="24"/>
          </w:rPr>
          <w:t>3.2.2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Local Political Parties in Government:</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_Toc231215237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63</w:t>
        </w:r>
        <w:r w:rsidRPr="00181B41">
          <w:rPr>
            <w:rFonts w:ascii="Century Schoolbook" w:hAnsi="Century Schoolbook"/>
            <w:noProof/>
            <w:webHidden/>
            <w:sz w:val="24"/>
            <w:szCs w:val="24"/>
          </w:rPr>
          <w:fldChar w:fldCharType="end"/>
        </w:r>
      </w:hyperlink>
    </w:p>
    <w:p w14:paraId="20376111" w14:textId="61C940A1"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38" w:history="1">
        <w:r w:rsidRPr="00181B41">
          <w:rPr>
            <w:rStyle w:val="Hyperlink"/>
            <w:rFonts w:ascii="Century Schoolbook" w:hAnsi="Century Schoolbook"/>
            <w:noProof/>
            <w:sz w:val="24"/>
            <w:szCs w:val="24"/>
          </w:rPr>
          <w:t>3.2.3</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State-Party Nexus and the Labour Party: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_Toc231215238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65</w:t>
        </w:r>
        <w:r w:rsidRPr="00181B41">
          <w:rPr>
            <w:rFonts w:ascii="Century Schoolbook" w:hAnsi="Century Schoolbook"/>
            <w:noProof/>
            <w:webHidden/>
            <w:sz w:val="24"/>
            <w:szCs w:val="24"/>
          </w:rPr>
          <w:fldChar w:fldCharType="end"/>
        </w:r>
      </w:hyperlink>
    </w:p>
    <w:p w14:paraId="0793868C" w14:textId="11BC051C"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39" w:history="1">
        <w:r w:rsidRPr="00181B41">
          <w:rPr>
            <w:rStyle w:val="Hyperlink"/>
            <w:rFonts w:ascii="Century Schoolbook" w:hAnsi="Century Schoolbook"/>
            <w:noProof/>
            <w:sz w:val="24"/>
            <w:szCs w:val="24"/>
          </w:rPr>
          <w:t>3.3</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Authoritarian Neoliberalism:</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_Toc231215239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70</w:t>
        </w:r>
        <w:r w:rsidRPr="00181B41">
          <w:rPr>
            <w:rFonts w:ascii="Century Schoolbook" w:hAnsi="Century Schoolbook"/>
            <w:noProof/>
            <w:webHidden/>
            <w:sz w:val="24"/>
            <w:szCs w:val="24"/>
          </w:rPr>
          <w:fldChar w:fldCharType="end"/>
        </w:r>
      </w:hyperlink>
    </w:p>
    <w:p w14:paraId="419D5345" w14:textId="6C581BCA"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40" w:history="1">
        <w:r w:rsidRPr="00181B41">
          <w:rPr>
            <w:rStyle w:val="Hyperlink"/>
            <w:rFonts w:ascii="Century Schoolbook" w:hAnsi="Century Schoolbook"/>
            <w:noProof/>
            <w:sz w:val="24"/>
            <w:szCs w:val="24"/>
          </w:rPr>
          <w:t>3.3.1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Histories and Types of Authoritarian Neoliberalism:</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_Toc231215240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74</w:t>
        </w:r>
        <w:r w:rsidRPr="00181B41">
          <w:rPr>
            <w:rFonts w:ascii="Century Schoolbook" w:hAnsi="Century Schoolbook"/>
            <w:noProof/>
            <w:webHidden/>
            <w:sz w:val="24"/>
            <w:szCs w:val="24"/>
          </w:rPr>
          <w:fldChar w:fldCharType="end"/>
        </w:r>
      </w:hyperlink>
    </w:p>
    <w:p w14:paraId="4B905090" w14:textId="28860C9F"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41" w:history="1">
        <w:r w:rsidRPr="00181B41">
          <w:rPr>
            <w:rStyle w:val="Hyperlink"/>
            <w:rFonts w:ascii="Century Schoolbook" w:hAnsi="Century Schoolbook"/>
            <w:noProof/>
            <w:sz w:val="24"/>
            <w:szCs w:val="24"/>
          </w:rPr>
          <w:t>3.3.2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Urban Authoritarian Neoliberalism:</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_Toc231215241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77</w:t>
        </w:r>
        <w:r w:rsidRPr="00181B41">
          <w:rPr>
            <w:rFonts w:ascii="Century Schoolbook" w:hAnsi="Century Schoolbook"/>
            <w:noProof/>
            <w:webHidden/>
            <w:sz w:val="24"/>
            <w:szCs w:val="24"/>
          </w:rPr>
          <w:fldChar w:fldCharType="end"/>
        </w:r>
      </w:hyperlink>
    </w:p>
    <w:p w14:paraId="7A6F7DA0" w14:textId="206F021A"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42" w:history="1">
        <w:r w:rsidRPr="00181B41">
          <w:rPr>
            <w:rStyle w:val="Hyperlink"/>
            <w:rFonts w:ascii="Century Schoolbook" w:hAnsi="Century Schoolbook"/>
            <w:noProof/>
            <w:sz w:val="24"/>
            <w:szCs w:val="24"/>
          </w:rPr>
          <w:t>3.4</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Citizenship:</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_Toc231215242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80</w:t>
        </w:r>
        <w:r w:rsidRPr="00181B41">
          <w:rPr>
            <w:rFonts w:ascii="Century Schoolbook" w:hAnsi="Century Schoolbook"/>
            <w:noProof/>
            <w:webHidden/>
            <w:sz w:val="24"/>
            <w:szCs w:val="24"/>
          </w:rPr>
          <w:fldChar w:fldCharType="end"/>
        </w:r>
      </w:hyperlink>
    </w:p>
    <w:p w14:paraId="223350BF" w14:textId="50D4549F"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43" w:history="1">
        <w:r w:rsidRPr="00181B41">
          <w:rPr>
            <w:rStyle w:val="Hyperlink"/>
            <w:rFonts w:ascii="Century Schoolbook" w:hAnsi="Century Schoolbook"/>
            <w:noProof/>
            <w:sz w:val="24"/>
            <w:szCs w:val="24"/>
          </w:rPr>
          <w:t>3.4.1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What is citizenship? How has it changed?</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_Toc231215243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82</w:t>
        </w:r>
        <w:r w:rsidRPr="00181B41">
          <w:rPr>
            <w:rFonts w:ascii="Century Schoolbook" w:hAnsi="Century Schoolbook"/>
            <w:noProof/>
            <w:webHidden/>
            <w:sz w:val="24"/>
            <w:szCs w:val="24"/>
          </w:rPr>
          <w:fldChar w:fldCharType="end"/>
        </w:r>
      </w:hyperlink>
    </w:p>
    <w:p w14:paraId="25AD7F56" w14:textId="4DF2D1B6"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44" w:history="1">
        <w:r w:rsidRPr="00181B41">
          <w:rPr>
            <w:rStyle w:val="Hyperlink"/>
            <w:rFonts w:ascii="Century Schoolbook" w:hAnsi="Century Schoolbook"/>
            <w:noProof/>
            <w:sz w:val="24"/>
            <w:szCs w:val="24"/>
          </w:rPr>
          <w:t>3.4.2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How to obtain full citizenship? Acts of Citizenship Theory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_Toc231215244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85</w:t>
        </w:r>
        <w:r w:rsidRPr="00181B41">
          <w:rPr>
            <w:rFonts w:ascii="Century Schoolbook" w:hAnsi="Century Schoolbook"/>
            <w:noProof/>
            <w:webHidden/>
            <w:sz w:val="24"/>
            <w:szCs w:val="24"/>
          </w:rPr>
          <w:fldChar w:fldCharType="end"/>
        </w:r>
      </w:hyperlink>
    </w:p>
    <w:p w14:paraId="0BFAD8D1" w14:textId="55B094E6"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45" w:history="1">
        <w:r w:rsidRPr="00181B41">
          <w:rPr>
            <w:rStyle w:val="Hyperlink"/>
            <w:rFonts w:ascii="Century Schoolbook" w:hAnsi="Century Schoolbook" w:cs="Arial"/>
            <w:noProof/>
            <w:sz w:val="24"/>
            <w:szCs w:val="24"/>
          </w:rPr>
          <w:t>3.5</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cs="Arial"/>
            <w:noProof/>
            <w:sz w:val="24"/>
            <w:szCs w:val="24"/>
          </w:rPr>
          <w:t>Conclusion: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_Toc231215245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93</w:t>
        </w:r>
        <w:r w:rsidRPr="00181B41">
          <w:rPr>
            <w:rFonts w:ascii="Century Schoolbook" w:hAnsi="Century Schoolbook"/>
            <w:noProof/>
            <w:webHidden/>
            <w:sz w:val="24"/>
            <w:szCs w:val="24"/>
          </w:rPr>
          <w:fldChar w:fldCharType="end"/>
        </w:r>
      </w:hyperlink>
    </w:p>
    <w:p w14:paraId="315C83D9" w14:textId="118E1D20"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46" w:history="1">
        <w:r w:rsidRPr="00181B41">
          <w:rPr>
            <w:rStyle w:val="Hyperlink"/>
            <w:rFonts w:ascii="Century Schoolbook" w:hAnsi="Century Schoolbook"/>
            <w:noProof/>
            <w:sz w:val="24"/>
            <w:szCs w:val="24"/>
          </w:rPr>
          <w:t>Chapter 4: Methodology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_Toc231215246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95</w:t>
        </w:r>
        <w:r w:rsidRPr="00181B41">
          <w:rPr>
            <w:rFonts w:ascii="Century Schoolbook" w:hAnsi="Century Schoolbook"/>
            <w:noProof/>
            <w:webHidden/>
            <w:sz w:val="24"/>
            <w:szCs w:val="24"/>
          </w:rPr>
          <w:fldChar w:fldCharType="end"/>
        </w:r>
      </w:hyperlink>
    </w:p>
    <w:p w14:paraId="453ADEF8" w14:textId="62C78225"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48" w:history="1">
        <w:r w:rsidRPr="00181B41">
          <w:rPr>
            <w:rStyle w:val="Hyperlink"/>
            <w:rFonts w:ascii="Century Schoolbook" w:hAnsi="Century Schoolbook"/>
            <w:noProof/>
            <w:sz w:val="24"/>
            <w:szCs w:val="24"/>
          </w:rPr>
          <w:t>4.1</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Methods: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_Toc231215248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96</w:t>
        </w:r>
        <w:r w:rsidRPr="00181B41">
          <w:rPr>
            <w:rFonts w:ascii="Century Schoolbook" w:hAnsi="Century Schoolbook"/>
            <w:noProof/>
            <w:webHidden/>
            <w:sz w:val="24"/>
            <w:szCs w:val="24"/>
          </w:rPr>
          <w:fldChar w:fldCharType="end"/>
        </w:r>
      </w:hyperlink>
    </w:p>
    <w:p w14:paraId="7E88A057" w14:textId="08B5E188"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49" w:history="1">
        <w:r w:rsidRPr="00181B41">
          <w:rPr>
            <w:rStyle w:val="Hyperlink"/>
            <w:rFonts w:ascii="Century Schoolbook" w:hAnsi="Century Schoolbook"/>
            <w:noProof/>
            <w:sz w:val="24"/>
            <w:szCs w:val="24"/>
          </w:rPr>
          <w:t>4.1.1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Casting the Net:</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_Toc231215249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96</w:t>
        </w:r>
        <w:r w:rsidRPr="00181B41">
          <w:rPr>
            <w:rFonts w:ascii="Century Schoolbook" w:hAnsi="Century Schoolbook"/>
            <w:noProof/>
            <w:webHidden/>
            <w:sz w:val="24"/>
            <w:szCs w:val="24"/>
          </w:rPr>
          <w:fldChar w:fldCharType="end"/>
        </w:r>
      </w:hyperlink>
    </w:p>
    <w:p w14:paraId="5A7C180C" w14:textId="5C7D181E"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50" w:history="1">
        <w:r w:rsidRPr="00181B41">
          <w:rPr>
            <w:rStyle w:val="Hyperlink"/>
            <w:rFonts w:ascii="Century Schoolbook" w:hAnsi="Century Schoolbook"/>
            <w:noProof/>
            <w:sz w:val="24"/>
            <w:szCs w:val="24"/>
          </w:rPr>
          <w:t>4.1.2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Document Analysis: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_Toc231215250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97</w:t>
        </w:r>
        <w:r w:rsidRPr="00181B41">
          <w:rPr>
            <w:rFonts w:ascii="Century Schoolbook" w:hAnsi="Century Schoolbook"/>
            <w:noProof/>
            <w:webHidden/>
            <w:sz w:val="24"/>
            <w:szCs w:val="24"/>
          </w:rPr>
          <w:fldChar w:fldCharType="end"/>
        </w:r>
      </w:hyperlink>
    </w:p>
    <w:p w14:paraId="65B37AAB" w14:textId="65282C50"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51" w:history="1">
        <w:r w:rsidRPr="00181B41">
          <w:rPr>
            <w:rStyle w:val="Hyperlink"/>
            <w:rFonts w:ascii="Century Schoolbook" w:hAnsi="Century Schoolbook"/>
            <w:noProof/>
            <w:sz w:val="24"/>
            <w:szCs w:val="24"/>
          </w:rPr>
          <w:t>4.1.3</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Archives: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_Toc231215251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99</w:t>
        </w:r>
        <w:r w:rsidRPr="00181B41">
          <w:rPr>
            <w:rFonts w:ascii="Century Schoolbook" w:hAnsi="Century Schoolbook"/>
            <w:noProof/>
            <w:webHidden/>
            <w:sz w:val="24"/>
            <w:szCs w:val="24"/>
          </w:rPr>
          <w:fldChar w:fldCharType="end"/>
        </w:r>
      </w:hyperlink>
    </w:p>
    <w:p w14:paraId="3175EB0E" w14:textId="0DE2A3DE"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52" w:history="1">
        <w:r w:rsidRPr="00181B41">
          <w:rPr>
            <w:rStyle w:val="Hyperlink"/>
            <w:rFonts w:ascii="Century Schoolbook" w:hAnsi="Century Schoolbook"/>
            <w:noProof/>
            <w:sz w:val="24"/>
            <w:szCs w:val="24"/>
          </w:rPr>
          <w:t>4.1.4</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Interviews: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_Toc231215252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101</w:t>
        </w:r>
        <w:r w:rsidRPr="00181B41">
          <w:rPr>
            <w:rFonts w:ascii="Century Schoolbook" w:hAnsi="Century Schoolbook"/>
            <w:noProof/>
            <w:webHidden/>
            <w:sz w:val="24"/>
            <w:szCs w:val="24"/>
          </w:rPr>
          <w:fldChar w:fldCharType="end"/>
        </w:r>
      </w:hyperlink>
    </w:p>
    <w:p w14:paraId="13C7585F" w14:textId="2387742E"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53" w:history="1">
        <w:r w:rsidRPr="00181B41">
          <w:rPr>
            <w:rStyle w:val="Hyperlink"/>
            <w:rFonts w:ascii="Century Schoolbook" w:hAnsi="Century Schoolbook"/>
            <w:noProof/>
            <w:sz w:val="24"/>
            <w:szCs w:val="24"/>
          </w:rPr>
          <w:t>4.1.5</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City Walking and Walking Methods: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_Toc231215253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107</w:t>
        </w:r>
        <w:r w:rsidRPr="00181B41">
          <w:rPr>
            <w:rFonts w:ascii="Century Schoolbook" w:hAnsi="Century Schoolbook"/>
            <w:noProof/>
            <w:webHidden/>
            <w:sz w:val="24"/>
            <w:szCs w:val="24"/>
          </w:rPr>
          <w:fldChar w:fldCharType="end"/>
        </w:r>
      </w:hyperlink>
    </w:p>
    <w:p w14:paraId="6195F7A5" w14:textId="4CF6C124"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54" w:history="1">
        <w:r w:rsidRPr="00181B41">
          <w:rPr>
            <w:rStyle w:val="Hyperlink"/>
            <w:rFonts w:ascii="Century Schoolbook" w:hAnsi="Century Schoolbook"/>
            <w:noProof/>
            <w:sz w:val="24"/>
            <w:szCs w:val="24"/>
          </w:rPr>
          <w:t>4.1.6</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Mixing the Methods: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_Toc231215254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111</w:t>
        </w:r>
        <w:r w:rsidRPr="00181B41">
          <w:rPr>
            <w:rFonts w:ascii="Century Schoolbook" w:hAnsi="Century Schoolbook"/>
            <w:noProof/>
            <w:webHidden/>
            <w:sz w:val="24"/>
            <w:szCs w:val="24"/>
          </w:rPr>
          <w:fldChar w:fldCharType="end"/>
        </w:r>
      </w:hyperlink>
    </w:p>
    <w:p w14:paraId="514A6B8D" w14:textId="41783E70"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55" w:history="1">
        <w:r w:rsidRPr="00181B41">
          <w:rPr>
            <w:rStyle w:val="Hyperlink"/>
            <w:rFonts w:ascii="Century Schoolbook" w:hAnsi="Century Schoolbook"/>
            <w:noProof/>
            <w:sz w:val="24"/>
            <w:szCs w:val="24"/>
          </w:rPr>
          <w:t>4.2</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Analysis: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_Toc231215255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114</w:t>
        </w:r>
        <w:r w:rsidRPr="00181B41">
          <w:rPr>
            <w:rFonts w:ascii="Century Schoolbook" w:hAnsi="Century Schoolbook"/>
            <w:noProof/>
            <w:webHidden/>
            <w:sz w:val="24"/>
            <w:szCs w:val="24"/>
          </w:rPr>
          <w:fldChar w:fldCharType="end"/>
        </w:r>
      </w:hyperlink>
    </w:p>
    <w:p w14:paraId="2F0CEEAB" w14:textId="4881A756"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56" w:history="1">
        <w:r w:rsidRPr="00181B41">
          <w:rPr>
            <w:rStyle w:val="Hyperlink"/>
            <w:rFonts w:ascii="Century Schoolbook" w:hAnsi="Century Schoolbook"/>
            <w:noProof/>
            <w:sz w:val="24"/>
            <w:szCs w:val="24"/>
          </w:rPr>
          <w:t>4.3</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Research Ethics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_Toc231215256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116</w:t>
        </w:r>
        <w:r w:rsidRPr="00181B41">
          <w:rPr>
            <w:rFonts w:ascii="Century Schoolbook" w:hAnsi="Century Schoolbook"/>
            <w:noProof/>
            <w:webHidden/>
            <w:sz w:val="24"/>
            <w:szCs w:val="24"/>
          </w:rPr>
          <w:fldChar w:fldCharType="end"/>
        </w:r>
      </w:hyperlink>
    </w:p>
    <w:p w14:paraId="1E2CE5EC" w14:textId="072F610B"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57" w:history="1">
        <w:r w:rsidRPr="00181B41">
          <w:rPr>
            <w:rStyle w:val="Hyperlink"/>
            <w:rFonts w:ascii="Century Schoolbook" w:hAnsi="Century Schoolbook"/>
            <w:noProof/>
            <w:sz w:val="24"/>
            <w:szCs w:val="24"/>
          </w:rPr>
          <w:t>4.4</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Positionality: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_Toc231215257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119</w:t>
        </w:r>
        <w:r w:rsidRPr="00181B41">
          <w:rPr>
            <w:rFonts w:ascii="Century Schoolbook" w:hAnsi="Century Schoolbook"/>
            <w:noProof/>
            <w:webHidden/>
            <w:sz w:val="24"/>
            <w:szCs w:val="24"/>
          </w:rPr>
          <w:fldChar w:fldCharType="end"/>
        </w:r>
      </w:hyperlink>
    </w:p>
    <w:p w14:paraId="3B7D535F" w14:textId="0D80FB76"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58" w:history="1">
        <w:r w:rsidRPr="00181B41">
          <w:rPr>
            <w:rStyle w:val="Hyperlink"/>
            <w:rFonts w:ascii="Century Schoolbook" w:hAnsi="Century Schoolbook"/>
            <w:noProof/>
            <w:sz w:val="24"/>
            <w:szCs w:val="24"/>
          </w:rPr>
          <w:t>4.4.1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As a researcher:</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_Toc231215258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119</w:t>
        </w:r>
        <w:r w:rsidRPr="00181B41">
          <w:rPr>
            <w:rFonts w:ascii="Century Schoolbook" w:hAnsi="Century Schoolbook"/>
            <w:noProof/>
            <w:webHidden/>
            <w:sz w:val="24"/>
            <w:szCs w:val="24"/>
          </w:rPr>
          <w:fldChar w:fldCharType="end"/>
        </w:r>
      </w:hyperlink>
    </w:p>
    <w:p w14:paraId="51F425AC" w14:textId="1123E48E"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59" w:history="1">
        <w:r w:rsidRPr="00181B41">
          <w:rPr>
            <w:rStyle w:val="Hyperlink"/>
            <w:rFonts w:ascii="Century Schoolbook" w:hAnsi="Century Schoolbook"/>
            <w:noProof/>
            <w:sz w:val="24"/>
            <w:szCs w:val="24"/>
          </w:rPr>
          <w:t>4.4.2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Insider and Outsider:</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_Toc231215259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120</w:t>
        </w:r>
        <w:r w:rsidRPr="00181B41">
          <w:rPr>
            <w:rFonts w:ascii="Century Schoolbook" w:hAnsi="Century Schoolbook"/>
            <w:noProof/>
            <w:webHidden/>
            <w:sz w:val="24"/>
            <w:szCs w:val="24"/>
          </w:rPr>
          <w:fldChar w:fldCharType="end"/>
        </w:r>
      </w:hyperlink>
    </w:p>
    <w:p w14:paraId="1E56203D" w14:textId="15AC4223"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60" w:history="1">
        <w:r w:rsidRPr="00181B41">
          <w:rPr>
            <w:rStyle w:val="Hyperlink"/>
            <w:rFonts w:ascii="Century Schoolbook" w:hAnsi="Century Schoolbook"/>
            <w:noProof/>
            <w:sz w:val="24"/>
            <w:szCs w:val="24"/>
          </w:rPr>
          <w:t>4.5</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Conclusion: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_Toc231215260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121</w:t>
        </w:r>
        <w:r w:rsidRPr="00181B41">
          <w:rPr>
            <w:rFonts w:ascii="Century Schoolbook" w:hAnsi="Century Schoolbook"/>
            <w:noProof/>
            <w:webHidden/>
            <w:sz w:val="24"/>
            <w:szCs w:val="24"/>
          </w:rPr>
          <w:fldChar w:fldCharType="end"/>
        </w:r>
      </w:hyperlink>
    </w:p>
    <w:p w14:paraId="691F7516" w14:textId="0C36862E"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61" w:history="1">
        <w:r w:rsidRPr="00181B41">
          <w:rPr>
            <w:rStyle w:val="Hyperlink"/>
            <w:rFonts w:ascii="Century Schoolbook" w:hAnsi="Century Schoolbook"/>
            <w:noProof/>
            <w:sz w:val="24"/>
            <w:szCs w:val="24"/>
          </w:rPr>
          <w:t>Chapter 5: Working on the Farm: Acts of Citizenship and Accommodative Resistance</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_Toc231215261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123</w:t>
        </w:r>
        <w:r w:rsidRPr="00181B41">
          <w:rPr>
            <w:rFonts w:ascii="Century Schoolbook" w:hAnsi="Century Schoolbook"/>
            <w:noProof/>
            <w:webHidden/>
            <w:sz w:val="24"/>
            <w:szCs w:val="24"/>
          </w:rPr>
          <w:fldChar w:fldCharType="end"/>
        </w:r>
      </w:hyperlink>
    </w:p>
    <w:p w14:paraId="76DBBE48" w14:textId="2B73F1A1"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63" w:history="1">
        <w:r w:rsidRPr="00181B41">
          <w:rPr>
            <w:rStyle w:val="Hyperlink"/>
            <w:rFonts w:ascii="Century Schoolbook" w:hAnsi="Century Schoolbook"/>
            <w:noProof/>
            <w:sz w:val="24"/>
            <w:szCs w:val="24"/>
          </w:rPr>
          <w:t>5.1</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Introduction: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_Toc231215263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123</w:t>
        </w:r>
        <w:r w:rsidRPr="00181B41">
          <w:rPr>
            <w:rFonts w:ascii="Century Schoolbook" w:hAnsi="Century Schoolbook"/>
            <w:noProof/>
            <w:webHidden/>
            <w:sz w:val="24"/>
            <w:szCs w:val="24"/>
          </w:rPr>
          <w:fldChar w:fldCharType="end"/>
        </w:r>
      </w:hyperlink>
    </w:p>
    <w:p w14:paraId="671FC292" w14:textId="7740D9B9"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64" w:history="1">
        <w:r w:rsidRPr="00181B41">
          <w:rPr>
            <w:rStyle w:val="Hyperlink"/>
            <w:rFonts w:ascii="Century Schoolbook" w:hAnsi="Century Schoolbook"/>
            <w:noProof/>
            <w:sz w:val="24"/>
            <w:szCs w:val="24"/>
          </w:rPr>
          <w:t>5.2</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The Broadwater Farm Youth Association: A Brief History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_Toc231215264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124</w:t>
        </w:r>
        <w:r w:rsidRPr="00181B41">
          <w:rPr>
            <w:rFonts w:ascii="Century Schoolbook" w:hAnsi="Century Schoolbook"/>
            <w:noProof/>
            <w:webHidden/>
            <w:sz w:val="24"/>
            <w:szCs w:val="24"/>
          </w:rPr>
          <w:fldChar w:fldCharType="end"/>
        </w:r>
      </w:hyperlink>
    </w:p>
    <w:p w14:paraId="487842F7" w14:textId="6D7D23E4"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65" w:history="1">
        <w:r w:rsidRPr="00181B41">
          <w:rPr>
            <w:rStyle w:val="Hyperlink"/>
            <w:rFonts w:ascii="Century Schoolbook" w:hAnsi="Century Schoolbook"/>
            <w:noProof/>
            <w:sz w:val="24"/>
            <w:szCs w:val="24"/>
          </w:rPr>
          <w:t>5.3</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Data and Methods: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_Toc231215265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128</w:t>
        </w:r>
        <w:r w:rsidRPr="00181B41">
          <w:rPr>
            <w:rFonts w:ascii="Century Schoolbook" w:hAnsi="Century Schoolbook"/>
            <w:noProof/>
            <w:webHidden/>
            <w:sz w:val="24"/>
            <w:szCs w:val="24"/>
          </w:rPr>
          <w:fldChar w:fldCharType="end"/>
        </w:r>
      </w:hyperlink>
    </w:p>
    <w:p w14:paraId="48ADD519" w14:textId="6DE475B0"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66" w:history="1">
        <w:r w:rsidRPr="00181B41">
          <w:rPr>
            <w:rStyle w:val="Hyperlink"/>
            <w:rFonts w:ascii="Century Schoolbook" w:hAnsi="Century Schoolbook"/>
            <w:noProof/>
            <w:sz w:val="24"/>
            <w:szCs w:val="24"/>
          </w:rPr>
          <w:t>5.4</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Acts of Citizenship Today; Authoritarian Neoliberalism Yesterday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_Toc231215266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129</w:t>
        </w:r>
        <w:r w:rsidRPr="00181B41">
          <w:rPr>
            <w:rFonts w:ascii="Century Schoolbook" w:hAnsi="Century Schoolbook"/>
            <w:noProof/>
            <w:webHidden/>
            <w:sz w:val="24"/>
            <w:szCs w:val="24"/>
          </w:rPr>
          <w:fldChar w:fldCharType="end"/>
        </w:r>
      </w:hyperlink>
    </w:p>
    <w:p w14:paraId="4FD4F1FA" w14:textId="0E6C7350"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67" w:history="1">
        <w:r w:rsidRPr="00181B41">
          <w:rPr>
            <w:rStyle w:val="Hyperlink"/>
            <w:rFonts w:ascii="Century Schoolbook" w:hAnsi="Century Schoolbook"/>
            <w:noProof/>
            <w:sz w:val="24"/>
            <w:szCs w:val="24"/>
          </w:rPr>
          <w:t>5.4.1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Citizenship beyond Status: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_Toc231215267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129</w:t>
        </w:r>
        <w:r w:rsidRPr="00181B41">
          <w:rPr>
            <w:rFonts w:ascii="Century Schoolbook" w:hAnsi="Century Schoolbook"/>
            <w:noProof/>
            <w:webHidden/>
            <w:sz w:val="24"/>
            <w:szCs w:val="24"/>
          </w:rPr>
          <w:fldChar w:fldCharType="end"/>
        </w:r>
      </w:hyperlink>
    </w:p>
    <w:p w14:paraId="3753F21E" w14:textId="4CCB4BE0"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68" w:history="1">
        <w:r w:rsidRPr="00181B41">
          <w:rPr>
            <w:rStyle w:val="Hyperlink"/>
            <w:rFonts w:ascii="Century Schoolbook" w:hAnsi="Century Schoolbook"/>
            <w:noProof/>
            <w:sz w:val="24"/>
            <w:szCs w:val="24"/>
          </w:rPr>
          <w:t>5.4.2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Authoritarian Neoliberalism:</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_Toc231215268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130</w:t>
        </w:r>
        <w:r w:rsidRPr="00181B41">
          <w:rPr>
            <w:rFonts w:ascii="Century Schoolbook" w:hAnsi="Century Schoolbook"/>
            <w:noProof/>
            <w:webHidden/>
            <w:sz w:val="24"/>
            <w:szCs w:val="24"/>
          </w:rPr>
          <w:fldChar w:fldCharType="end"/>
        </w:r>
      </w:hyperlink>
    </w:p>
    <w:p w14:paraId="2A7C2AC3" w14:textId="36CDC646"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69" w:history="1">
        <w:r w:rsidRPr="00181B41">
          <w:rPr>
            <w:rStyle w:val="Hyperlink"/>
            <w:rFonts w:ascii="Century Schoolbook" w:hAnsi="Century Schoolbook"/>
            <w:noProof/>
            <w:sz w:val="24"/>
            <w:szCs w:val="24"/>
          </w:rPr>
          <w:t>5.5</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Resistance in the time of Authoritarian Neoliberalism:</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_Toc231215269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132</w:t>
        </w:r>
        <w:r w:rsidRPr="00181B41">
          <w:rPr>
            <w:rFonts w:ascii="Century Schoolbook" w:hAnsi="Century Schoolbook"/>
            <w:noProof/>
            <w:webHidden/>
            <w:sz w:val="24"/>
            <w:szCs w:val="24"/>
          </w:rPr>
          <w:fldChar w:fldCharType="end"/>
        </w:r>
      </w:hyperlink>
    </w:p>
    <w:p w14:paraId="788147B7" w14:textId="138E1885"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70" w:history="1">
        <w:r w:rsidRPr="00181B41">
          <w:rPr>
            <w:rStyle w:val="Hyperlink"/>
            <w:rFonts w:ascii="Century Schoolbook" w:hAnsi="Century Schoolbook"/>
            <w:noProof/>
            <w:sz w:val="24"/>
            <w:szCs w:val="24"/>
          </w:rPr>
          <w:t>5.5.1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Authoritarian Neoliberalism during Thatcher:</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_Toc231215270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132</w:t>
        </w:r>
        <w:r w:rsidRPr="00181B41">
          <w:rPr>
            <w:rFonts w:ascii="Century Schoolbook" w:hAnsi="Century Schoolbook"/>
            <w:noProof/>
            <w:webHidden/>
            <w:sz w:val="24"/>
            <w:szCs w:val="24"/>
          </w:rPr>
          <w:fldChar w:fldCharType="end"/>
        </w:r>
      </w:hyperlink>
    </w:p>
    <w:p w14:paraId="12A91F42" w14:textId="7B64EDB0"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71" w:history="1">
        <w:r w:rsidRPr="00181B41">
          <w:rPr>
            <w:rStyle w:val="Hyperlink"/>
            <w:rFonts w:ascii="Century Schoolbook" w:hAnsi="Century Schoolbook"/>
            <w:noProof/>
            <w:sz w:val="24"/>
            <w:szCs w:val="24"/>
          </w:rPr>
          <w:t>5.5.2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Resistance through Accommodation: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_Toc231215271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135</w:t>
        </w:r>
        <w:r w:rsidRPr="00181B41">
          <w:rPr>
            <w:rFonts w:ascii="Century Schoolbook" w:hAnsi="Century Schoolbook"/>
            <w:noProof/>
            <w:webHidden/>
            <w:sz w:val="24"/>
            <w:szCs w:val="24"/>
          </w:rPr>
          <w:fldChar w:fldCharType="end"/>
        </w:r>
      </w:hyperlink>
    </w:p>
    <w:p w14:paraId="7D20F07A" w14:textId="05DA8E3B"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72" w:history="1">
        <w:r w:rsidRPr="00181B41">
          <w:rPr>
            <w:rStyle w:val="Hyperlink"/>
            <w:rFonts w:ascii="Century Schoolbook" w:hAnsi="Century Schoolbook"/>
            <w:noProof/>
            <w:sz w:val="24"/>
            <w:szCs w:val="24"/>
          </w:rPr>
          <w:t>5.6</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The Association’s Acts of Citizenship:</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_Toc231215272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137</w:t>
        </w:r>
        <w:r w:rsidRPr="00181B41">
          <w:rPr>
            <w:rFonts w:ascii="Century Schoolbook" w:hAnsi="Century Schoolbook"/>
            <w:noProof/>
            <w:webHidden/>
            <w:sz w:val="24"/>
            <w:szCs w:val="24"/>
          </w:rPr>
          <w:fldChar w:fldCharType="end"/>
        </w:r>
      </w:hyperlink>
    </w:p>
    <w:p w14:paraId="73B67FCA" w14:textId="0875CD43"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73" w:history="1">
        <w:r w:rsidRPr="00181B41">
          <w:rPr>
            <w:rStyle w:val="Hyperlink"/>
            <w:rFonts w:ascii="Century Schoolbook" w:hAnsi="Century Schoolbook"/>
            <w:noProof/>
            <w:sz w:val="24"/>
            <w:szCs w:val="24"/>
          </w:rPr>
          <w:t>5.7</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Conclusion: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_Toc231215273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142</w:t>
        </w:r>
        <w:r w:rsidRPr="00181B41">
          <w:rPr>
            <w:rFonts w:ascii="Century Schoolbook" w:hAnsi="Century Schoolbook"/>
            <w:noProof/>
            <w:webHidden/>
            <w:sz w:val="24"/>
            <w:szCs w:val="24"/>
          </w:rPr>
          <w:fldChar w:fldCharType="end"/>
        </w:r>
      </w:hyperlink>
    </w:p>
    <w:p w14:paraId="3B5151CF" w14:textId="62ACDD96"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74" w:history="1">
        <w:r w:rsidRPr="00181B41">
          <w:rPr>
            <w:rStyle w:val="Hyperlink"/>
            <w:rFonts w:ascii="Century Schoolbook" w:hAnsi="Century Schoolbook"/>
            <w:noProof/>
            <w:sz w:val="24"/>
            <w:szCs w:val="24"/>
          </w:rPr>
          <w:t>5.8</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Interviewees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_Toc231215274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145</w:t>
        </w:r>
        <w:r w:rsidRPr="00181B41">
          <w:rPr>
            <w:rFonts w:ascii="Century Schoolbook" w:hAnsi="Century Schoolbook"/>
            <w:noProof/>
            <w:webHidden/>
            <w:sz w:val="24"/>
            <w:szCs w:val="24"/>
          </w:rPr>
          <w:fldChar w:fldCharType="end"/>
        </w:r>
      </w:hyperlink>
    </w:p>
    <w:p w14:paraId="39BC3B8E" w14:textId="35124BF8"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75" w:history="1">
        <w:r w:rsidRPr="00181B41">
          <w:rPr>
            <w:rStyle w:val="Hyperlink"/>
            <w:rFonts w:ascii="Century Schoolbook" w:hAnsi="Century Schoolbook"/>
            <w:noProof/>
            <w:sz w:val="24"/>
            <w:szCs w:val="24"/>
          </w:rPr>
          <w:t>Chapter 6: “Personal Connections and Personal Alliances:” Leveraging Local Electoral Politics for Power</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_Toc231215275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146</w:t>
        </w:r>
        <w:r w:rsidRPr="00181B41">
          <w:rPr>
            <w:rFonts w:ascii="Century Schoolbook" w:hAnsi="Century Schoolbook"/>
            <w:noProof/>
            <w:webHidden/>
            <w:sz w:val="24"/>
            <w:szCs w:val="24"/>
          </w:rPr>
          <w:fldChar w:fldCharType="end"/>
        </w:r>
      </w:hyperlink>
    </w:p>
    <w:p w14:paraId="054589C3" w14:textId="09504A99"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77" w:history="1">
        <w:r w:rsidRPr="00181B41">
          <w:rPr>
            <w:rStyle w:val="Hyperlink"/>
            <w:rFonts w:ascii="Century Schoolbook" w:hAnsi="Century Schoolbook"/>
            <w:noProof/>
            <w:sz w:val="24"/>
            <w:szCs w:val="24"/>
          </w:rPr>
          <w:t>6.1</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Background:</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_Toc231215277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147</w:t>
        </w:r>
        <w:r w:rsidRPr="00181B41">
          <w:rPr>
            <w:rFonts w:ascii="Century Schoolbook" w:hAnsi="Century Schoolbook"/>
            <w:noProof/>
            <w:webHidden/>
            <w:sz w:val="24"/>
            <w:szCs w:val="24"/>
          </w:rPr>
          <w:fldChar w:fldCharType="end"/>
        </w:r>
      </w:hyperlink>
    </w:p>
    <w:p w14:paraId="57C2A2C7" w14:textId="0BD51C2C"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78" w:history="1">
        <w:r w:rsidRPr="00181B41">
          <w:rPr>
            <w:rStyle w:val="Hyperlink"/>
            <w:rFonts w:ascii="Century Schoolbook" w:hAnsi="Century Schoolbook"/>
            <w:noProof/>
            <w:sz w:val="24"/>
            <w:szCs w:val="24"/>
          </w:rPr>
          <w:t>6.2</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Understanding the State-Party Nexus: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_Toc231215278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148</w:t>
        </w:r>
        <w:r w:rsidRPr="00181B41">
          <w:rPr>
            <w:rFonts w:ascii="Century Schoolbook" w:hAnsi="Century Schoolbook"/>
            <w:noProof/>
            <w:webHidden/>
            <w:sz w:val="24"/>
            <w:szCs w:val="24"/>
          </w:rPr>
          <w:fldChar w:fldCharType="end"/>
        </w:r>
      </w:hyperlink>
    </w:p>
    <w:p w14:paraId="60EB9B2F" w14:textId="502DF377"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79" w:history="1">
        <w:r w:rsidRPr="00181B41">
          <w:rPr>
            <w:rStyle w:val="Hyperlink"/>
            <w:rFonts w:ascii="Century Schoolbook" w:hAnsi="Century Schoolbook"/>
            <w:noProof/>
            <w:sz w:val="24"/>
            <w:szCs w:val="24"/>
          </w:rPr>
          <w:t>6.2.1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The State and the Party: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_Toc231215279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148</w:t>
        </w:r>
        <w:r w:rsidRPr="00181B41">
          <w:rPr>
            <w:rFonts w:ascii="Century Schoolbook" w:hAnsi="Century Schoolbook"/>
            <w:noProof/>
            <w:webHidden/>
            <w:sz w:val="24"/>
            <w:szCs w:val="24"/>
          </w:rPr>
          <w:fldChar w:fldCharType="end"/>
        </w:r>
      </w:hyperlink>
    </w:p>
    <w:p w14:paraId="49AD53AF" w14:textId="2FDDCB65"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80" w:history="1">
        <w:r w:rsidRPr="00181B41">
          <w:rPr>
            <w:rStyle w:val="Hyperlink"/>
            <w:rFonts w:ascii="Century Schoolbook" w:hAnsi="Century Schoolbook"/>
            <w:noProof/>
            <w:sz w:val="24"/>
            <w:szCs w:val="24"/>
          </w:rPr>
          <w:t>6.2.2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Badiou’s State Revolutionary and the Event:</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_Toc231215280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150</w:t>
        </w:r>
        <w:r w:rsidRPr="00181B41">
          <w:rPr>
            <w:rFonts w:ascii="Century Schoolbook" w:hAnsi="Century Schoolbook"/>
            <w:noProof/>
            <w:webHidden/>
            <w:sz w:val="24"/>
            <w:szCs w:val="24"/>
          </w:rPr>
          <w:fldChar w:fldCharType="end"/>
        </w:r>
      </w:hyperlink>
    </w:p>
    <w:p w14:paraId="197032D9" w14:textId="6280DB8E"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81" w:history="1">
        <w:r w:rsidRPr="00181B41">
          <w:rPr>
            <w:rStyle w:val="Hyperlink"/>
            <w:rFonts w:ascii="Century Schoolbook" w:hAnsi="Century Schoolbook"/>
            <w:noProof/>
            <w:sz w:val="24"/>
            <w:szCs w:val="24"/>
          </w:rPr>
          <w:t>6.3</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Data and Methods: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_Toc231215281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152</w:t>
        </w:r>
        <w:r w:rsidRPr="00181B41">
          <w:rPr>
            <w:rFonts w:ascii="Century Schoolbook" w:hAnsi="Century Schoolbook"/>
            <w:noProof/>
            <w:webHidden/>
            <w:sz w:val="24"/>
            <w:szCs w:val="24"/>
          </w:rPr>
          <w:fldChar w:fldCharType="end"/>
        </w:r>
      </w:hyperlink>
    </w:p>
    <w:p w14:paraId="005B733F" w14:textId="66244D2E"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82" w:history="1">
        <w:r w:rsidRPr="00181B41">
          <w:rPr>
            <w:rStyle w:val="Hyperlink"/>
            <w:rFonts w:ascii="Century Schoolbook" w:hAnsi="Century Schoolbook"/>
            <w:noProof/>
            <w:sz w:val="24"/>
            <w:szCs w:val="24"/>
          </w:rPr>
          <w:t>6.4</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The Hierarchy of Voices and the Party: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_Toc231215282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154</w:t>
        </w:r>
        <w:r w:rsidRPr="00181B41">
          <w:rPr>
            <w:rFonts w:ascii="Century Schoolbook" w:hAnsi="Century Schoolbook"/>
            <w:noProof/>
            <w:webHidden/>
            <w:sz w:val="24"/>
            <w:szCs w:val="24"/>
          </w:rPr>
          <w:fldChar w:fldCharType="end"/>
        </w:r>
      </w:hyperlink>
    </w:p>
    <w:p w14:paraId="4F60E525" w14:textId="555C458B"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83" w:history="1">
        <w:r w:rsidRPr="00181B41">
          <w:rPr>
            <w:rStyle w:val="Hyperlink"/>
            <w:rFonts w:ascii="Century Schoolbook" w:hAnsi="Century Schoolbook"/>
            <w:noProof/>
            <w:sz w:val="24"/>
            <w:szCs w:val="24"/>
          </w:rPr>
          <w:t>6.5</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The State Revolutionary and the StopHDV Subject:</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_Toc231215283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158</w:t>
        </w:r>
        <w:r w:rsidRPr="00181B41">
          <w:rPr>
            <w:rFonts w:ascii="Century Schoolbook" w:hAnsi="Century Schoolbook"/>
            <w:noProof/>
            <w:webHidden/>
            <w:sz w:val="24"/>
            <w:szCs w:val="24"/>
          </w:rPr>
          <w:fldChar w:fldCharType="end"/>
        </w:r>
      </w:hyperlink>
    </w:p>
    <w:p w14:paraId="53438B31" w14:textId="1844B89F"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84" w:history="1">
        <w:r w:rsidRPr="00181B41">
          <w:rPr>
            <w:rStyle w:val="Hyperlink"/>
            <w:rFonts w:ascii="Century Schoolbook" w:hAnsi="Century Schoolbook"/>
            <w:noProof/>
            <w:sz w:val="24"/>
            <w:szCs w:val="24"/>
          </w:rPr>
          <w:t>6.6</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The Event and its afterlives: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_Toc231215284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165</w:t>
        </w:r>
        <w:r w:rsidRPr="00181B41">
          <w:rPr>
            <w:rFonts w:ascii="Century Schoolbook" w:hAnsi="Century Schoolbook"/>
            <w:noProof/>
            <w:webHidden/>
            <w:sz w:val="24"/>
            <w:szCs w:val="24"/>
          </w:rPr>
          <w:fldChar w:fldCharType="end"/>
        </w:r>
      </w:hyperlink>
    </w:p>
    <w:p w14:paraId="613FBB5A" w14:textId="7525F959"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85" w:history="1">
        <w:r w:rsidRPr="00181B41">
          <w:rPr>
            <w:rStyle w:val="Hyperlink"/>
            <w:rFonts w:ascii="Century Schoolbook" w:hAnsi="Century Schoolbook"/>
            <w:noProof/>
            <w:sz w:val="24"/>
            <w:szCs w:val="24"/>
          </w:rPr>
          <w:t>6.7</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Conclusion: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_Toc231215285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171</w:t>
        </w:r>
        <w:r w:rsidRPr="00181B41">
          <w:rPr>
            <w:rFonts w:ascii="Century Schoolbook" w:hAnsi="Century Schoolbook"/>
            <w:noProof/>
            <w:webHidden/>
            <w:sz w:val="24"/>
            <w:szCs w:val="24"/>
          </w:rPr>
          <w:fldChar w:fldCharType="end"/>
        </w:r>
      </w:hyperlink>
    </w:p>
    <w:p w14:paraId="650362C1" w14:textId="23C37F0F"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86" w:history="1">
        <w:r w:rsidRPr="00181B41">
          <w:rPr>
            <w:rStyle w:val="Hyperlink"/>
            <w:rFonts w:ascii="Century Schoolbook" w:hAnsi="Century Schoolbook"/>
            <w:noProof/>
            <w:sz w:val="24"/>
            <w:szCs w:val="24"/>
          </w:rPr>
          <w:t>Chapter 7: Local Parties, Authoritarian Neoliberalism, and Urban Change in Tottenham, London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_Toc231215286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174</w:t>
        </w:r>
        <w:r w:rsidRPr="00181B41">
          <w:rPr>
            <w:rFonts w:ascii="Century Schoolbook" w:hAnsi="Century Schoolbook"/>
            <w:noProof/>
            <w:webHidden/>
            <w:sz w:val="24"/>
            <w:szCs w:val="24"/>
          </w:rPr>
          <w:fldChar w:fldCharType="end"/>
        </w:r>
      </w:hyperlink>
    </w:p>
    <w:p w14:paraId="4DF07801" w14:textId="52D74ABE"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88" w:history="1">
        <w:r w:rsidRPr="00181B41">
          <w:rPr>
            <w:rStyle w:val="Hyperlink"/>
            <w:rFonts w:ascii="Century Schoolbook" w:hAnsi="Century Schoolbook"/>
            <w:noProof/>
            <w:sz w:val="24"/>
            <w:szCs w:val="24"/>
          </w:rPr>
          <w:t>7.1</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Understanding urban authoritarian neoliberalism:</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_Toc231215288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176</w:t>
        </w:r>
        <w:r w:rsidRPr="00181B41">
          <w:rPr>
            <w:rFonts w:ascii="Century Schoolbook" w:hAnsi="Century Schoolbook"/>
            <w:noProof/>
            <w:webHidden/>
            <w:sz w:val="24"/>
            <w:szCs w:val="24"/>
          </w:rPr>
          <w:fldChar w:fldCharType="end"/>
        </w:r>
      </w:hyperlink>
    </w:p>
    <w:p w14:paraId="1D389BCD" w14:textId="4E04F416"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89" w:history="1">
        <w:r w:rsidRPr="00181B41">
          <w:rPr>
            <w:rStyle w:val="Hyperlink"/>
            <w:rFonts w:ascii="Century Schoolbook" w:hAnsi="Century Schoolbook"/>
            <w:noProof/>
            <w:sz w:val="24"/>
            <w:szCs w:val="24"/>
          </w:rPr>
          <w:t>7.2</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Methods: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_Toc231215289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176</w:t>
        </w:r>
        <w:r w:rsidRPr="00181B41">
          <w:rPr>
            <w:rFonts w:ascii="Century Schoolbook" w:hAnsi="Century Schoolbook"/>
            <w:noProof/>
            <w:webHidden/>
            <w:sz w:val="24"/>
            <w:szCs w:val="24"/>
          </w:rPr>
          <w:fldChar w:fldCharType="end"/>
        </w:r>
      </w:hyperlink>
    </w:p>
    <w:p w14:paraId="1FBDCE5B" w14:textId="4C1C9BB7"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90" w:history="1">
        <w:r w:rsidRPr="00181B41">
          <w:rPr>
            <w:rStyle w:val="Hyperlink"/>
            <w:rFonts w:ascii="Century Schoolbook" w:hAnsi="Century Schoolbook"/>
            <w:noProof/>
            <w:sz w:val="24"/>
            <w:szCs w:val="24"/>
          </w:rPr>
          <w:t>7.3</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Authoritarian Neoliberalism in High Road West:</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_Toc231215290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177</w:t>
        </w:r>
        <w:r w:rsidRPr="00181B41">
          <w:rPr>
            <w:rFonts w:ascii="Century Schoolbook" w:hAnsi="Century Schoolbook"/>
            <w:noProof/>
            <w:webHidden/>
            <w:sz w:val="24"/>
            <w:szCs w:val="24"/>
          </w:rPr>
          <w:fldChar w:fldCharType="end"/>
        </w:r>
      </w:hyperlink>
    </w:p>
    <w:p w14:paraId="4FA24C74" w14:textId="776DEEB1"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91" w:history="1">
        <w:r w:rsidRPr="00181B41">
          <w:rPr>
            <w:rStyle w:val="Hyperlink"/>
            <w:rFonts w:ascii="Century Schoolbook" w:hAnsi="Century Schoolbook"/>
            <w:noProof/>
            <w:sz w:val="24"/>
            <w:szCs w:val="24"/>
          </w:rPr>
          <w:t>7.3.1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High Road West: Context and Policy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_Toc231215291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178</w:t>
        </w:r>
        <w:r w:rsidRPr="00181B41">
          <w:rPr>
            <w:rFonts w:ascii="Century Schoolbook" w:hAnsi="Century Schoolbook"/>
            <w:noProof/>
            <w:webHidden/>
            <w:sz w:val="24"/>
            <w:szCs w:val="24"/>
          </w:rPr>
          <w:fldChar w:fldCharType="end"/>
        </w:r>
      </w:hyperlink>
    </w:p>
    <w:p w14:paraId="205BDE5A" w14:textId="572C1526"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92" w:history="1">
        <w:r w:rsidRPr="00181B41">
          <w:rPr>
            <w:rStyle w:val="Hyperlink"/>
            <w:rFonts w:ascii="Century Schoolbook" w:hAnsi="Century Schoolbook"/>
            <w:noProof/>
            <w:sz w:val="24"/>
            <w:szCs w:val="24"/>
          </w:rPr>
          <w:t>7.3.2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Moral and Cultural Discourses: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_Toc231215292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182</w:t>
        </w:r>
        <w:r w:rsidRPr="00181B41">
          <w:rPr>
            <w:rFonts w:ascii="Century Schoolbook" w:hAnsi="Century Schoolbook"/>
            <w:noProof/>
            <w:webHidden/>
            <w:sz w:val="24"/>
            <w:szCs w:val="24"/>
          </w:rPr>
          <w:fldChar w:fldCharType="end"/>
        </w:r>
      </w:hyperlink>
    </w:p>
    <w:p w14:paraId="7F6DDEDC" w14:textId="5CC94345"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93" w:history="1">
        <w:r w:rsidRPr="00181B41">
          <w:rPr>
            <w:rStyle w:val="Hyperlink"/>
            <w:rFonts w:ascii="Century Schoolbook" w:hAnsi="Century Schoolbook"/>
            <w:noProof/>
            <w:sz w:val="24"/>
            <w:szCs w:val="24"/>
          </w:rPr>
          <w:t>7.3.3</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Community Engagement:</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_Toc231215293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186</w:t>
        </w:r>
        <w:r w:rsidRPr="00181B41">
          <w:rPr>
            <w:rFonts w:ascii="Century Schoolbook" w:hAnsi="Century Schoolbook"/>
            <w:noProof/>
            <w:webHidden/>
            <w:sz w:val="24"/>
            <w:szCs w:val="24"/>
          </w:rPr>
          <w:fldChar w:fldCharType="end"/>
        </w:r>
      </w:hyperlink>
    </w:p>
    <w:p w14:paraId="350B98A8" w14:textId="55D60BCD"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94" w:history="1">
        <w:r w:rsidRPr="00181B41">
          <w:rPr>
            <w:rStyle w:val="Hyperlink"/>
            <w:rFonts w:ascii="Century Schoolbook" w:hAnsi="Century Schoolbook"/>
            <w:noProof/>
            <w:sz w:val="24"/>
            <w:szCs w:val="24"/>
          </w:rPr>
          <w:t>7.4</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Conclusion: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_Toc231215294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194</w:t>
        </w:r>
        <w:r w:rsidRPr="00181B41">
          <w:rPr>
            <w:rFonts w:ascii="Century Schoolbook" w:hAnsi="Century Schoolbook"/>
            <w:noProof/>
            <w:webHidden/>
            <w:sz w:val="24"/>
            <w:szCs w:val="24"/>
          </w:rPr>
          <w:fldChar w:fldCharType="end"/>
        </w:r>
      </w:hyperlink>
    </w:p>
    <w:p w14:paraId="18EC2CE4" w14:textId="10D7E679"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295" w:history="1">
        <w:r w:rsidRPr="00181B41">
          <w:rPr>
            <w:rStyle w:val="Hyperlink"/>
            <w:rFonts w:ascii="Century Schoolbook" w:hAnsi="Century Schoolbook"/>
            <w:noProof/>
            <w:sz w:val="24"/>
            <w:szCs w:val="24"/>
          </w:rPr>
          <w:t>Chapter 8: Conclusion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_Toc231215295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197</w:t>
        </w:r>
        <w:r w:rsidRPr="00181B41">
          <w:rPr>
            <w:rFonts w:ascii="Century Schoolbook" w:hAnsi="Century Schoolbook"/>
            <w:noProof/>
            <w:webHidden/>
            <w:sz w:val="24"/>
            <w:szCs w:val="24"/>
          </w:rPr>
          <w:fldChar w:fldCharType="end"/>
        </w:r>
      </w:hyperlink>
    </w:p>
    <w:p w14:paraId="3782E1B9" w14:textId="40B39155"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97" w:history="1">
        <w:r w:rsidRPr="00181B41">
          <w:rPr>
            <w:rStyle w:val="Hyperlink"/>
            <w:rFonts w:ascii="Century Schoolbook" w:hAnsi="Century Schoolbook"/>
            <w:noProof/>
            <w:sz w:val="24"/>
            <w:szCs w:val="24"/>
          </w:rPr>
          <w:t>8.1</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Introduction:</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_Toc231215297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197</w:t>
        </w:r>
        <w:r w:rsidRPr="00181B41">
          <w:rPr>
            <w:rFonts w:ascii="Century Schoolbook" w:hAnsi="Century Schoolbook"/>
            <w:noProof/>
            <w:webHidden/>
            <w:sz w:val="24"/>
            <w:szCs w:val="24"/>
          </w:rPr>
          <w:fldChar w:fldCharType="end"/>
        </w:r>
      </w:hyperlink>
    </w:p>
    <w:p w14:paraId="331A4735" w14:textId="4F348AD5"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298" w:history="1">
        <w:r w:rsidRPr="00181B41">
          <w:rPr>
            <w:rStyle w:val="Hyperlink"/>
            <w:rFonts w:ascii="Century Schoolbook" w:hAnsi="Century Schoolbook"/>
            <w:noProof/>
            <w:sz w:val="24"/>
            <w:szCs w:val="24"/>
          </w:rPr>
          <w:t>8.2</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Contributions and Findings: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_Toc231215298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198</w:t>
        </w:r>
        <w:r w:rsidRPr="00181B41">
          <w:rPr>
            <w:rFonts w:ascii="Century Schoolbook" w:hAnsi="Century Schoolbook"/>
            <w:noProof/>
            <w:webHidden/>
            <w:sz w:val="24"/>
            <w:szCs w:val="24"/>
          </w:rPr>
          <w:fldChar w:fldCharType="end"/>
        </w:r>
      </w:hyperlink>
    </w:p>
    <w:p w14:paraId="122A7D4B" w14:textId="1079B85B"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299" w:history="1">
        <w:r w:rsidRPr="00181B41">
          <w:rPr>
            <w:rStyle w:val="Hyperlink"/>
            <w:rFonts w:ascii="Century Schoolbook" w:hAnsi="Century Schoolbook"/>
            <w:noProof/>
            <w:sz w:val="24"/>
            <w:szCs w:val="24"/>
          </w:rPr>
          <w:t>8.2.1</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For a Multiscalar State-Party Nexus: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_Toc231215299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199</w:t>
        </w:r>
        <w:r w:rsidRPr="00181B41">
          <w:rPr>
            <w:rFonts w:ascii="Century Schoolbook" w:hAnsi="Century Schoolbook"/>
            <w:noProof/>
            <w:webHidden/>
            <w:sz w:val="24"/>
            <w:szCs w:val="24"/>
          </w:rPr>
          <w:fldChar w:fldCharType="end"/>
        </w:r>
      </w:hyperlink>
    </w:p>
    <w:p w14:paraId="03157334" w14:textId="6FAC7D47"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300" w:history="1">
        <w:r w:rsidRPr="00181B41">
          <w:rPr>
            <w:rStyle w:val="Hyperlink"/>
            <w:rFonts w:ascii="Century Schoolbook" w:hAnsi="Century Schoolbook"/>
            <w:noProof/>
            <w:sz w:val="24"/>
            <w:szCs w:val="24"/>
          </w:rPr>
          <w:t>8.2.2</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For the Political Party in Authoritarian Neoliberalism:</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_Toc231215300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201</w:t>
        </w:r>
        <w:r w:rsidRPr="00181B41">
          <w:rPr>
            <w:rFonts w:ascii="Century Schoolbook" w:hAnsi="Century Schoolbook"/>
            <w:noProof/>
            <w:webHidden/>
            <w:sz w:val="24"/>
            <w:szCs w:val="24"/>
          </w:rPr>
          <w:fldChar w:fldCharType="end"/>
        </w:r>
      </w:hyperlink>
    </w:p>
    <w:p w14:paraId="68F133E8" w14:textId="3BB8A6BB" w:rsidR="00181B41" w:rsidRPr="00181B41" w:rsidRDefault="00181B41">
      <w:pPr>
        <w:pStyle w:val="TOC3"/>
        <w:tabs>
          <w:tab w:val="left" w:pos="718"/>
          <w:tab w:val="right" w:pos="9016"/>
        </w:tabs>
        <w:rPr>
          <w:rFonts w:ascii="Century Schoolbook" w:eastAsiaTheme="minorEastAsia" w:hAnsi="Century Schoolbook"/>
          <w:smallCaps w:val="0"/>
          <w:noProof/>
          <w:sz w:val="24"/>
          <w:szCs w:val="24"/>
          <w:lang w:eastAsia="en-GB"/>
        </w:rPr>
      </w:pPr>
      <w:hyperlink w:anchor="_Toc231215301" w:history="1">
        <w:r w:rsidRPr="00181B41">
          <w:rPr>
            <w:rStyle w:val="Hyperlink"/>
            <w:rFonts w:ascii="Century Schoolbook" w:hAnsi="Century Schoolbook"/>
            <w:noProof/>
            <w:sz w:val="24"/>
            <w:szCs w:val="24"/>
          </w:rPr>
          <w:t>8.2.3</w:t>
        </w:r>
        <w:r w:rsidRPr="00181B41">
          <w:rPr>
            <w:rFonts w:ascii="Century Schoolbook" w:eastAsiaTheme="minorEastAsia" w:hAnsi="Century Schoolbook"/>
            <w:smallCaps w:val="0"/>
            <w:noProof/>
            <w:sz w:val="24"/>
            <w:szCs w:val="24"/>
            <w:lang w:eastAsia="en-GB"/>
          </w:rPr>
          <w:tab/>
        </w:r>
        <w:r w:rsidRPr="00181B41">
          <w:rPr>
            <w:rStyle w:val="Hyperlink"/>
            <w:rFonts w:ascii="Century Schoolbook" w:hAnsi="Century Schoolbook"/>
            <w:noProof/>
            <w:sz w:val="24"/>
            <w:szCs w:val="24"/>
          </w:rPr>
          <w:t>For New Activist Frameworks: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_Toc231215301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203</w:t>
        </w:r>
        <w:r w:rsidRPr="00181B41">
          <w:rPr>
            <w:rFonts w:ascii="Century Schoolbook" w:hAnsi="Century Schoolbook"/>
            <w:noProof/>
            <w:webHidden/>
            <w:sz w:val="24"/>
            <w:szCs w:val="24"/>
          </w:rPr>
          <w:fldChar w:fldCharType="end"/>
        </w:r>
      </w:hyperlink>
    </w:p>
    <w:p w14:paraId="086136F6" w14:textId="199A82A2"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302" w:history="1">
        <w:r w:rsidRPr="00181B41">
          <w:rPr>
            <w:rStyle w:val="Hyperlink"/>
            <w:rFonts w:ascii="Century Schoolbook" w:hAnsi="Century Schoolbook"/>
            <w:noProof/>
            <w:sz w:val="24"/>
            <w:szCs w:val="24"/>
          </w:rPr>
          <w:t>8.3</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Future Research:</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_Toc231215302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207</w:t>
        </w:r>
        <w:r w:rsidRPr="00181B41">
          <w:rPr>
            <w:rFonts w:ascii="Century Schoolbook" w:hAnsi="Century Schoolbook"/>
            <w:noProof/>
            <w:webHidden/>
            <w:sz w:val="24"/>
            <w:szCs w:val="24"/>
          </w:rPr>
          <w:fldChar w:fldCharType="end"/>
        </w:r>
      </w:hyperlink>
    </w:p>
    <w:p w14:paraId="14862029" w14:textId="1ECEAD9D"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303" w:history="1">
        <w:r w:rsidRPr="00181B41">
          <w:rPr>
            <w:rStyle w:val="Hyperlink"/>
            <w:rFonts w:ascii="Century Schoolbook" w:hAnsi="Century Schoolbook"/>
            <w:noProof/>
            <w:sz w:val="24"/>
            <w:szCs w:val="24"/>
          </w:rPr>
          <w:t>8.4</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The Party is Dead—Long Live the Party?</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_Toc231215303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208</w:t>
        </w:r>
        <w:r w:rsidRPr="00181B41">
          <w:rPr>
            <w:rFonts w:ascii="Century Schoolbook" w:hAnsi="Century Schoolbook"/>
            <w:noProof/>
            <w:webHidden/>
            <w:sz w:val="24"/>
            <w:szCs w:val="24"/>
          </w:rPr>
          <w:fldChar w:fldCharType="end"/>
        </w:r>
      </w:hyperlink>
    </w:p>
    <w:p w14:paraId="788C7F7C" w14:textId="31DE6F03"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304" w:history="1">
        <w:r w:rsidRPr="00181B41">
          <w:rPr>
            <w:rStyle w:val="Hyperlink"/>
            <w:rFonts w:ascii="Century Schoolbook" w:hAnsi="Century Schoolbook"/>
            <w:noProof/>
            <w:sz w:val="24"/>
            <w:szCs w:val="24"/>
          </w:rPr>
          <w:t>Appendices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_Toc231215304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210</w:t>
        </w:r>
        <w:r w:rsidRPr="00181B41">
          <w:rPr>
            <w:rFonts w:ascii="Century Schoolbook" w:hAnsi="Century Schoolbook"/>
            <w:noProof/>
            <w:webHidden/>
            <w:sz w:val="24"/>
            <w:szCs w:val="24"/>
          </w:rPr>
          <w:fldChar w:fldCharType="end"/>
        </w:r>
      </w:hyperlink>
    </w:p>
    <w:p w14:paraId="4103B9E6" w14:textId="16DA16AC"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306" w:history="1">
        <w:r w:rsidRPr="00181B41">
          <w:rPr>
            <w:rStyle w:val="Hyperlink"/>
            <w:rFonts w:ascii="Century Schoolbook" w:hAnsi="Century Schoolbook"/>
            <w:noProof/>
            <w:sz w:val="24"/>
            <w:szCs w:val="24"/>
          </w:rPr>
          <w:t>9.1</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Appendix A – List of Council Documents: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_Toc231215306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210</w:t>
        </w:r>
        <w:r w:rsidRPr="00181B41">
          <w:rPr>
            <w:rFonts w:ascii="Century Schoolbook" w:hAnsi="Century Schoolbook"/>
            <w:noProof/>
            <w:webHidden/>
            <w:sz w:val="24"/>
            <w:szCs w:val="24"/>
          </w:rPr>
          <w:fldChar w:fldCharType="end"/>
        </w:r>
      </w:hyperlink>
    </w:p>
    <w:p w14:paraId="46FF7E27" w14:textId="0EB44659"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307" w:history="1">
        <w:r w:rsidRPr="00181B41">
          <w:rPr>
            <w:rStyle w:val="Hyperlink"/>
            <w:rFonts w:ascii="Century Schoolbook" w:hAnsi="Century Schoolbook"/>
            <w:noProof/>
            <w:sz w:val="24"/>
            <w:szCs w:val="24"/>
          </w:rPr>
          <w:t>9.2</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Appendix B – High Road West ‘Order Lands’:</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_Toc231215307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212</w:t>
        </w:r>
        <w:r w:rsidRPr="00181B41">
          <w:rPr>
            <w:rFonts w:ascii="Century Schoolbook" w:hAnsi="Century Schoolbook"/>
            <w:noProof/>
            <w:webHidden/>
            <w:sz w:val="24"/>
            <w:szCs w:val="24"/>
          </w:rPr>
          <w:fldChar w:fldCharType="end"/>
        </w:r>
      </w:hyperlink>
    </w:p>
    <w:p w14:paraId="52977097" w14:textId="30243B5F"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308" w:history="1">
        <w:r w:rsidRPr="00181B41">
          <w:rPr>
            <w:rStyle w:val="Hyperlink"/>
            <w:rFonts w:ascii="Century Schoolbook" w:hAnsi="Century Schoolbook"/>
            <w:noProof/>
            <w:sz w:val="24"/>
            <w:szCs w:val="24"/>
          </w:rPr>
          <w:t>9.3</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Appendix C – Composite Character Table:</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_Toc231215308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213</w:t>
        </w:r>
        <w:r w:rsidRPr="00181B41">
          <w:rPr>
            <w:rFonts w:ascii="Century Schoolbook" w:hAnsi="Century Schoolbook"/>
            <w:noProof/>
            <w:webHidden/>
            <w:sz w:val="24"/>
            <w:szCs w:val="24"/>
          </w:rPr>
          <w:fldChar w:fldCharType="end"/>
        </w:r>
      </w:hyperlink>
    </w:p>
    <w:p w14:paraId="16C72334" w14:textId="062BCDEE" w:rsidR="00181B41" w:rsidRPr="00181B41" w:rsidRDefault="00181B41">
      <w:pPr>
        <w:pStyle w:val="TOC2"/>
        <w:tabs>
          <w:tab w:val="left" w:pos="541"/>
          <w:tab w:val="right" w:pos="9016"/>
        </w:tabs>
        <w:rPr>
          <w:rFonts w:ascii="Century Schoolbook" w:eastAsiaTheme="minorEastAsia" w:hAnsi="Century Schoolbook"/>
          <w:b w:val="0"/>
          <w:bCs w:val="0"/>
          <w:smallCaps w:val="0"/>
          <w:noProof/>
          <w:sz w:val="24"/>
          <w:szCs w:val="24"/>
          <w:lang w:eastAsia="en-GB"/>
        </w:rPr>
      </w:pPr>
      <w:hyperlink w:anchor="_Toc231215309" w:history="1">
        <w:r w:rsidRPr="00181B41">
          <w:rPr>
            <w:rStyle w:val="Hyperlink"/>
            <w:rFonts w:ascii="Century Schoolbook" w:hAnsi="Century Schoolbook"/>
            <w:noProof/>
            <w:sz w:val="24"/>
            <w:szCs w:val="24"/>
          </w:rPr>
          <w:t>9.4</w:t>
        </w:r>
        <w:r w:rsidRPr="00181B41">
          <w:rPr>
            <w:rFonts w:ascii="Century Schoolbook" w:eastAsiaTheme="minorEastAsia" w:hAnsi="Century Schoolbook"/>
            <w:b w:val="0"/>
            <w:bCs w:val="0"/>
            <w:smallCaps w:val="0"/>
            <w:noProof/>
            <w:sz w:val="24"/>
            <w:szCs w:val="24"/>
            <w:lang w:eastAsia="en-GB"/>
          </w:rPr>
          <w:tab/>
        </w:r>
        <w:r w:rsidRPr="00181B41">
          <w:rPr>
            <w:rStyle w:val="Hyperlink"/>
            <w:rFonts w:ascii="Century Schoolbook" w:hAnsi="Century Schoolbook"/>
            <w:noProof/>
            <w:sz w:val="24"/>
            <w:szCs w:val="24"/>
          </w:rPr>
          <w:t>Appendix D – Email Conversations with Borough Staff:</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_Toc231215309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214</w:t>
        </w:r>
        <w:r w:rsidRPr="00181B41">
          <w:rPr>
            <w:rFonts w:ascii="Century Schoolbook" w:hAnsi="Century Schoolbook"/>
            <w:noProof/>
            <w:webHidden/>
            <w:sz w:val="24"/>
            <w:szCs w:val="24"/>
          </w:rPr>
          <w:fldChar w:fldCharType="end"/>
        </w:r>
      </w:hyperlink>
    </w:p>
    <w:p w14:paraId="709E4D44" w14:textId="495F1D1A" w:rsidR="00181B41" w:rsidRPr="00181B41" w:rsidRDefault="00181B41">
      <w:pPr>
        <w:pStyle w:val="TOC1"/>
        <w:tabs>
          <w:tab w:val="right" w:pos="9016"/>
        </w:tabs>
        <w:rPr>
          <w:rFonts w:ascii="Century Schoolbook" w:eastAsiaTheme="minorEastAsia" w:hAnsi="Century Schoolbook"/>
          <w:b w:val="0"/>
          <w:bCs w:val="0"/>
          <w:caps w:val="0"/>
          <w:noProof/>
          <w:sz w:val="24"/>
          <w:szCs w:val="24"/>
          <w:u w:val="none"/>
          <w:lang w:eastAsia="en-GB"/>
        </w:rPr>
      </w:pPr>
      <w:hyperlink w:anchor="_Toc231215310" w:history="1">
        <w:r w:rsidRPr="00181B41">
          <w:rPr>
            <w:rStyle w:val="Hyperlink"/>
            <w:rFonts w:ascii="Century Schoolbook" w:hAnsi="Century Schoolbook"/>
            <w:noProof/>
            <w:sz w:val="24"/>
            <w:szCs w:val="24"/>
          </w:rPr>
          <w:t>Works Cited:</w:t>
        </w:r>
        <w:r w:rsidRPr="00181B41">
          <w:rPr>
            <w:rFonts w:ascii="Century Schoolbook" w:hAnsi="Century Schoolbook"/>
            <w:noProof/>
            <w:webHidden/>
            <w:sz w:val="24"/>
            <w:szCs w:val="24"/>
          </w:rPr>
          <w:tab/>
        </w:r>
        <w:r w:rsidRPr="00181B41">
          <w:rPr>
            <w:rFonts w:ascii="Century Schoolbook" w:hAnsi="Century Schoolbook"/>
            <w:noProof/>
            <w:webHidden/>
            <w:sz w:val="24"/>
            <w:szCs w:val="24"/>
          </w:rPr>
          <w:fldChar w:fldCharType="begin"/>
        </w:r>
        <w:r w:rsidRPr="00181B41">
          <w:rPr>
            <w:rFonts w:ascii="Century Schoolbook" w:hAnsi="Century Schoolbook"/>
            <w:noProof/>
            <w:webHidden/>
            <w:sz w:val="24"/>
            <w:szCs w:val="24"/>
          </w:rPr>
          <w:instrText xml:space="preserve"> PAGEREF _Toc231215310 \h </w:instrText>
        </w:r>
        <w:r w:rsidRPr="00181B41">
          <w:rPr>
            <w:rFonts w:ascii="Century Schoolbook" w:hAnsi="Century Schoolbook"/>
            <w:noProof/>
            <w:webHidden/>
            <w:sz w:val="24"/>
            <w:szCs w:val="24"/>
          </w:rPr>
        </w:r>
        <w:r w:rsidRPr="00181B41">
          <w:rPr>
            <w:rFonts w:ascii="Century Schoolbook" w:hAnsi="Century Schoolbook"/>
            <w:noProof/>
            <w:webHidden/>
            <w:sz w:val="24"/>
            <w:szCs w:val="24"/>
          </w:rPr>
          <w:fldChar w:fldCharType="separate"/>
        </w:r>
        <w:r w:rsidRPr="00181B41">
          <w:rPr>
            <w:rFonts w:ascii="Century Schoolbook" w:hAnsi="Century Schoolbook"/>
            <w:noProof/>
            <w:webHidden/>
            <w:sz w:val="24"/>
            <w:szCs w:val="24"/>
          </w:rPr>
          <w:t>216</w:t>
        </w:r>
        <w:r w:rsidRPr="00181B41">
          <w:rPr>
            <w:rFonts w:ascii="Century Schoolbook" w:hAnsi="Century Schoolbook"/>
            <w:noProof/>
            <w:webHidden/>
            <w:sz w:val="24"/>
            <w:szCs w:val="24"/>
          </w:rPr>
          <w:fldChar w:fldCharType="end"/>
        </w:r>
      </w:hyperlink>
    </w:p>
    <w:p w14:paraId="79BB441B" w14:textId="04071F92" w:rsidR="00BB576F" w:rsidRPr="00181B41" w:rsidRDefault="00225936" w:rsidP="00836748">
      <w:pPr>
        <w:spacing w:line="276" w:lineRule="auto"/>
        <w:rPr>
          <w:szCs w:val="24"/>
        </w:rPr>
      </w:pPr>
      <w:r w:rsidRPr="00181B41">
        <w:rPr>
          <w:szCs w:val="24"/>
        </w:rPr>
        <w:fldChar w:fldCharType="end"/>
      </w:r>
    </w:p>
    <w:p w14:paraId="70D064DF" w14:textId="3CF874B0" w:rsidR="0063036C" w:rsidRPr="00662E51" w:rsidRDefault="0063036C" w:rsidP="005843D3">
      <w:pPr>
        <w:pStyle w:val="Heading1"/>
        <w:numPr>
          <w:ilvl w:val="0"/>
          <w:numId w:val="0"/>
        </w:numPr>
        <w:ind w:left="357" w:hanging="357"/>
        <w:jc w:val="center"/>
        <w:rPr>
          <w:szCs w:val="28"/>
        </w:rPr>
      </w:pPr>
      <w:bookmarkStart w:id="6" w:name="_Toc221184284"/>
      <w:bookmarkStart w:id="7" w:name="_Toc231215207"/>
      <w:r w:rsidRPr="00662E51">
        <w:rPr>
          <w:szCs w:val="28"/>
        </w:rPr>
        <w:lastRenderedPageBreak/>
        <w:t>Table of Figures</w:t>
      </w:r>
      <w:bookmarkEnd w:id="6"/>
      <w:bookmarkEnd w:id="7"/>
    </w:p>
    <w:p w14:paraId="58B15E12" w14:textId="77777777" w:rsidR="005843D3" w:rsidRPr="00662E51" w:rsidRDefault="005843D3" w:rsidP="00AD653D">
      <w:pPr>
        <w:spacing w:line="360" w:lineRule="auto"/>
        <w:ind w:left="0"/>
        <w:rPr>
          <w:b/>
          <w:bCs/>
          <w:szCs w:val="24"/>
        </w:rPr>
      </w:pPr>
    </w:p>
    <w:p w14:paraId="70A0DBFF" w14:textId="34987AF2" w:rsidR="0063036C" w:rsidRPr="00662E51" w:rsidRDefault="0063036C" w:rsidP="00AD653D">
      <w:pPr>
        <w:spacing w:line="360" w:lineRule="auto"/>
        <w:ind w:left="0"/>
        <w:rPr>
          <w:b/>
          <w:bCs/>
          <w:szCs w:val="24"/>
        </w:rPr>
      </w:pPr>
      <w:r w:rsidRPr="00662E51">
        <w:rPr>
          <w:b/>
          <w:bCs/>
          <w:szCs w:val="24"/>
        </w:rPr>
        <w:t>Chapter 1</w:t>
      </w:r>
    </w:p>
    <w:p w14:paraId="1D60E333" w14:textId="31EADA15" w:rsidR="00550C14" w:rsidRPr="00662E51" w:rsidRDefault="00550C14" w:rsidP="00AD653D">
      <w:pPr>
        <w:pStyle w:val="TableofFigures"/>
        <w:tabs>
          <w:tab w:val="right" w:leader="dot" w:pos="9016"/>
        </w:tabs>
        <w:spacing w:line="360" w:lineRule="auto"/>
        <w:rPr>
          <w:rFonts w:eastAsiaTheme="minorEastAsia"/>
          <w:noProof/>
          <w:szCs w:val="24"/>
          <w:lang w:eastAsia="en-GB"/>
        </w:rPr>
      </w:pPr>
      <w:r w:rsidRPr="00662E51">
        <w:rPr>
          <w:szCs w:val="24"/>
        </w:rPr>
        <w:fldChar w:fldCharType="begin"/>
      </w:r>
      <w:r w:rsidRPr="00662E51">
        <w:rPr>
          <w:szCs w:val="24"/>
        </w:rPr>
        <w:instrText xml:space="preserve"> TOC \h \z \c "Figure" </w:instrText>
      </w:r>
      <w:r w:rsidRPr="00662E51">
        <w:rPr>
          <w:szCs w:val="24"/>
        </w:rPr>
        <w:fldChar w:fldCharType="separate"/>
      </w:r>
      <w:hyperlink w:anchor="_Toc216875893" w:history="1">
        <w:r w:rsidRPr="00662E51">
          <w:rPr>
            <w:rStyle w:val="Hyperlink"/>
            <w:noProof/>
            <w:color w:val="auto"/>
            <w:szCs w:val="24"/>
          </w:rPr>
          <w:t>Figure 1 - Rates of Deprivation across Haringey</w:t>
        </w:r>
        <w:r w:rsidRPr="00662E51">
          <w:rPr>
            <w:noProof/>
            <w:webHidden/>
            <w:szCs w:val="24"/>
          </w:rPr>
          <w:tab/>
        </w:r>
        <w:r w:rsidRPr="00662E51">
          <w:rPr>
            <w:noProof/>
            <w:webHidden/>
            <w:szCs w:val="24"/>
          </w:rPr>
          <w:fldChar w:fldCharType="begin"/>
        </w:r>
        <w:r w:rsidRPr="00662E51">
          <w:rPr>
            <w:noProof/>
            <w:webHidden/>
            <w:szCs w:val="24"/>
          </w:rPr>
          <w:instrText xml:space="preserve"> PAGEREF _Toc216875893 \h </w:instrText>
        </w:r>
        <w:r w:rsidRPr="00662E51">
          <w:rPr>
            <w:noProof/>
            <w:webHidden/>
            <w:szCs w:val="24"/>
          </w:rPr>
        </w:r>
        <w:r w:rsidRPr="00662E51">
          <w:rPr>
            <w:noProof/>
            <w:webHidden/>
            <w:szCs w:val="24"/>
          </w:rPr>
          <w:fldChar w:fldCharType="separate"/>
        </w:r>
        <w:r w:rsidR="00181B41">
          <w:rPr>
            <w:noProof/>
            <w:webHidden/>
            <w:szCs w:val="24"/>
          </w:rPr>
          <w:t>7</w:t>
        </w:r>
        <w:r w:rsidRPr="00662E51">
          <w:rPr>
            <w:noProof/>
            <w:webHidden/>
            <w:szCs w:val="24"/>
          </w:rPr>
          <w:fldChar w:fldCharType="end"/>
        </w:r>
      </w:hyperlink>
    </w:p>
    <w:p w14:paraId="28F8DCB7" w14:textId="37187627" w:rsidR="00550C14" w:rsidRPr="00662E51" w:rsidRDefault="00550C14" w:rsidP="00AD653D">
      <w:pPr>
        <w:pStyle w:val="TableofFigures"/>
        <w:tabs>
          <w:tab w:val="right" w:leader="dot" w:pos="9016"/>
        </w:tabs>
        <w:spacing w:line="360" w:lineRule="auto"/>
        <w:rPr>
          <w:rFonts w:eastAsiaTheme="minorEastAsia"/>
          <w:noProof/>
          <w:szCs w:val="24"/>
          <w:lang w:eastAsia="en-GB"/>
        </w:rPr>
      </w:pPr>
      <w:hyperlink w:anchor="_Toc216875894" w:history="1">
        <w:r w:rsidRPr="00662E51">
          <w:rPr>
            <w:rStyle w:val="Hyperlink"/>
            <w:noProof/>
            <w:color w:val="auto"/>
            <w:szCs w:val="24"/>
          </w:rPr>
          <w:t>Figure 2 - Density of social renting in Haringey</w:t>
        </w:r>
        <w:r w:rsidRPr="00662E51">
          <w:rPr>
            <w:noProof/>
            <w:webHidden/>
            <w:szCs w:val="24"/>
          </w:rPr>
          <w:tab/>
        </w:r>
        <w:r w:rsidRPr="00662E51">
          <w:rPr>
            <w:noProof/>
            <w:webHidden/>
            <w:szCs w:val="24"/>
          </w:rPr>
          <w:fldChar w:fldCharType="begin"/>
        </w:r>
        <w:r w:rsidRPr="00662E51">
          <w:rPr>
            <w:noProof/>
            <w:webHidden/>
            <w:szCs w:val="24"/>
          </w:rPr>
          <w:instrText xml:space="preserve"> PAGEREF _Toc216875894 \h </w:instrText>
        </w:r>
        <w:r w:rsidRPr="00662E51">
          <w:rPr>
            <w:noProof/>
            <w:webHidden/>
            <w:szCs w:val="24"/>
          </w:rPr>
        </w:r>
        <w:r w:rsidRPr="00662E51">
          <w:rPr>
            <w:noProof/>
            <w:webHidden/>
            <w:szCs w:val="24"/>
          </w:rPr>
          <w:fldChar w:fldCharType="separate"/>
        </w:r>
        <w:r w:rsidR="00181B41">
          <w:rPr>
            <w:noProof/>
            <w:webHidden/>
            <w:szCs w:val="24"/>
          </w:rPr>
          <w:t>21</w:t>
        </w:r>
        <w:r w:rsidRPr="00662E51">
          <w:rPr>
            <w:noProof/>
            <w:webHidden/>
            <w:szCs w:val="24"/>
          </w:rPr>
          <w:fldChar w:fldCharType="end"/>
        </w:r>
      </w:hyperlink>
    </w:p>
    <w:p w14:paraId="6E38335E" w14:textId="2A07592C" w:rsidR="00550C14" w:rsidRPr="00662E51" w:rsidRDefault="00550C14" w:rsidP="00AD653D">
      <w:pPr>
        <w:pStyle w:val="TableofFigures"/>
        <w:tabs>
          <w:tab w:val="right" w:leader="dot" w:pos="9016"/>
        </w:tabs>
        <w:spacing w:line="360" w:lineRule="auto"/>
        <w:rPr>
          <w:rFonts w:eastAsiaTheme="minorEastAsia"/>
          <w:noProof/>
          <w:szCs w:val="24"/>
          <w:lang w:eastAsia="en-GB"/>
        </w:rPr>
      </w:pPr>
      <w:hyperlink w:anchor="_Toc216875895" w:history="1">
        <w:r w:rsidRPr="00662E51">
          <w:rPr>
            <w:rStyle w:val="Hyperlink"/>
            <w:noProof/>
            <w:color w:val="auto"/>
            <w:szCs w:val="24"/>
          </w:rPr>
          <w:t>Figure 3 - Density of homeownership in Haringey</w:t>
        </w:r>
        <w:r w:rsidRPr="00662E51">
          <w:rPr>
            <w:noProof/>
            <w:webHidden/>
            <w:szCs w:val="24"/>
          </w:rPr>
          <w:tab/>
        </w:r>
        <w:r w:rsidRPr="00662E51">
          <w:rPr>
            <w:noProof/>
            <w:webHidden/>
            <w:szCs w:val="24"/>
          </w:rPr>
          <w:fldChar w:fldCharType="begin"/>
        </w:r>
        <w:r w:rsidRPr="00662E51">
          <w:rPr>
            <w:noProof/>
            <w:webHidden/>
            <w:szCs w:val="24"/>
          </w:rPr>
          <w:instrText xml:space="preserve"> PAGEREF _Toc216875895 \h </w:instrText>
        </w:r>
        <w:r w:rsidRPr="00662E51">
          <w:rPr>
            <w:noProof/>
            <w:webHidden/>
            <w:szCs w:val="24"/>
          </w:rPr>
        </w:r>
        <w:r w:rsidRPr="00662E51">
          <w:rPr>
            <w:noProof/>
            <w:webHidden/>
            <w:szCs w:val="24"/>
          </w:rPr>
          <w:fldChar w:fldCharType="separate"/>
        </w:r>
        <w:r w:rsidR="00181B41">
          <w:rPr>
            <w:noProof/>
            <w:webHidden/>
            <w:szCs w:val="24"/>
          </w:rPr>
          <w:t>22</w:t>
        </w:r>
        <w:r w:rsidRPr="00662E51">
          <w:rPr>
            <w:noProof/>
            <w:webHidden/>
            <w:szCs w:val="24"/>
          </w:rPr>
          <w:fldChar w:fldCharType="end"/>
        </w:r>
      </w:hyperlink>
    </w:p>
    <w:p w14:paraId="7D1783A6" w14:textId="288F26CA" w:rsidR="00550C14" w:rsidRPr="00662E51" w:rsidRDefault="00550C14" w:rsidP="00AD653D">
      <w:pPr>
        <w:pStyle w:val="TableofFigures"/>
        <w:tabs>
          <w:tab w:val="right" w:leader="dot" w:pos="9016"/>
        </w:tabs>
        <w:spacing w:line="360" w:lineRule="auto"/>
        <w:rPr>
          <w:rFonts w:eastAsiaTheme="minorEastAsia"/>
          <w:noProof/>
          <w:szCs w:val="24"/>
          <w:lang w:eastAsia="en-GB"/>
        </w:rPr>
      </w:pPr>
      <w:hyperlink w:anchor="_Toc216875896" w:history="1">
        <w:r w:rsidRPr="00662E51">
          <w:rPr>
            <w:rStyle w:val="Hyperlink"/>
            <w:noProof/>
            <w:color w:val="auto"/>
            <w:szCs w:val="24"/>
          </w:rPr>
          <w:t>Figure 4 - Broadwater Farm Estate</w:t>
        </w:r>
        <w:r w:rsidR="00667462" w:rsidRPr="00662E51">
          <w:rPr>
            <w:rStyle w:val="Hyperlink"/>
            <w:noProof/>
            <w:color w:val="auto"/>
            <w:szCs w:val="24"/>
          </w:rPr>
          <w:t xml:space="preserve"> from above</w:t>
        </w:r>
        <w:r w:rsidRPr="00662E51">
          <w:rPr>
            <w:noProof/>
            <w:webHidden/>
            <w:szCs w:val="24"/>
          </w:rPr>
          <w:tab/>
        </w:r>
        <w:r w:rsidRPr="00662E51">
          <w:rPr>
            <w:noProof/>
            <w:webHidden/>
            <w:szCs w:val="24"/>
          </w:rPr>
          <w:fldChar w:fldCharType="begin"/>
        </w:r>
        <w:r w:rsidRPr="00662E51">
          <w:rPr>
            <w:noProof/>
            <w:webHidden/>
            <w:szCs w:val="24"/>
          </w:rPr>
          <w:instrText xml:space="preserve"> PAGEREF _Toc216875896 \h </w:instrText>
        </w:r>
        <w:r w:rsidRPr="00662E51">
          <w:rPr>
            <w:noProof/>
            <w:webHidden/>
            <w:szCs w:val="24"/>
          </w:rPr>
        </w:r>
        <w:r w:rsidRPr="00662E51">
          <w:rPr>
            <w:noProof/>
            <w:webHidden/>
            <w:szCs w:val="24"/>
          </w:rPr>
          <w:fldChar w:fldCharType="separate"/>
        </w:r>
        <w:r w:rsidR="00181B41">
          <w:rPr>
            <w:noProof/>
            <w:webHidden/>
            <w:szCs w:val="24"/>
          </w:rPr>
          <w:t>28</w:t>
        </w:r>
        <w:r w:rsidRPr="00662E51">
          <w:rPr>
            <w:noProof/>
            <w:webHidden/>
            <w:szCs w:val="24"/>
          </w:rPr>
          <w:fldChar w:fldCharType="end"/>
        </w:r>
      </w:hyperlink>
    </w:p>
    <w:p w14:paraId="0A2263BB" w14:textId="26EA095D" w:rsidR="00550C14" w:rsidRPr="00662E51" w:rsidRDefault="00550C14" w:rsidP="00AD653D">
      <w:pPr>
        <w:pStyle w:val="TableofFigures"/>
        <w:tabs>
          <w:tab w:val="right" w:leader="dot" w:pos="9016"/>
        </w:tabs>
        <w:spacing w:line="360" w:lineRule="auto"/>
        <w:rPr>
          <w:rFonts w:eastAsiaTheme="minorEastAsia"/>
          <w:noProof/>
          <w:szCs w:val="24"/>
          <w:lang w:eastAsia="en-GB"/>
        </w:rPr>
      </w:pPr>
      <w:hyperlink w:anchor="_Toc216875897" w:history="1">
        <w:r w:rsidRPr="00662E51">
          <w:rPr>
            <w:rStyle w:val="Hyperlink"/>
            <w:noProof/>
            <w:color w:val="auto"/>
            <w:szCs w:val="24"/>
          </w:rPr>
          <w:t>Figure 5 - Broadwater Farm</w:t>
        </w:r>
        <w:r w:rsidR="00667462" w:rsidRPr="00662E51">
          <w:rPr>
            <w:rStyle w:val="Hyperlink"/>
            <w:noProof/>
            <w:color w:val="auto"/>
            <w:szCs w:val="24"/>
          </w:rPr>
          <w:t xml:space="preserve"> Estate from eye-level</w:t>
        </w:r>
        <w:r w:rsidRPr="00662E51">
          <w:rPr>
            <w:noProof/>
            <w:webHidden/>
            <w:szCs w:val="24"/>
          </w:rPr>
          <w:tab/>
        </w:r>
        <w:r w:rsidRPr="00662E51">
          <w:rPr>
            <w:noProof/>
            <w:webHidden/>
            <w:szCs w:val="24"/>
          </w:rPr>
          <w:fldChar w:fldCharType="begin"/>
        </w:r>
        <w:r w:rsidRPr="00662E51">
          <w:rPr>
            <w:noProof/>
            <w:webHidden/>
            <w:szCs w:val="24"/>
          </w:rPr>
          <w:instrText xml:space="preserve"> PAGEREF _Toc216875897 \h </w:instrText>
        </w:r>
        <w:r w:rsidRPr="00662E51">
          <w:rPr>
            <w:noProof/>
            <w:webHidden/>
            <w:szCs w:val="24"/>
          </w:rPr>
        </w:r>
        <w:r w:rsidRPr="00662E51">
          <w:rPr>
            <w:noProof/>
            <w:webHidden/>
            <w:szCs w:val="24"/>
          </w:rPr>
          <w:fldChar w:fldCharType="separate"/>
        </w:r>
        <w:r w:rsidR="00181B41">
          <w:rPr>
            <w:noProof/>
            <w:webHidden/>
            <w:szCs w:val="24"/>
          </w:rPr>
          <w:t>30</w:t>
        </w:r>
        <w:r w:rsidRPr="00662E51">
          <w:rPr>
            <w:noProof/>
            <w:webHidden/>
            <w:szCs w:val="24"/>
          </w:rPr>
          <w:fldChar w:fldCharType="end"/>
        </w:r>
      </w:hyperlink>
    </w:p>
    <w:p w14:paraId="6458AA1D" w14:textId="67CD62C5" w:rsidR="00550C14" w:rsidRPr="00662E51" w:rsidRDefault="00550C14" w:rsidP="00AD653D">
      <w:pPr>
        <w:pStyle w:val="TableofFigures"/>
        <w:tabs>
          <w:tab w:val="right" w:leader="dot" w:pos="9016"/>
        </w:tabs>
        <w:spacing w:line="360" w:lineRule="auto"/>
        <w:rPr>
          <w:rFonts w:eastAsiaTheme="minorEastAsia"/>
          <w:noProof/>
          <w:szCs w:val="24"/>
          <w:lang w:eastAsia="en-GB"/>
        </w:rPr>
      </w:pPr>
      <w:hyperlink w:anchor="_Toc216875898" w:history="1">
        <w:r w:rsidRPr="00662E51">
          <w:rPr>
            <w:rStyle w:val="Hyperlink"/>
            <w:noProof/>
            <w:color w:val="auto"/>
            <w:szCs w:val="24"/>
          </w:rPr>
          <w:t>Figure 6 - Haringey Development Vehicle proposed structure</w:t>
        </w:r>
        <w:r w:rsidRPr="00662E51">
          <w:rPr>
            <w:noProof/>
            <w:webHidden/>
            <w:szCs w:val="24"/>
          </w:rPr>
          <w:tab/>
        </w:r>
        <w:r w:rsidRPr="00662E51">
          <w:rPr>
            <w:noProof/>
            <w:webHidden/>
            <w:szCs w:val="24"/>
          </w:rPr>
          <w:fldChar w:fldCharType="begin"/>
        </w:r>
        <w:r w:rsidRPr="00662E51">
          <w:rPr>
            <w:noProof/>
            <w:webHidden/>
            <w:szCs w:val="24"/>
          </w:rPr>
          <w:instrText xml:space="preserve"> PAGEREF _Toc216875898 \h </w:instrText>
        </w:r>
        <w:r w:rsidRPr="00662E51">
          <w:rPr>
            <w:noProof/>
            <w:webHidden/>
            <w:szCs w:val="24"/>
          </w:rPr>
        </w:r>
        <w:r w:rsidRPr="00662E51">
          <w:rPr>
            <w:noProof/>
            <w:webHidden/>
            <w:szCs w:val="24"/>
          </w:rPr>
          <w:fldChar w:fldCharType="separate"/>
        </w:r>
        <w:r w:rsidR="00181B41">
          <w:rPr>
            <w:noProof/>
            <w:webHidden/>
            <w:szCs w:val="24"/>
          </w:rPr>
          <w:t>33</w:t>
        </w:r>
        <w:r w:rsidRPr="00662E51">
          <w:rPr>
            <w:noProof/>
            <w:webHidden/>
            <w:szCs w:val="24"/>
          </w:rPr>
          <w:fldChar w:fldCharType="end"/>
        </w:r>
      </w:hyperlink>
    </w:p>
    <w:p w14:paraId="388308AE" w14:textId="7126D6AB" w:rsidR="00550C14" w:rsidRPr="00662E51" w:rsidRDefault="00550C14" w:rsidP="00AD653D">
      <w:pPr>
        <w:pStyle w:val="TableofFigures"/>
        <w:tabs>
          <w:tab w:val="right" w:leader="dot" w:pos="9016"/>
        </w:tabs>
        <w:spacing w:line="360" w:lineRule="auto"/>
        <w:rPr>
          <w:rStyle w:val="Hyperlink"/>
          <w:noProof/>
          <w:color w:val="auto"/>
          <w:szCs w:val="24"/>
        </w:rPr>
      </w:pPr>
      <w:hyperlink w:anchor="_Toc216875899" w:history="1">
        <w:r w:rsidRPr="00662E51">
          <w:rPr>
            <w:rStyle w:val="Hyperlink"/>
            <w:noProof/>
            <w:color w:val="auto"/>
            <w:szCs w:val="24"/>
          </w:rPr>
          <w:t>Figure 7 - Approximate High Road West regeneration area in black</w:t>
        </w:r>
        <w:r w:rsidRPr="00662E51">
          <w:rPr>
            <w:noProof/>
            <w:webHidden/>
            <w:szCs w:val="24"/>
          </w:rPr>
          <w:tab/>
        </w:r>
        <w:r w:rsidRPr="00662E51">
          <w:rPr>
            <w:noProof/>
            <w:webHidden/>
            <w:szCs w:val="24"/>
          </w:rPr>
          <w:fldChar w:fldCharType="begin"/>
        </w:r>
        <w:r w:rsidRPr="00662E51">
          <w:rPr>
            <w:noProof/>
            <w:webHidden/>
            <w:szCs w:val="24"/>
          </w:rPr>
          <w:instrText xml:space="preserve"> PAGEREF _Toc216875899 \h </w:instrText>
        </w:r>
        <w:r w:rsidRPr="00662E51">
          <w:rPr>
            <w:noProof/>
            <w:webHidden/>
            <w:szCs w:val="24"/>
          </w:rPr>
        </w:r>
        <w:r w:rsidRPr="00662E51">
          <w:rPr>
            <w:noProof/>
            <w:webHidden/>
            <w:szCs w:val="24"/>
          </w:rPr>
          <w:fldChar w:fldCharType="separate"/>
        </w:r>
        <w:r w:rsidR="00181B41">
          <w:rPr>
            <w:noProof/>
            <w:webHidden/>
            <w:szCs w:val="24"/>
          </w:rPr>
          <w:t>36</w:t>
        </w:r>
        <w:r w:rsidRPr="00662E51">
          <w:rPr>
            <w:noProof/>
            <w:webHidden/>
            <w:szCs w:val="24"/>
          </w:rPr>
          <w:fldChar w:fldCharType="end"/>
        </w:r>
      </w:hyperlink>
    </w:p>
    <w:p w14:paraId="58571C6C" w14:textId="77777777" w:rsidR="0063036C" w:rsidRPr="00662E51" w:rsidRDefault="0063036C" w:rsidP="00AD653D">
      <w:pPr>
        <w:spacing w:line="360" w:lineRule="auto"/>
        <w:rPr>
          <w:noProof/>
          <w:szCs w:val="24"/>
        </w:rPr>
      </w:pPr>
    </w:p>
    <w:p w14:paraId="570548EA" w14:textId="1FB53B7B" w:rsidR="0063036C" w:rsidRPr="00662E51" w:rsidRDefault="0063036C" w:rsidP="00AD653D">
      <w:pPr>
        <w:spacing w:line="360" w:lineRule="auto"/>
        <w:ind w:left="0"/>
        <w:rPr>
          <w:b/>
          <w:bCs/>
          <w:noProof/>
          <w:szCs w:val="24"/>
        </w:rPr>
      </w:pPr>
      <w:r w:rsidRPr="00662E51">
        <w:rPr>
          <w:b/>
          <w:bCs/>
          <w:noProof/>
          <w:szCs w:val="24"/>
        </w:rPr>
        <w:t>Chapter 4</w:t>
      </w:r>
    </w:p>
    <w:p w14:paraId="15F0D581" w14:textId="0E41A311" w:rsidR="00550C14" w:rsidRPr="00662E51" w:rsidRDefault="00550C14" w:rsidP="00AD653D">
      <w:pPr>
        <w:pStyle w:val="TableofFigures"/>
        <w:tabs>
          <w:tab w:val="right" w:leader="dot" w:pos="9016"/>
        </w:tabs>
        <w:spacing w:line="360" w:lineRule="auto"/>
        <w:rPr>
          <w:rStyle w:val="Hyperlink"/>
          <w:noProof/>
          <w:color w:val="auto"/>
          <w:szCs w:val="24"/>
        </w:rPr>
      </w:pPr>
      <w:hyperlink w:anchor="_Toc216875900" w:history="1">
        <w:r w:rsidRPr="00662E51">
          <w:rPr>
            <w:rStyle w:val="Hyperlink"/>
            <w:noProof/>
            <w:color w:val="auto"/>
            <w:szCs w:val="24"/>
          </w:rPr>
          <w:t>Figure 8 - Northumberland Park Ward</w:t>
        </w:r>
        <w:r w:rsidRPr="00662E51">
          <w:rPr>
            <w:noProof/>
            <w:webHidden/>
            <w:szCs w:val="24"/>
          </w:rPr>
          <w:tab/>
        </w:r>
        <w:r w:rsidRPr="00662E51">
          <w:rPr>
            <w:noProof/>
            <w:webHidden/>
            <w:szCs w:val="24"/>
          </w:rPr>
          <w:fldChar w:fldCharType="begin"/>
        </w:r>
        <w:r w:rsidRPr="00662E51">
          <w:rPr>
            <w:noProof/>
            <w:webHidden/>
            <w:szCs w:val="24"/>
          </w:rPr>
          <w:instrText xml:space="preserve"> PAGEREF _Toc216875900 \h </w:instrText>
        </w:r>
        <w:r w:rsidRPr="00662E51">
          <w:rPr>
            <w:noProof/>
            <w:webHidden/>
            <w:szCs w:val="24"/>
          </w:rPr>
        </w:r>
        <w:r w:rsidRPr="00662E51">
          <w:rPr>
            <w:noProof/>
            <w:webHidden/>
            <w:szCs w:val="24"/>
          </w:rPr>
          <w:fldChar w:fldCharType="separate"/>
        </w:r>
        <w:r w:rsidR="00181B41">
          <w:rPr>
            <w:noProof/>
            <w:webHidden/>
            <w:szCs w:val="24"/>
          </w:rPr>
          <w:t>110</w:t>
        </w:r>
        <w:r w:rsidRPr="00662E51">
          <w:rPr>
            <w:noProof/>
            <w:webHidden/>
            <w:szCs w:val="24"/>
          </w:rPr>
          <w:fldChar w:fldCharType="end"/>
        </w:r>
      </w:hyperlink>
    </w:p>
    <w:p w14:paraId="19D3A26B" w14:textId="77777777" w:rsidR="0063036C" w:rsidRPr="00662E51" w:rsidRDefault="0063036C" w:rsidP="00AD653D">
      <w:pPr>
        <w:spacing w:line="360" w:lineRule="auto"/>
        <w:ind w:left="0"/>
        <w:rPr>
          <w:noProof/>
          <w:szCs w:val="24"/>
        </w:rPr>
      </w:pPr>
    </w:p>
    <w:p w14:paraId="6A2C4602" w14:textId="66A83E9E" w:rsidR="0063036C" w:rsidRPr="00662E51" w:rsidRDefault="0063036C" w:rsidP="00AD653D">
      <w:pPr>
        <w:spacing w:line="360" w:lineRule="auto"/>
        <w:ind w:left="0"/>
        <w:rPr>
          <w:b/>
          <w:bCs/>
          <w:noProof/>
          <w:szCs w:val="24"/>
        </w:rPr>
      </w:pPr>
      <w:r w:rsidRPr="00662E51">
        <w:rPr>
          <w:b/>
          <w:bCs/>
          <w:noProof/>
          <w:szCs w:val="24"/>
        </w:rPr>
        <w:t>Chapter 5</w:t>
      </w:r>
    </w:p>
    <w:p w14:paraId="533B649E" w14:textId="16CFA56B" w:rsidR="00550C14" w:rsidRPr="00662E51" w:rsidRDefault="00550C14" w:rsidP="00AD653D">
      <w:pPr>
        <w:pStyle w:val="TableofFigures"/>
        <w:tabs>
          <w:tab w:val="right" w:leader="dot" w:pos="9016"/>
        </w:tabs>
        <w:spacing w:line="360" w:lineRule="auto"/>
        <w:rPr>
          <w:rFonts w:eastAsiaTheme="minorEastAsia"/>
          <w:noProof/>
          <w:szCs w:val="24"/>
          <w:lang w:eastAsia="en-GB"/>
        </w:rPr>
      </w:pPr>
      <w:hyperlink w:anchor="_Toc216875901" w:history="1">
        <w:r w:rsidRPr="00662E51">
          <w:rPr>
            <w:rStyle w:val="Hyperlink"/>
            <w:noProof/>
            <w:color w:val="auto"/>
            <w:szCs w:val="24"/>
          </w:rPr>
          <w:t>Figure 9 - Broadwater Farm Youth Association</w:t>
        </w:r>
        <w:r w:rsidRPr="00662E51">
          <w:rPr>
            <w:noProof/>
            <w:webHidden/>
            <w:szCs w:val="24"/>
          </w:rPr>
          <w:tab/>
        </w:r>
        <w:r w:rsidRPr="00662E51">
          <w:rPr>
            <w:noProof/>
            <w:webHidden/>
            <w:szCs w:val="24"/>
          </w:rPr>
          <w:fldChar w:fldCharType="begin"/>
        </w:r>
        <w:r w:rsidRPr="00662E51">
          <w:rPr>
            <w:noProof/>
            <w:webHidden/>
            <w:szCs w:val="24"/>
          </w:rPr>
          <w:instrText xml:space="preserve"> PAGEREF _Toc216875901 \h </w:instrText>
        </w:r>
        <w:r w:rsidRPr="00662E51">
          <w:rPr>
            <w:noProof/>
            <w:webHidden/>
            <w:szCs w:val="24"/>
          </w:rPr>
        </w:r>
        <w:r w:rsidRPr="00662E51">
          <w:rPr>
            <w:noProof/>
            <w:webHidden/>
            <w:szCs w:val="24"/>
          </w:rPr>
          <w:fldChar w:fldCharType="separate"/>
        </w:r>
        <w:r w:rsidR="00181B41">
          <w:rPr>
            <w:noProof/>
            <w:webHidden/>
            <w:szCs w:val="24"/>
          </w:rPr>
          <w:t>141</w:t>
        </w:r>
        <w:r w:rsidRPr="00662E51">
          <w:rPr>
            <w:noProof/>
            <w:webHidden/>
            <w:szCs w:val="24"/>
          </w:rPr>
          <w:fldChar w:fldCharType="end"/>
        </w:r>
      </w:hyperlink>
    </w:p>
    <w:p w14:paraId="4BCE17ED" w14:textId="7EC83A4E" w:rsidR="0052599C" w:rsidRPr="00662E51" w:rsidRDefault="00550C14" w:rsidP="00AD653D">
      <w:pPr>
        <w:spacing w:line="360" w:lineRule="auto"/>
        <w:rPr>
          <w:szCs w:val="24"/>
        </w:rPr>
      </w:pPr>
      <w:r w:rsidRPr="00662E51">
        <w:rPr>
          <w:szCs w:val="24"/>
        </w:rPr>
        <w:fldChar w:fldCharType="end"/>
      </w:r>
      <w:bookmarkStart w:id="8" w:name="_Toc216875893"/>
    </w:p>
    <w:p w14:paraId="1EA7604D" w14:textId="59543F6B" w:rsidR="002D3480" w:rsidRPr="00662E51" w:rsidRDefault="002D3480" w:rsidP="00AD653D">
      <w:pPr>
        <w:spacing w:line="360" w:lineRule="auto"/>
        <w:ind w:left="0"/>
        <w:rPr>
          <w:szCs w:val="24"/>
        </w:rPr>
      </w:pPr>
      <w:r w:rsidRPr="00662E51">
        <w:rPr>
          <w:szCs w:val="24"/>
        </w:rPr>
        <w:br w:type="page"/>
      </w:r>
    </w:p>
    <w:p w14:paraId="0193B859" w14:textId="10171775" w:rsidR="00A65D78" w:rsidRPr="00662E51" w:rsidRDefault="002D3480" w:rsidP="002D3480">
      <w:pPr>
        <w:pStyle w:val="Heading1"/>
        <w:numPr>
          <w:ilvl w:val="0"/>
          <w:numId w:val="0"/>
        </w:numPr>
        <w:ind w:left="357" w:hanging="357"/>
      </w:pPr>
      <w:bookmarkStart w:id="9" w:name="_Toc221184285"/>
      <w:bookmarkStart w:id="10" w:name="_Toc231215208"/>
      <w:r w:rsidRPr="00662E51">
        <w:lastRenderedPageBreak/>
        <w:t>Statement of Copyright</w:t>
      </w:r>
      <w:r w:rsidR="00367F58" w:rsidRPr="00662E51">
        <w:t>:</w:t>
      </w:r>
      <w:bookmarkEnd w:id="9"/>
      <w:bookmarkEnd w:id="10"/>
    </w:p>
    <w:p w14:paraId="61F4AA8F" w14:textId="298A16F0" w:rsidR="00A65D78" w:rsidRPr="00662E51" w:rsidRDefault="006331E4" w:rsidP="006331E4">
      <w:pPr>
        <w:spacing w:line="360" w:lineRule="auto"/>
        <w:ind w:left="0"/>
        <w:rPr>
          <w:rFonts w:eastAsiaTheme="majorEastAsia" w:cs="Arial"/>
          <w:b/>
          <w:bCs/>
          <w:sz w:val="28"/>
          <w:szCs w:val="24"/>
        </w:rPr>
      </w:pPr>
      <w:r w:rsidRPr="00662E51">
        <w:rPr>
          <w:szCs w:val="24"/>
        </w:rPr>
        <w:t>The copyright of this thesis rests with the author. No quotation from it should be published without the author’s prior written consent and information derived from it should be acknowledged.</w:t>
      </w:r>
      <w:r w:rsidR="00A65D78" w:rsidRPr="00662E51">
        <w:rPr>
          <w:rFonts w:eastAsiaTheme="majorEastAsia" w:cs="Arial"/>
          <w:b/>
          <w:bCs/>
          <w:sz w:val="28"/>
          <w:szCs w:val="24"/>
        </w:rPr>
        <w:br w:type="page"/>
      </w:r>
    </w:p>
    <w:p w14:paraId="3B975E11" w14:textId="41D47EF3" w:rsidR="00A65D78" w:rsidRPr="00662E51" w:rsidRDefault="00367F58" w:rsidP="002D3480">
      <w:pPr>
        <w:pStyle w:val="Heading1"/>
        <w:numPr>
          <w:ilvl w:val="0"/>
          <w:numId w:val="0"/>
        </w:numPr>
        <w:ind w:left="357" w:hanging="357"/>
      </w:pPr>
      <w:bookmarkStart w:id="11" w:name="_Toc221184286"/>
      <w:bookmarkStart w:id="12" w:name="_Toc231215209"/>
      <w:r w:rsidRPr="00662E51">
        <w:lastRenderedPageBreak/>
        <w:t>Acknowledgements:</w:t>
      </w:r>
      <w:bookmarkEnd w:id="11"/>
      <w:bookmarkEnd w:id="12"/>
    </w:p>
    <w:p w14:paraId="4C65591D" w14:textId="7F0A7A0D" w:rsidR="008C49AE" w:rsidRPr="00662E51" w:rsidRDefault="002D3336" w:rsidP="002A48AD">
      <w:pPr>
        <w:spacing w:line="360" w:lineRule="auto"/>
        <w:ind w:left="0" w:firstLine="720"/>
      </w:pPr>
      <w:r w:rsidRPr="00662E51">
        <w:t xml:space="preserve">First, a huge thanks </w:t>
      </w:r>
      <w:r w:rsidR="00342FFE" w:rsidRPr="00662E51">
        <w:t xml:space="preserve">to everyone in Tottenham and Haringey who participated in this research. </w:t>
      </w:r>
      <w:r w:rsidR="00377447" w:rsidRPr="00662E51">
        <w:t>I continue to be stunned by all the hard work you do—and that somehow you still had the energy and time to give to me, an American far from home who was curious about your corner of London.</w:t>
      </w:r>
      <w:r w:rsidR="008C49AE" w:rsidRPr="00662E51">
        <w:t xml:space="preserve"> </w:t>
      </w:r>
      <w:r w:rsidR="00611A6C" w:rsidRPr="00662E51">
        <w:t xml:space="preserve">You all have done so much to make Haringey a better place to live—and </w:t>
      </w:r>
      <w:r w:rsidR="008C49AE" w:rsidRPr="00662E51">
        <w:t>I know you will</w:t>
      </w:r>
      <w:r w:rsidR="00611A6C" w:rsidRPr="00662E51">
        <w:t xml:space="preserve"> continue to do so for years to come</w:t>
      </w:r>
      <w:r w:rsidR="008C49AE" w:rsidRPr="00662E51">
        <w:t>.</w:t>
      </w:r>
    </w:p>
    <w:p w14:paraId="220BD750" w14:textId="38A8BD77" w:rsidR="00327CDF" w:rsidRPr="00662E51" w:rsidRDefault="00377447" w:rsidP="002A48AD">
      <w:pPr>
        <w:spacing w:line="360" w:lineRule="auto"/>
        <w:ind w:left="0"/>
      </w:pPr>
      <w:r w:rsidRPr="00662E51">
        <w:t xml:space="preserve"> </w:t>
      </w:r>
      <w:r w:rsidR="008C49AE" w:rsidRPr="00662E51">
        <w:tab/>
      </w:r>
      <w:r w:rsidR="0087352E" w:rsidRPr="00662E51">
        <w:t>I am especially grateful for</w:t>
      </w:r>
      <w:r w:rsidR="00723EAC" w:rsidRPr="00662E51">
        <w:t xml:space="preserve"> my supervisors</w:t>
      </w:r>
      <w:r w:rsidR="00327CDF" w:rsidRPr="00662E51">
        <w:t xml:space="preserve">: </w:t>
      </w:r>
      <w:r w:rsidR="00723EAC" w:rsidRPr="00662E51">
        <w:t>Professor Joe Painter</w:t>
      </w:r>
      <w:r w:rsidR="00327CDF" w:rsidRPr="00662E51">
        <w:t xml:space="preserve">, Professor Helen F Wilson, and Dr Sam Nowak: you always kept me in check, guided me with care, and helped me adjust to a new country and a new discipline. </w:t>
      </w:r>
      <w:r w:rsidR="00843C41" w:rsidRPr="00662E51">
        <w:t>Our conservations have made me a better scholar and a better geographer</w:t>
      </w:r>
      <w:r w:rsidR="007931C6" w:rsidRPr="00662E51">
        <w:t>.</w:t>
      </w:r>
    </w:p>
    <w:p w14:paraId="11BFAA21" w14:textId="2B23DE1D" w:rsidR="001E6506" w:rsidRPr="00662E51" w:rsidRDefault="001E6506" w:rsidP="00004139">
      <w:pPr>
        <w:spacing w:line="360" w:lineRule="auto"/>
        <w:ind w:left="0"/>
      </w:pPr>
      <w:r w:rsidRPr="00662E51">
        <w:tab/>
        <w:t>To the Department of Geography at Durham</w:t>
      </w:r>
      <w:r w:rsidR="00156DF4" w:rsidRPr="00662E51">
        <w:t xml:space="preserve">, I am also grateful for the support throughout </w:t>
      </w:r>
      <w:r w:rsidR="00EF4545" w:rsidRPr="00662E51">
        <w:t xml:space="preserve">many years of teaching, learning, researching, </w:t>
      </w:r>
      <w:r w:rsidR="00ED1108">
        <w:t xml:space="preserve">community-building, </w:t>
      </w:r>
      <w:r w:rsidR="00EF4545" w:rsidRPr="00662E51">
        <w:t>and working.</w:t>
      </w:r>
      <w:r w:rsidR="00004139" w:rsidRPr="00662E51">
        <w:t xml:space="preserve"> I also appreciative of the Economic and Social Research Council through the Northern Ireland and North East Doctoral Training Partnership (NINE-DTP). Thank you for supporting my fieldwork, conference travels (thank you Jo!), and my UKRI policy internship.</w:t>
      </w:r>
    </w:p>
    <w:p w14:paraId="4ACD984E" w14:textId="6AEF7904" w:rsidR="007931C6" w:rsidRPr="00662E51" w:rsidRDefault="007931C6" w:rsidP="002A48AD">
      <w:pPr>
        <w:spacing w:line="360" w:lineRule="auto"/>
        <w:ind w:left="0"/>
      </w:pPr>
      <w:r w:rsidRPr="00662E51">
        <w:tab/>
      </w:r>
      <w:r w:rsidR="002F5067" w:rsidRPr="00662E51">
        <w:t>Many thanks too to the School (now Department) of Geography at Queen Mary, University of London</w:t>
      </w:r>
      <w:r w:rsidR="00AD56D4">
        <w:t xml:space="preserve"> f</w:t>
      </w:r>
      <w:r w:rsidR="002F5067" w:rsidRPr="00662E51">
        <w:t xml:space="preserve">or being a </w:t>
      </w:r>
      <w:r w:rsidR="00406CDF">
        <w:t>‘</w:t>
      </w:r>
      <w:r w:rsidR="002F5067" w:rsidRPr="00662E51">
        <w:t>home away from home</w:t>
      </w:r>
      <w:r w:rsidR="00406CDF">
        <w:t>’</w:t>
      </w:r>
      <w:r w:rsidR="002F5067" w:rsidRPr="00662E51">
        <w:t xml:space="preserve"> during my data collection phase. </w:t>
      </w:r>
    </w:p>
    <w:p w14:paraId="152088A1" w14:textId="2E091364" w:rsidR="0087352E" w:rsidRPr="00662E51" w:rsidRDefault="0087352E" w:rsidP="002A48AD">
      <w:pPr>
        <w:spacing w:line="360" w:lineRule="auto"/>
        <w:ind w:left="0"/>
      </w:pPr>
      <w:r w:rsidRPr="00662E51">
        <w:tab/>
        <w:t>A huge thank you to the various friends w</w:t>
      </w:r>
      <w:r w:rsidR="00CF0172" w:rsidRPr="00662E51">
        <w:t>ho have been emotional and intellectual supporters over this journey:</w:t>
      </w:r>
      <w:r w:rsidR="00054133" w:rsidRPr="00662E51">
        <w:t xml:space="preserve"> in no particular order, </w:t>
      </w:r>
      <w:r w:rsidR="001A7256" w:rsidRPr="00662E51">
        <w:t>Danielė</w:t>
      </w:r>
      <w:r w:rsidR="00A41091">
        <w:t xml:space="preserve"> </w:t>
      </w:r>
      <w:r w:rsidR="004A4E60">
        <w:t>Balsyt</w:t>
      </w:r>
      <w:r w:rsidR="004A4E60" w:rsidRPr="004A4E60">
        <w:t>ė</w:t>
      </w:r>
      <w:r w:rsidR="001A7256" w:rsidRPr="00662E51">
        <w:t xml:space="preserve"> Sof</w:t>
      </w:r>
      <w:r w:rsidR="00B82227" w:rsidRPr="00662E51">
        <w:t>ía</w:t>
      </w:r>
      <w:r w:rsidR="004A4E60">
        <w:t xml:space="preserve"> Negri</w:t>
      </w:r>
      <w:r w:rsidR="00B82227" w:rsidRPr="00662E51">
        <w:t xml:space="preserve">, </w:t>
      </w:r>
      <w:r w:rsidR="002A3511" w:rsidRPr="00662E51">
        <w:t>Elena</w:t>
      </w:r>
      <w:r w:rsidR="002A3511">
        <w:t xml:space="preserve"> Garova</w:t>
      </w:r>
      <w:r w:rsidR="00C025AE">
        <w:t>,</w:t>
      </w:r>
      <w:r w:rsidR="002A3511" w:rsidRPr="00662E51">
        <w:t xml:space="preserve"> </w:t>
      </w:r>
      <w:r w:rsidR="00B82227" w:rsidRPr="00662E51">
        <w:t>Shruti</w:t>
      </w:r>
      <w:r w:rsidR="004A4E60">
        <w:t xml:space="preserve"> Arora</w:t>
      </w:r>
      <w:r w:rsidR="00B82227" w:rsidRPr="00662E51">
        <w:t xml:space="preserve">, </w:t>
      </w:r>
      <w:r w:rsidR="00A41091" w:rsidRPr="00662E51">
        <w:t>Melissa</w:t>
      </w:r>
      <w:r w:rsidR="00A41091">
        <w:t xml:space="preserve"> Slep</w:t>
      </w:r>
      <w:r w:rsidR="00A41091" w:rsidRPr="00662E51">
        <w:t xml:space="preserve">, </w:t>
      </w:r>
      <w:r w:rsidR="00EA5309" w:rsidRPr="00662E51">
        <w:t>Michael</w:t>
      </w:r>
      <w:r w:rsidR="004A4E60">
        <w:t xml:space="preserve"> Siebert</w:t>
      </w:r>
      <w:r w:rsidR="00EA5309" w:rsidRPr="00662E51">
        <w:t xml:space="preserve">, </w:t>
      </w:r>
      <w:r w:rsidR="000B62F3" w:rsidRPr="00662E51">
        <w:t xml:space="preserve">Fraser </w:t>
      </w:r>
      <w:r w:rsidR="004A4E60">
        <w:t xml:space="preserve">Curry </w:t>
      </w:r>
      <w:r w:rsidR="000B62F3" w:rsidRPr="00662E51">
        <w:t>(and Ellie</w:t>
      </w:r>
      <w:r w:rsidR="0069042E">
        <w:t xml:space="preserve"> Horne</w:t>
      </w:r>
      <w:r w:rsidR="000B62F3" w:rsidRPr="00662E51">
        <w:t>),</w:t>
      </w:r>
      <w:r w:rsidR="000D69B3">
        <w:t xml:space="preserve"> Natasha</w:t>
      </w:r>
      <w:r w:rsidR="0069042E">
        <w:t xml:space="preserve"> Sharma</w:t>
      </w:r>
      <w:r w:rsidR="000D69B3">
        <w:t>,</w:t>
      </w:r>
      <w:r w:rsidR="000B62F3" w:rsidRPr="00662E51">
        <w:t xml:space="preserve"> </w:t>
      </w:r>
      <w:r w:rsidR="009762C9" w:rsidRPr="00662E51">
        <w:t>Livvy</w:t>
      </w:r>
      <w:r w:rsidR="0069042E">
        <w:t xml:space="preserve"> O’Hagan</w:t>
      </w:r>
      <w:r w:rsidR="009762C9" w:rsidRPr="00662E51">
        <w:t xml:space="preserve">, </w:t>
      </w:r>
      <w:r w:rsidR="005A77B2" w:rsidRPr="00662E51">
        <w:t>Sean</w:t>
      </w:r>
      <w:r w:rsidR="00231D3E">
        <w:t xml:space="preserve"> Harding</w:t>
      </w:r>
      <w:r w:rsidR="005A77B2" w:rsidRPr="00662E51">
        <w:t>, Glyn</w:t>
      </w:r>
      <w:r w:rsidR="00231D3E">
        <w:t xml:space="preserve"> Robbins</w:t>
      </w:r>
      <w:r w:rsidR="005A77B2" w:rsidRPr="00662E51">
        <w:t>, Rimsha</w:t>
      </w:r>
      <w:r w:rsidR="00231D3E">
        <w:t xml:space="preserve"> Durrani</w:t>
      </w:r>
      <w:r w:rsidR="005A77B2" w:rsidRPr="00662E51">
        <w:t>,</w:t>
      </w:r>
      <w:r w:rsidR="002E1F5A" w:rsidRPr="00662E51">
        <w:t xml:space="preserve"> </w:t>
      </w:r>
      <w:r w:rsidR="006B6A80">
        <w:t xml:space="preserve">Jenni Boddy, </w:t>
      </w:r>
      <w:r w:rsidR="00F32F91" w:rsidRPr="00662E51">
        <w:t>Aakash</w:t>
      </w:r>
      <w:r w:rsidR="00231D3E">
        <w:t xml:space="preserve"> Patel</w:t>
      </w:r>
      <w:r w:rsidR="00F32F91" w:rsidRPr="00662E51">
        <w:t xml:space="preserve">, </w:t>
      </w:r>
      <w:r w:rsidR="00B21768" w:rsidRPr="00662E51">
        <w:t>Estelle</w:t>
      </w:r>
      <w:r w:rsidR="00C7386F">
        <w:t xml:space="preserve"> Broyer</w:t>
      </w:r>
      <w:r w:rsidR="00B21768" w:rsidRPr="00662E51">
        <w:t xml:space="preserve">, </w:t>
      </w:r>
      <w:r w:rsidR="00FC0225">
        <w:t>Avery</w:t>
      </w:r>
      <w:r w:rsidR="00C7386F">
        <w:t xml:space="preserve"> Larkin</w:t>
      </w:r>
      <w:r w:rsidR="00FC0225">
        <w:t xml:space="preserve">, </w:t>
      </w:r>
      <w:r w:rsidR="00DB0DB6">
        <w:t>Pradnya</w:t>
      </w:r>
      <w:r w:rsidR="00C7386F">
        <w:t xml:space="preserve"> Narkhede</w:t>
      </w:r>
      <w:r w:rsidR="00A0512D">
        <w:t xml:space="preserve">, </w:t>
      </w:r>
      <w:r w:rsidR="00B21768" w:rsidRPr="00662E51">
        <w:t>Alex</w:t>
      </w:r>
      <w:r w:rsidR="00CE7282">
        <w:t xml:space="preserve"> D</w:t>
      </w:r>
      <w:r w:rsidR="00C7386F">
        <w:t>avis</w:t>
      </w:r>
      <w:r w:rsidR="00B21768" w:rsidRPr="00662E51">
        <w:t xml:space="preserve">, </w:t>
      </w:r>
      <w:r w:rsidR="002E1F5A" w:rsidRPr="00662E51">
        <w:t xml:space="preserve">and others. </w:t>
      </w:r>
    </w:p>
    <w:p w14:paraId="11C4AC6B" w14:textId="7B6EDBA4" w:rsidR="00327CDF" w:rsidRPr="00662E51" w:rsidRDefault="00551F7E" w:rsidP="002A48AD">
      <w:pPr>
        <w:spacing w:line="360" w:lineRule="auto"/>
        <w:ind w:left="0"/>
      </w:pPr>
      <w:r w:rsidRPr="00662E51">
        <w:tab/>
        <w:t xml:space="preserve">Thank you also to my family: Dad, Momomji, and Arvind. </w:t>
      </w:r>
      <w:r w:rsidR="002A48AD" w:rsidRPr="00662E51">
        <w:t>Sorry for moving so far away but thank you, thank you for all the support since the beginning. Where would I be without you?</w:t>
      </w:r>
      <w:r w:rsidR="00327CDF" w:rsidRPr="00662E51">
        <w:br w:type="page"/>
      </w:r>
    </w:p>
    <w:p w14:paraId="65B1DFB8" w14:textId="6100C6B0" w:rsidR="00EF70A9" w:rsidRPr="00662E51" w:rsidRDefault="00433C10" w:rsidP="00DB0DB6">
      <w:pPr>
        <w:pStyle w:val="Style1"/>
      </w:pPr>
      <w:bookmarkStart w:id="13" w:name="_Toc216096137"/>
      <w:bookmarkStart w:id="14" w:name="_Toc221184287"/>
      <w:bookmarkStart w:id="15" w:name="_Toc231215210"/>
      <w:r w:rsidRPr="00662E51">
        <w:lastRenderedPageBreak/>
        <w:t xml:space="preserve">Chapter 1: </w:t>
      </w:r>
      <w:r w:rsidR="00EF70A9" w:rsidRPr="00662E51">
        <w:t>Introduction</w:t>
      </w:r>
      <w:bookmarkEnd w:id="13"/>
      <w:bookmarkEnd w:id="14"/>
      <w:bookmarkEnd w:id="15"/>
    </w:p>
    <w:p w14:paraId="73E0748D" w14:textId="3F8684AD" w:rsidR="00EF70A9" w:rsidRPr="00662E51" w:rsidRDefault="00EF70A9" w:rsidP="00D06002">
      <w:pPr>
        <w:spacing w:line="360" w:lineRule="auto"/>
        <w:ind w:left="0"/>
        <w:rPr>
          <w:szCs w:val="24"/>
        </w:rPr>
      </w:pPr>
      <w:r w:rsidRPr="00662E51">
        <w:rPr>
          <w:szCs w:val="24"/>
        </w:rPr>
        <w:t>The frigid, morning London air filled my lungs as I stepped out of the Wood Green tube station. I had crossed the city that morning for a protest—the council housing</w:t>
      </w:r>
      <w:r w:rsidRPr="00BD17AF">
        <w:rPr>
          <w:rStyle w:val="FootnoteReference"/>
        </w:rPr>
        <w:footnoteReference w:id="1"/>
      </w:r>
      <w:r w:rsidRPr="00662E51">
        <w:rPr>
          <w:szCs w:val="24"/>
        </w:rPr>
        <w:t xml:space="preserve"> </w:t>
      </w:r>
      <w:r w:rsidR="00E85923">
        <w:rPr>
          <w:szCs w:val="24"/>
        </w:rPr>
        <w:t xml:space="preserve">maintenance and repair </w:t>
      </w:r>
      <w:r w:rsidRPr="00662E51">
        <w:rPr>
          <w:szCs w:val="24"/>
        </w:rPr>
        <w:t>workers of the London Borough of Haringey</w:t>
      </w:r>
      <w:r w:rsidRPr="00BD17AF">
        <w:rPr>
          <w:rStyle w:val="FootnoteReference"/>
        </w:rPr>
        <w:footnoteReference w:id="2"/>
      </w:r>
      <w:r w:rsidRPr="00662E51">
        <w:rPr>
          <w:szCs w:val="24"/>
        </w:rPr>
        <w:t xml:space="preserve"> were on strike. Their union alleged long-standing low pay, poor management and treatment, and the use of </w:t>
      </w:r>
      <w:r w:rsidR="0030499B" w:rsidRPr="00662E51">
        <w:rPr>
          <w:szCs w:val="24"/>
        </w:rPr>
        <w:t>strike-breakers</w:t>
      </w:r>
      <w:r w:rsidRPr="00662E51">
        <w:rPr>
          <w:szCs w:val="24"/>
        </w:rPr>
        <w:t xml:space="preserve">. I was there in solidarity, but I also suspected I might be able to make some connections and gather data for my doctoral work. </w:t>
      </w:r>
    </w:p>
    <w:p w14:paraId="04E435D8" w14:textId="15A5B0CD" w:rsidR="00EF70A9" w:rsidRPr="00662E51" w:rsidRDefault="00EF70A9" w:rsidP="00F56305">
      <w:pPr>
        <w:spacing w:line="360" w:lineRule="auto"/>
        <w:ind w:left="0" w:firstLine="720"/>
        <w:rPr>
          <w:szCs w:val="24"/>
        </w:rPr>
      </w:pPr>
      <w:r w:rsidRPr="00662E51">
        <w:rPr>
          <w:szCs w:val="24"/>
        </w:rPr>
        <w:t>While the protest itself was not lively, the informal chats with workers were illuminating: there was widespread anger against the Labour-led council</w:t>
      </w:r>
      <w:r w:rsidR="0080459E">
        <w:rPr>
          <w:szCs w:val="24"/>
        </w:rPr>
        <w:t>—specifically, at councillors</w:t>
      </w:r>
      <w:r w:rsidR="00BD708F" w:rsidRPr="00BD17AF">
        <w:rPr>
          <w:rStyle w:val="FootnoteReference"/>
        </w:rPr>
        <w:footnoteReference w:id="3"/>
      </w:r>
      <w:r w:rsidR="0080459E">
        <w:rPr>
          <w:szCs w:val="24"/>
        </w:rPr>
        <w:t xml:space="preserve"> and upper management—</w:t>
      </w:r>
      <w:r w:rsidRPr="00662E51">
        <w:rPr>
          <w:szCs w:val="24"/>
        </w:rPr>
        <w:t xml:space="preserve">for what were perceived to be strike-breaking tactics. Allegedly, council </w:t>
      </w:r>
      <w:r w:rsidR="00A81916">
        <w:rPr>
          <w:szCs w:val="24"/>
        </w:rPr>
        <w:t xml:space="preserve">management and political leaders </w:t>
      </w:r>
      <w:r w:rsidRPr="00662E51">
        <w:rPr>
          <w:szCs w:val="24"/>
        </w:rPr>
        <w:t xml:space="preserve">were intentionally delaying </w:t>
      </w:r>
      <w:r w:rsidR="005B264B" w:rsidRPr="00662E51">
        <w:rPr>
          <w:szCs w:val="24"/>
        </w:rPr>
        <w:t xml:space="preserve">dispute-related pay </w:t>
      </w:r>
      <w:r w:rsidRPr="00662E51">
        <w:rPr>
          <w:szCs w:val="24"/>
        </w:rPr>
        <w:t xml:space="preserve">deductions so that </w:t>
      </w:r>
      <w:r w:rsidR="005B264B" w:rsidRPr="00662E51">
        <w:rPr>
          <w:szCs w:val="24"/>
        </w:rPr>
        <w:t xml:space="preserve">striking staff lost </w:t>
      </w:r>
      <w:r w:rsidR="00A12C14" w:rsidRPr="00662E51">
        <w:rPr>
          <w:szCs w:val="24"/>
        </w:rPr>
        <w:t xml:space="preserve">wages over the period. Union leaders also alleged the council was using </w:t>
      </w:r>
      <w:r w:rsidR="002C03FF" w:rsidRPr="00662E51">
        <w:rPr>
          <w:szCs w:val="24"/>
        </w:rPr>
        <w:t xml:space="preserve">external </w:t>
      </w:r>
      <w:r w:rsidRPr="00662E51">
        <w:rPr>
          <w:szCs w:val="24"/>
        </w:rPr>
        <w:t>contractors as strike breakers. “That</w:t>
      </w:r>
      <w:r w:rsidR="002B14C8" w:rsidRPr="00662E51">
        <w:rPr>
          <w:szCs w:val="24"/>
        </w:rPr>
        <w:t>’</w:t>
      </w:r>
      <w:r w:rsidRPr="00662E51">
        <w:rPr>
          <w:szCs w:val="24"/>
        </w:rPr>
        <w:t xml:space="preserve">s management,” one said. Another told me, with the help of expletives, the council’s unwillingness to resolve the strike action was hurting council residents. Additionally, some were confused about how the council’s stated aims to redevelop, and later sell, some of its property would impact their work prospects. All were disappointed that a council led by a self-professed radical and democratic socialist party—one that I was, at the time, a member of—would engage in anti-union activity. After several hours in the cold, we decamped to a local Irish pub to drink some Guinness before lunch; it helped ease the ninety-minute journey home and gave me time to reflect and scribble some notes. </w:t>
      </w:r>
    </w:p>
    <w:p w14:paraId="41F2533F" w14:textId="2D5C8977" w:rsidR="00EF70A9" w:rsidRPr="00662E51" w:rsidRDefault="00EF70A9" w:rsidP="00F56305">
      <w:pPr>
        <w:spacing w:line="360" w:lineRule="auto"/>
        <w:ind w:left="0"/>
        <w:rPr>
          <w:szCs w:val="24"/>
        </w:rPr>
      </w:pPr>
      <w:r w:rsidRPr="00662E51">
        <w:rPr>
          <w:szCs w:val="24"/>
        </w:rPr>
        <w:lastRenderedPageBreak/>
        <w:tab/>
        <w:t>Haringey Council’s</w:t>
      </w:r>
      <w:r w:rsidRPr="00BD17AF">
        <w:rPr>
          <w:rStyle w:val="FootnoteReference"/>
        </w:rPr>
        <w:footnoteReference w:id="4"/>
      </w:r>
      <w:r w:rsidRPr="00662E51">
        <w:rPr>
          <w:szCs w:val="24"/>
        </w:rPr>
        <w:t xml:space="preserve"> conflict with its workers opened my eyes to</w:t>
      </w:r>
      <w:r w:rsidR="005001BA">
        <w:rPr>
          <w:szCs w:val="24"/>
        </w:rPr>
        <w:t xml:space="preserve"> both</w:t>
      </w:r>
      <w:r w:rsidRPr="00662E51">
        <w:rPr>
          <w:szCs w:val="24"/>
        </w:rPr>
        <w:t xml:space="preserve"> the multiple, overlapping themes </w:t>
      </w:r>
      <w:r w:rsidR="005001BA">
        <w:rPr>
          <w:szCs w:val="24"/>
        </w:rPr>
        <w:t xml:space="preserve">and the messiness of governing </w:t>
      </w:r>
      <w:r w:rsidRPr="00662E51">
        <w:rPr>
          <w:szCs w:val="24"/>
        </w:rPr>
        <w:t>that drive this doctoral project. The</w:t>
      </w:r>
      <w:r w:rsidR="005001BA">
        <w:rPr>
          <w:szCs w:val="24"/>
        </w:rPr>
        <w:t xml:space="preserve"> repair and maintenance</w:t>
      </w:r>
      <w:r w:rsidRPr="00662E51">
        <w:rPr>
          <w:szCs w:val="24"/>
        </w:rPr>
        <w:t xml:space="preserve"> workers highlighted the relationship(s) between the council and its leading party (Labour) as a source of frustration. These conversations led me to believe that this frustration—among housing workers </w:t>
      </w:r>
      <w:r w:rsidRPr="00662E51">
        <w:rPr>
          <w:i/>
          <w:iCs/>
          <w:szCs w:val="24"/>
        </w:rPr>
        <w:t>and</w:t>
      </w:r>
      <w:r w:rsidRPr="00662E51">
        <w:rPr>
          <w:szCs w:val="24"/>
        </w:rPr>
        <w:t xml:space="preserve"> tenants—was long-standing, with a </w:t>
      </w:r>
      <w:r w:rsidR="00621720">
        <w:rPr>
          <w:szCs w:val="24"/>
        </w:rPr>
        <w:t xml:space="preserve">deep </w:t>
      </w:r>
      <w:r w:rsidRPr="00662E51">
        <w:rPr>
          <w:szCs w:val="24"/>
        </w:rPr>
        <w:t xml:space="preserve">history. It also highlighted the contradictory and complex ways the local state engaged in housing its population: it was a landlord, a service provider, </w:t>
      </w:r>
      <w:r w:rsidR="00992607" w:rsidRPr="00662E51">
        <w:rPr>
          <w:szCs w:val="24"/>
        </w:rPr>
        <w:t xml:space="preserve">a territory over which politicians fought, </w:t>
      </w:r>
      <w:r w:rsidRPr="00662E51">
        <w:rPr>
          <w:szCs w:val="24"/>
        </w:rPr>
        <w:t xml:space="preserve">and a </w:t>
      </w:r>
      <w:r w:rsidR="00881847">
        <w:rPr>
          <w:szCs w:val="24"/>
        </w:rPr>
        <w:t>manager</w:t>
      </w:r>
      <w:r w:rsidRPr="00662E51">
        <w:rPr>
          <w:szCs w:val="24"/>
        </w:rPr>
        <w:t xml:space="preserve">. These disparate roles aggravated problems as much as it solved them. Casual references to the council’s professional staff and councillors indicated the importance of personal relationships across all actors. I had known that Haringey Council was interested in redeveloping many of its properties, particularly a widely publicised (but failed) attempt in 2017. Yet, I had not deeply thought about how these relationships would matter in all parts of the council’s work. I wanted to know how the relationship between the state and the party can be better understood—especially at the local level, where one-party states are common. I also thought about how activism might succeed in this case: </w:t>
      </w:r>
      <w:r w:rsidR="00CE26D0">
        <w:rPr>
          <w:szCs w:val="24"/>
        </w:rPr>
        <w:t xml:space="preserve">how can activists shift states that have so </w:t>
      </w:r>
      <w:r w:rsidRPr="00662E51">
        <w:rPr>
          <w:szCs w:val="24"/>
        </w:rPr>
        <w:t>many institutional responsibilities and leverages? What strategies can change the individual-state relation</w:t>
      </w:r>
      <w:r w:rsidR="00F47434">
        <w:rPr>
          <w:szCs w:val="24"/>
        </w:rPr>
        <w:t>ship</w:t>
      </w:r>
      <w:r w:rsidRPr="00662E51">
        <w:rPr>
          <w:szCs w:val="24"/>
        </w:rPr>
        <w:t xml:space="preserve"> that do not resort to spectacles of resistance that risk significant retribution? As I thought more about the striking workers and the trajectory of housing in the borough, Haringey became the perfect case study to investigate how the local state and the local party sometimes work together and sometimes work against each other. This borough, with its complex history, thus opened up new paths for me to better understand contemporary council housing and capitalism. </w:t>
      </w:r>
    </w:p>
    <w:p w14:paraId="08705F13" w14:textId="4F2A5188" w:rsidR="00EF70A9" w:rsidRPr="00662E51" w:rsidRDefault="008010A7" w:rsidP="00F56305">
      <w:pPr>
        <w:spacing w:line="360" w:lineRule="auto"/>
        <w:ind w:left="0"/>
        <w:jc w:val="center"/>
        <w:rPr>
          <w:szCs w:val="24"/>
        </w:rPr>
      </w:pPr>
      <w:r w:rsidRPr="00662E51">
        <w:rPr>
          <w:sz w:val="32"/>
          <w:szCs w:val="32"/>
        </w:rPr>
        <w:t>† † †</w:t>
      </w:r>
    </w:p>
    <w:p w14:paraId="59FBFE71" w14:textId="1155B62D" w:rsidR="00EF70A9" w:rsidRPr="00662E51" w:rsidRDefault="004310B7" w:rsidP="001428C8">
      <w:pPr>
        <w:spacing w:line="360" w:lineRule="auto"/>
        <w:ind w:left="0" w:firstLine="720"/>
        <w:rPr>
          <w:szCs w:val="24"/>
        </w:rPr>
      </w:pPr>
      <w:r w:rsidRPr="00662E51">
        <w:rPr>
          <w:szCs w:val="24"/>
        </w:rPr>
        <w:t>This doctoral thesis</w:t>
      </w:r>
      <w:r w:rsidR="00C6445A">
        <w:rPr>
          <w:szCs w:val="24"/>
        </w:rPr>
        <w:t xml:space="preserve"> incorporating publications</w:t>
      </w:r>
      <w:r w:rsidRPr="00662E51">
        <w:rPr>
          <w:szCs w:val="24"/>
        </w:rPr>
        <w:t>, at its core, seeks to understand how British local governments continue large-scale urban redevelopment schemes despite strong local opposition.</w:t>
      </w:r>
      <w:r w:rsidR="00CB1842" w:rsidRPr="00662E51">
        <w:rPr>
          <w:szCs w:val="24"/>
        </w:rPr>
        <w:t xml:space="preserve"> The </w:t>
      </w:r>
      <w:r w:rsidR="00D52B23">
        <w:rPr>
          <w:szCs w:val="24"/>
        </w:rPr>
        <w:t>projects</w:t>
      </w:r>
      <w:r w:rsidR="00CB1842" w:rsidRPr="00662E51">
        <w:rPr>
          <w:szCs w:val="24"/>
        </w:rPr>
        <w:t xml:space="preserve"> of interest typically aim to redevelop large numbers of council housing, which </w:t>
      </w:r>
      <w:r w:rsidR="00EF70A9" w:rsidRPr="00662E51">
        <w:rPr>
          <w:szCs w:val="24"/>
        </w:rPr>
        <w:t xml:space="preserve">has been an </w:t>
      </w:r>
      <w:r w:rsidR="00EF70A9" w:rsidRPr="00662E51">
        <w:rPr>
          <w:szCs w:val="24"/>
        </w:rPr>
        <w:lastRenderedPageBreak/>
        <w:t>integral part of British life since its inception at the end of the 19</w:t>
      </w:r>
      <w:r w:rsidR="00EF70A9" w:rsidRPr="00662E51">
        <w:rPr>
          <w:szCs w:val="24"/>
          <w:vertAlign w:val="superscript"/>
        </w:rPr>
        <w:t>th</w:t>
      </w:r>
      <w:r w:rsidR="00EF70A9" w:rsidRPr="00662E51">
        <w:rPr>
          <w:szCs w:val="24"/>
        </w:rPr>
        <w:t xml:space="preserve"> century. However, council housing has gone through several significant stages over its history, with it now mostly relegated to a tenancy of last resort for many of the country’s most marginalised </w:t>
      </w:r>
      <w:r w:rsidR="00EF70A9" w:rsidRPr="00662E51">
        <w:rPr>
          <w:szCs w:val="24"/>
        </w:rPr>
        <w:fldChar w:fldCharType="begin"/>
      </w:r>
      <w:r w:rsidR="001B2CAA">
        <w:rPr>
          <w:szCs w:val="24"/>
        </w:rPr>
        <w:instrText xml:space="preserve"> ADDIN ZOTERO_ITEM CSL_CITATION {"citationID":"OPpGFCTh","properties":{"formattedCitation":"(Watt 2021b)","plainCitation":"(Watt 2021b)","noteIndex":0},"citationItems":[{"id":"n0Saldgp/r7qNchtf","uris":["http://zotero.org/users/8977980/items/BHKUJBH9"],"itemData":{"id":"QSItRkv5/wFTxH6qA","type":"book","abstract":"Public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00EF70A9" w:rsidRPr="00662E51">
        <w:rPr>
          <w:szCs w:val="24"/>
        </w:rPr>
        <w:fldChar w:fldCharType="separate"/>
      </w:r>
      <w:r w:rsidR="005E72FD" w:rsidRPr="00662E51">
        <w:t>(Watt 2021b)</w:t>
      </w:r>
      <w:r w:rsidR="00EF70A9" w:rsidRPr="00662E51">
        <w:rPr>
          <w:szCs w:val="24"/>
        </w:rPr>
        <w:fldChar w:fldCharType="end"/>
      </w:r>
      <w:r w:rsidR="00EF70A9" w:rsidRPr="00662E51">
        <w:rPr>
          <w:szCs w:val="24"/>
        </w:rPr>
        <w:t>. Even then, it remains under threat from old problems</w:t>
      </w:r>
      <w:r w:rsidR="00DD24D5">
        <w:rPr>
          <w:szCs w:val="24"/>
        </w:rPr>
        <w:t xml:space="preserve"> (</w:t>
      </w:r>
      <w:r w:rsidR="00EF70A9" w:rsidRPr="00662E51">
        <w:rPr>
          <w:szCs w:val="24"/>
        </w:rPr>
        <w:t>like Right to Buy</w:t>
      </w:r>
      <w:r w:rsidR="00CA7554" w:rsidRPr="00BD17AF">
        <w:rPr>
          <w:rStyle w:val="FootnoteReference"/>
        </w:rPr>
        <w:footnoteReference w:id="5"/>
      </w:r>
      <w:r w:rsidR="00EF70A9" w:rsidRPr="00662E51">
        <w:rPr>
          <w:szCs w:val="24"/>
        </w:rPr>
        <w:t xml:space="preserve"> and underinvestment</w:t>
      </w:r>
      <w:r w:rsidR="00DD24D5">
        <w:rPr>
          <w:szCs w:val="24"/>
        </w:rPr>
        <w:t>)</w:t>
      </w:r>
      <w:r w:rsidR="00EF70A9" w:rsidRPr="00662E51">
        <w:rPr>
          <w:szCs w:val="24"/>
        </w:rPr>
        <w:t xml:space="preserve"> and new concerns</w:t>
      </w:r>
      <w:r w:rsidR="00DD24D5">
        <w:rPr>
          <w:szCs w:val="24"/>
        </w:rPr>
        <w:t xml:space="preserve"> (</w:t>
      </w:r>
      <w:r w:rsidR="00EF70A9" w:rsidRPr="00662E51">
        <w:rPr>
          <w:szCs w:val="24"/>
        </w:rPr>
        <w:t>such as financialisation and speculation</w:t>
      </w:r>
      <w:r w:rsidR="00DD24D5">
        <w:rPr>
          <w:szCs w:val="24"/>
        </w:rPr>
        <w:t>)</w:t>
      </w:r>
      <w:r w:rsidR="00EF70A9" w:rsidRPr="00662E51">
        <w:rPr>
          <w:szCs w:val="24"/>
        </w:rPr>
        <w:t xml:space="preserve">. As it circulates in discourse and is established through policy, council housing remains a salient element of the British state, frequently surfacing in news and political commentary. As social housing is under the purview of local councils, its debates often reflect a locality’s politics. As my personal experience with public housing in New York City revealed, </w:t>
      </w:r>
      <w:r w:rsidR="007467B5">
        <w:rPr>
          <w:szCs w:val="24"/>
        </w:rPr>
        <w:t xml:space="preserve">municipalities </w:t>
      </w:r>
      <w:r w:rsidR="00EF70A9" w:rsidRPr="00662E51">
        <w:rPr>
          <w:szCs w:val="24"/>
        </w:rPr>
        <w:t>that are historically represented by one party</w:t>
      </w:r>
      <w:r w:rsidR="00EF70A9" w:rsidRPr="00BD17AF">
        <w:rPr>
          <w:rStyle w:val="FootnoteReference"/>
        </w:rPr>
        <w:footnoteReference w:id="6"/>
      </w:r>
      <w:r w:rsidR="00EF70A9" w:rsidRPr="00662E51">
        <w:rPr>
          <w:szCs w:val="24"/>
        </w:rPr>
        <w:t xml:space="preserve"> have particularly fractious and factional politics, often dominated by interpersonal relationships and petty disagreements rather than either a drive to improve a community or simply win more votes than the opposing party. Social housing in New York was undergoing rapid transition, and my experience sparked an interest in the connection between the local state and the local party; in a city where one party ruled, all disagreement and contestation was funnelled through it.</w:t>
      </w:r>
    </w:p>
    <w:p w14:paraId="335D2B24" w14:textId="3B3C4877" w:rsidR="00EF70A9" w:rsidRPr="00662E51" w:rsidRDefault="00EF70A9" w:rsidP="00F56305">
      <w:pPr>
        <w:spacing w:line="360" w:lineRule="auto"/>
        <w:ind w:left="0" w:firstLine="720"/>
        <w:rPr>
          <w:szCs w:val="24"/>
        </w:rPr>
      </w:pPr>
      <w:r w:rsidRPr="00662E51">
        <w:rPr>
          <w:szCs w:val="24"/>
        </w:rPr>
        <w:t>Taking the case of a</w:t>
      </w:r>
      <w:r w:rsidR="00A140F1">
        <w:rPr>
          <w:szCs w:val="24"/>
        </w:rPr>
        <w:t xml:space="preserve"> comparably </w:t>
      </w:r>
      <w:r w:rsidRPr="00662E51">
        <w:rPr>
          <w:szCs w:val="24"/>
        </w:rPr>
        <w:t>situated set of moments in the London Borough of Haringey, this research plots out the contested and complicated relationships between the party, the local state, and associated resistance</w:t>
      </w:r>
      <w:r w:rsidR="00E2550D" w:rsidRPr="00662E51">
        <w:rPr>
          <w:szCs w:val="24"/>
        </w:rPr>
        <w:t xml:space="preserve">. </w:t>
      </w:r>
      <w:r w:rsidRPr="00662E51">
        <w:rPr>
          <w:szCs w:val="24"/>
        </w:rPr>
        <w:t xml:space="preserve">I develop three moments of interest in empirical chapters (5-7), but all three have council housing as a </w:t>
      </w:r>
      <w:r w:rsidR="003D10A1">
        <w:rPr>
          <w:szCs w:val="24"/>
        </w:rPr>
        <w:t>core element</w:t>
      </w:r>
      <w:r w:rsidRPr="00662E51">
        <w:rPr>
          <w:szCs w:val="24"/>
        </w:rPr>
        <w:t xml:space="preserve">. Two are about fights over its future in Haringey, while its condition and status as influenced by scales of politics feature prominently in the third case. These three examples reflect the complex ways that local politics and the local state work together to stifle dissent—but also how this collaboration is not always determinative. </w:t>
      </w:r>
    </w:p>
    <w:p w14:paraId="184CC1BF" w14:textId="4253D52D" w:rsidR="00EF70A9" w:rsidRPr="00662E51" w:rsidRDefault="00EF70A9" w:rsidP="00F56305">
      <w:pPr>
        <w:spacing w:line="360" w:lineRule="auto"/>
        <w:ind w:left="0" w:firstLine="720"/>
        <w:rPr>
          <w:szCs w:val="24"/>
        </w:rPr>
      </w:pPr>
      <w:r w:rsidRPr="00662E51">
        <w:rPr>
          <w:szCs w:val="24"/>
        </w:rPr>
        <w:t xml:space="preserve">This research was an in-depth empirical and ethnographic study, investigating the relationships that made up the local party, the local state, and associated resistance. Adding to a set of disparate literatures that stretch from </w:t>
      </w:r>
      <w:r w:rsidRPr="00662E51">
        <w:rPr>
          <w:szCs w:val="24"/>
        </w:rPr>
        <w:lastRenderedPageBreak/>
        <w:t xml:space="preserve">critical state theory </w:t>
      </w:r>
      <w:r w:rsidRPr="00662E51">
        <w:rPr>
          <w:szCs w:val="24"/>
        </w:rPr>
        <w:fldChar w:fldCharType="begin"/>
      </w:r>
      <w:r w:rsidR="008835AB" w:rsidRPr="00662E51">
        <w:rPr>
          <w:szCs w:val="24"/>
        </w:rPr>
        <w:instrText xml:space="preserve"> ADDIN ZOTERO_ITEM CSL_CITATION {"citationID":"ZZW65WHZ","properties":{"formattedCitation":"(Jessop 2010; Painter 2006)","plainCitation":"(Jessop 2010; Painter 2006)","noteIndex":0},"citationItems":[{"id":5755,"uris":["http://zotero.org/users/8977980/items/2VETAAYR"],"itemData":{"id":5755,"type":"book","edition":"Reprinted","ISBN":"978-0-7456-3320-6","language":"eng","number-of-pages":"301","publisher":"Polity Press","publisher-place":"Cambridge","source":"K10plus ISBN","title":"State Power: a strategic-relational approach","title-short":"State power","author":[{"family":"Jessop","given":"Bob"}],"issued":{"date-parts":[["2010"]]}}},{"id":4455,"uris":["http://zotero.org/users/8977980/items/GL23LQTK"],"itemData":{"id":4455,"type":"article-journal","abstract":"Despite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stateness","volume":"25","author":[{"family":"Painter","given":"Joe"}],"issued":{"date-parts":[["2006",9,1]]}}}],"schema":"https://github.com/citation-style-language/schema/raw/master/csl-citation.json"} </w:instrText>
      </w:r>
      <w:r w:rsidRPr="00662E51">
        <w:rPr>
          <w:szCs w:val="24"/>
        </w:rPr>
        <w:fldChar w:fldCharType="separate"/>
      </w:r>
      <w:r w:rsidRPr="00662E51">
        <w:rPr>
          <w:szCs w:val="24"/>
        </w:rPr>
        <w:t>(Jessop 2010; Painter 2006)</w:t>
      </w:r>
      <w:r w:rsidRPr="00662E51">
        <w:rPr>
          <w:szCs w:val="24"/>
        </w:rPr>
        <w:fldChar w:fldCharType="end"/>
      </w:r>
      <w:r w:rsidRPr="00662E51">
        <w:rPr>
          <w:szCs w:val="24"/>
        </w:rPr>
        <w:t xml:space="preserve">, politics </w:t>
      </w:r>
      <w:r w:rsidRPr="00662E51">
        <w:rPr>
          <w:szCs w:val="24"/>
        </w:rPr>
        <w:fldChar w:fldCharType="begin"/>
      </w:r>
      <w:r w:rsidR="008835AB" w:rsidRPr="00662E51">
        <w:rPr>
          <w:szCs w:val="24"/>
        </w:rPr>
        <w:instrText xml:space="preserve"> ADDIN ZOTERO_ITEM CSL_CITATION {"citationID":"Z4kiwgJl","properties":{"formattedCitation":"(Bruff and Tansel 2021)","plainCitation":"(Bruff and Tansel 2021)","noteIndex":0},"citationItems":[{"id":6610,"uris":["http://zotero.org/users/8977980/items/2E9XNATW"],"itemData":{"id":6610,"type":"book","collection-title":"Rethinking globalizations","ISBN":"978-1-032-08802-0","language":"eng","number-of-pages":"141","publisher":"Routledge, Taylor &amp; Francis Group","publisher-place":"London New York","source":"K10plus ISBN","title":"Authoritarian neoliberalism: philosophies, practices, contestations","title-short":"Authoritarian neoliberalism","editor":[{"family":"Bruff","given":"Ian"},{"family":"Tansel","given":"Cemal Burak"}],"issued":{"date-parts":[["2021"]]}}}],"schema":"https://github.com/citation-style-language/schema/raw/master/csl-citation.json"} </w:instrText>
      </w:r>
      <w:r w:rsidRPr="00662E51">
        <w:rPr>
          <w:szCs w:val="24"/>
        </w:rPr>
        <w:fldChar w:fldCharType="separate"/>
      </w:r>
      <w:r w:rsidRPr="00662E51">
        <w:rPr>
          <w:szCs w:val="24"/>
        </w:rPr>
        <w:t>(Bruff and Tansel 2021)</w:t>
      </w:r>
      <w:r w:rsidRPr="00662E51">
        <w:rPr>
          <w:szCs w:val="24"/>
        </w:rPr>
        <w:fldChar w:fldCharType="end"/>
      </w:r>
      <w:r w:rsidRPr="00662E51">
        <w:rPr>
          <w:szCs w:val="24"/>
        </w:rPr>
        <w:t>,</w:t>
      </w:r>
      <w:r w:rsidR="004474E2" w:rsidRPr="00662E51">
        <w:rPr>
          <w:szCs w:val="24"/>
        </w:rPr>
        <w:t xml:space="preserve"> </w:t>
      </w:r>
      <w:r w:rsidRPr="00662E51">
        <w:rPr>
          <w:szCs w:val="24"/>
        </w:rPr>
        <w:t xml:space="preserve">and geography </w:t>
      </w:r>
      <w:r w:rsidRPr="00662E51">
        <w:rPr>
          <w:szCs w:val="24"/>
        </w:rPr>
        <w:fldChar w:fldCharType="begin"/>
      </w:r>
      <w:r w:rsidRPr="00662E51">
        <w:rPr>
          <w:szCs w:val="24"/>
        </w:rPr>
        <w:instrText xml:space="preserve"> ADDIN ZOTERO_ITEM CSL_CITATION {"citationID":"0BqMQoh2","properties":{"formattedCitation":"(Ormerod 2021)","plainCitation":"(Ormerod 2021)","noteIndex":0},"citationItems":[{"id":3295,"uris":["http://zotero.org/users/8977980/items/UP7CRFTK"],"itemData":{"id":3295,"type":"article-journal","abstract":"This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Pr="00662E51">
        <w:rPr>
          <w:szCs w:val="24"/>
        </w:rPr>
        <w:t>(Ormerod 2021)</w:t>
      </w:r>
      <w:r w:rsidRPr="00662E51">
        <w:rPr>
          <w:szCs w:val="24"/>
        </w:rPr>
        <w:fldChar w:fldCharType="end"/>
      </w:r>
      <w:r w:rsidRPr="00662E51">
        <w:rPr>
          <w:szCs w:val="24"/>
        </w:rPr>
        <w:t xml:space="preserve">, the thesis insists on a relational and open conception of the state, treating it not as a distinct and reified object but rather as a relation. Using critical perspectives on the Labour Party </w:t>
      </w:r>
      <w:r w:rsidRPr="00662E51">
        <w:rPr>
          <w:szCs w:val="24"/>
        </w:rPr>
        <w:fldChar w:fldCharType="begin"/>
      </w:r>
      <w:r w:rsidR="008835AB" w:rsidRPr="00662E51">
        <w:rPr>
          <w:szCs w:val="24"/>
        </w:rPr>
        <w:instrText xml:space="preserve"> ADDIN ZOTERO_ITEM CSL_CITATION {"citationID":"UYe0MAfX","properties":{"formattedCitation":"(Cockburn 1980; Gilbert 2023; Miliband 1973)","plainCitation":"(Cockburn 1980; Gilbert 2023; Miliband 1973)","noteIndex":0},"citationItems":[{"id":5811,"uris":["http://zotero.org/users/8977980/items/U5ZYVUT5"],"itemData":{"id":5811,"type":"book","edition":"Repr","ISBN":"978-0-904383-48-5","language":"eng","number-of-pages":"207","publisher":"Pluto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6775,"uris":["http://zotero.org/users/8977980/items/WA9H2UEI"],"itemData":{"id":6775,"type":"book","call-number":"324.24107 MIL","edition":"2d ed.","ISBN":"978-0-85036-135-3","language":"eng","number-of-pages":"384","publisher":"Merlin Press","publisher-place":"London","source":"discover.durham.ac.uk","title":"Parliamentary socialism: a study in the politics of Labour","title-short":"Parliamentary socialism","author":[{"family":"Miliband","given":"Ralph"}],"issued":{"date-parts":[["1973"]]}}}],"schema":"https://github.com/citation-style-language/schema/raw/master/csl-citation.json"} </w:instrText>
      </w:r>
      <w:r w:rsidRPr="00662E51">
        <w:rPr>
          <w:szCs w:val="24"/>
        </w:rPr>
        <w:fldChar w:fldCharType="separate"/>
      </w:r>
      <w:r w:rsidRPr="00662E51">
        <w:rPr>
          <w:szCs w:val="24"/>
        </w:rPr>
        <w:t>(Cockburn 1980; Gilbert 2023; Miliband 1973)</w:t>
      </w:r>
      <w:r w:rsidRPr="00662E51">
        <w:rPr>
          <w:szCs w:val="24"/>
        </w:rPr>
        <w:fldChar w:fldCharType="end"/>
      </w:r>
      <w:r w:rsidRPr="00662E51">
        <w:rPr>
          <w:szCs w:val="24"/>
        </w:rPr>
        <w:t xml:space="preserve">, I also argue that political scholars must pay more attention to the way the party significantly shapes policymaking—especially in states that are traditionally one-party strongholds. However, against typical descriptions of the party as institutions that foreclose dissent, I contend that the inherent relationality of the state and the party mean that avenues of resistance always exist </w:t>
      </w:r>
      <w:r w:rsidR="0061116E" w:rsidRPr="00662E51">
        <w:rPr>
          <w:szCs w:val="24"/>
        </w:rPr>
        <w:fldChar w:fldCharType="begin"/>
      </w:r>
      <w:r w:rsidR="00F15CF8">
        <w:rPr>
          <w:szCs w:val="24"/>
        </w:rPr>
        <w:instrText xml:space="preserve"> ADDIN ZOTERO_ITEM CSL_CITATION {"citationID":"aVmX7KKy","properties":{"formattedCitation":"(Copus 2004, 2015, 2023)","plainCitation":"(Copus 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schema":"https://github.com/citation-style-language/schema/raw/master/csl-citation.json"} </w:instrText>
      </w:r>
      <w:r w:rsidR="0061116E" w:rsidRPr="00662E51">
        <w:rPr>
          <w:szCs w:val="24"/>
        </w:rPr>
        <w:fldChar w:fldCharType="separate"/>
      </w:r>
      <w:r w:rsidR="00F15CF8" w:rsidRPr="00F15CF8">
        <w:t>(Copus 2004, 2015, 2023)</w:t>
      </w:r>
      <w:r w:rsidR="0061116E" w:rsidRPr="00662E51">
        <w:rPr>
          <w:szCs w:val="24"/>
        </w:rPr>
        <w:fldChar w:fldCharType="end"/>
      </w:r>
      <w:r w:rsidR="0061116E" w:rsidRPr="00662E51">
        <w:rPr>
          <w:szCs w:val="24"/>
        </w:rPr>
        <w:t xml:space="preserve">. </w:t>
      </w:r>
      <w:r w:rsidRPr="00662E51">
        <w:rPr>
          <w:szCs w:val="24"/>
        </w:rPr>
        <w:t xml:space="preserve">Drawing from citizenship studies </w:t>
      </w:r>
      <w:r w:rsidR="004474E2" w:rsidRPr="00662E51">
        <w:rPr>
          <w:szCs w:val="24"/>
        </w:rPr>
        <w:fldChar w:fldCharType="begin"/>
      </w:r>
      <w:r w:rsidR="008E2F28">
        <w:rPr>
          <w:szCs w:val="24"/>
        </w:rPr>
        <w:instrText xml:space="preserve"> ADDIN ZOTERO_ITEM CSL_CITATION {"citationID":"jIoziQWX","properties":{"formattedCitation":"(Isin 2008; Jakim\\uc0\\u243{}w 2022)","plainCitation":"(Isin 2008; Jakimów 2022)","noteIndex":0},"citationItems":[{"id":256,"uris":["http://zotero.org/users/8977980/items/ZRWP6PIY"],"itemData":{"id":256,"type":"chapter","abstract":"Politics,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contexts","volume":"26","author":[{"family":"Jakimów","given":"Małgorzata"}],"issued":{"date-parts":[["2022",7,4]]}}}],"schema":"https://github.com/citation-style-language/schema/raw/master/csl-citation.json"} </w:instrText>
      </w:r>
      <w:r w:rsidR="004474E2" w:rsidRPr="00662E51">
        <w:rPr>
          <w:szCs w:val="24"/>
        </w:rPr>
        <w:fldChar w:fldCharType="separate"/>
      </w:r>
      <w:r w:rsidR="008E2F28" w:rsidRPr="008E2F28">
        <w:rPr>
          <w:rFonts w:cs="Times New Roman"/>
          <w:kern w:val="0"/>
        </w:rPr>
        <w:t>(Isin 2008; Jakimów 2022)</w:t>
      </w:r>
      <w:r w:rsidR="004474E2" w:rsidRPr="00662E51">
        <w:rPr>
          <w:szCs w:val="24"/>
        </w:rPr>
        <w:fldChar w:fldCharType="end"/>
      </w:r>
      <w:r w:rsidR="004474E2" w:rsidRPr="00662E51">
        <w:rPr>
          <w:szCs w:val="24"/>
        </w:rPr>
        <w:t xml:space="preserve">, </w:t>
      </w:r>
      <w:r w:rsidRPr="00662E51">
        <w:rPr>
          <w:szCs w:val="24"/>
        </w:rPr>
        <w:t xml:space="preserve">this research similarly touches on how </w:t>
      </w:r>
      <w:r w:rsidRPr="00662E51">
        <w:rPr>
          <w:i/>
          <w:iCs/>
          <w:szCs w:val="24"/>
        </w:rPr>
        <w:t>actually existing</w:t>
      </w:r>
      <w:r w:rsidRPr="00662E51">
        <w:rPr>
          <w:szCs w:val="24"/>
        </w:rPr>
        <w:t xml:space="preserve"> resistance to authoritarianism and neoliberalism can succeed, even when outright dissent is impossible because of illiberal </w:t>
      </w:r>
      <w:r w:rsidR="00230172" w:rsidRPr="00662E51">
        <w:rPr>
          <w:szCs w:val="24"/>
        </w:rPr>
        <w:t>or authoritarian repression</w:t>
      </w:r>
      <w:r w:rsidRPr="00662E51">
        <w:rPr>
          <w:szCs w:val="24"/>
        </w:rPr>
        <w:t xml:space="preserve">. In an era of a global crisis of democracy, this thesis thus speaks to the importance of the local scale—in particular, thinking through how to ensure local governance </w:t>
      </w:r>
      <w:r w:rsidR="00126C0B" w:rsidRPr="00662E51">
        <w:rPr>
          <w:szCs w:val="24"/>
        </w:rPr>
        <w:t>works</w:t>
      </w:r>
      <w:r w:rsidRPr="00662E51">
        <w:rPr>
          <w:szCs w:val="24"/>
        </w:rPr>
        <w:t xml:space="preserve"> for everyone. </w:t>
      </w:r>
    </w:p>
    <w:p w14:paraId="53B182AB" w14:textId="77777777" w:rsidR="00EF70A9" w:rsidRPr="00662E51" w:rsidRDefault="00EF70A9" w:rsidP="00F56305">
      <w:pPr>
        <w:spacing w:line="360" w:lineRule="auto"/>
        <w:ind w:left="0" w:firstLine="720"/>
        <w:rPr>
          <w:szCs w:val="24"/>
        </w:rPr>
      </w:pPr>
    </w:p>
    <w:p w14:paraId="5BEEC27F" w14:textId="3ACF2021" w:rsidR="00EF70A9" w:rsidRPr="00662E51" w:rsidRDefault="00EF70A9" w:rsidP="00F56305">
      <w:pPr>
        <w:pStyle w:val="Heading2"/>
      </w:pPr>
      <w:bookmarkStart w:id="16" w:name="_Toc216096138"/>
      <w:bookmarkStart w:id="17" w:name="_Toc221184288"/>
      <w:bookmarkStart w:id="18" w:name="_Toc231215211"/>
      <w:r w:rsidRPr="00662E51">
        <w:t>Aims and Research Questions</w:t>
      </w:r>
      <w:bookmarkEnd w:id="16"/>
      <w:bookmarkEnd w:id="17"/>
      <w:r w:rsidR="00836748">
        <w:t>:</w:t>
      </w:r>
      <w:bookmarkEnd w:id="18"/>
    </w:p>
    <w:p w14:paraId="71A85CF2" w14:textId="77777777" w:rsidR="00EF70A9" w:rsidRPr="00662E51" w:rsidRDefault="00EF70A9" w:rsidP="00F56305">
      <w:pPr>
        <w:spacing w:line="360" w:lineRule="auto"/>
        <w:ind w:left="0"/>
        <w:rPr>
          <w:szCs w:val="24"/>
        </w:rPr>
      </w:pPr>
      <w:r w:rsidRPr="00662E51">
        <w:rPr>
          <w:szCs w:val="24"/>
        </w:rPr>
        <w:t>Through an in-depth empirical study of local governance as expressed through housing in Haringey, this work has three main aims:</w:t>
      </w:r>
    </w:p>
    <w:p w14:paraId="6302B5CF" w14:textId="21444175" w:rsidR="00EF70A9" w:rsidRPr="00662E51" w:rsidRDefault="00AE462C" w:rsidP="00F56305">
      <w:pPr>
        <w:pStyle w:val="ListParagraph"/>
        <w:numPr>
          <w:ilvl w:val="0"/>
          <w:numId w:val="4"/>
        </w:numPr>
        <w:spacing w:line="360" w:lineRule="auto"/>
      </w:pPr>
      <w:r w:rsidRPr="00662E51">
        <w:t>Understand the relationship</w:t>
      </w:r>
      <w:r w:rsidR="00EF70A9" w:rsidRPr="00662E51">
        <w:t xml:space="preserve"> </w:t>
      </w:r>
      <w:r w:rsidRPr="00662E51">
        <w:t xml:space="preserve">between the local state and </w:t>
      </w:r>
      <w:r w:rsidR="00EF70A9" w:rsidRPr="00662E51">
        <w:t>political parties, and their accompanying functions and internal contestations;</w:t>
      </w:r>
      <w:r w:rsidR="000E0FC0" w:rsidRPr="00662E51">
        <w:t xml:space="preserve"> and </w:t>
      </w:r>
    </w:p>
    <w:p w14:paraId="7A05B6D0" w14:textId="1964C5BC" w:rsidR="00EF70A9" w:rsidRPr="00662E51" w:rsidRDefault="00BE79B0" w:rsidP="00F56305">
      <w:pPr>
        <w:pStyle w:val="ListParagraph"/>
        <w:numPr>
          <w:ilvl w:val="0"/>
          <w:numId w:val="4"/>
        </w:numPr>
        <w:spacing w:line="360" w:lineRule="auto"/>
      </w:pPr>
      <w:r w:rsidRPr="00662E51">
        <w:t>investigat</w:t>
      </w:r>
      <w:r w:rsidR="0035102B" w:rsidRPr="00662E51">
        <w:t>e</w:t>
      </w:r>
      <w:r w:rsidRPr="00662E51">
        <w:t xml:space="preserve"> the </w:t>
      </w:r>
      <w:r w:rsidR="00D2316C" w:rsidRPr="00662E51">
        <w:t>deep inter-</w:t>
      </w:r>
      <w:r w:rsidRPr="00662E51">
        <w:t>relationship</w:t>
      </w:r>
      <w:r w:rsidR="00D2316C" w:rsidRPr="00662E51">
        <w:t>(s)</w:t>
      </w:r>
      <w:r w:rsidRPr="00662E51">
        <w:t xml:space="preserve"> between urban</w:t>
      </w:r>
      <w:r w:rsidR="00C076BE" w:rsidRPr="00662E51">
        <w:t xml:space="preserve">, neoliberal </w:t>
      </w:r>
      <w:r w:rsidRPr="00662E51">
        <w:t xml:space="preserve">political economy and </w:t>
      </w:r>
      <w:r w:rsidR="000E0FC0" w:rsidRPr="00662E51">
        <w:t>party politics; and,</w:t>
      </w:r>
    </w:p>
    <w:p w14:paraId="484349FD" w14:textId="392BF735" w:rsidR="00EF70A9" w:rsidRPr="00662E51" w:rsidRDefault="00EF70A9" w:rsidP="00F56305">
      <w:pPr>
        <w:pStyle w:val="ListParagraph"/>
        <w:numPr>
          <w:ilvl w:val="0"/>
          <w:numId w:val="4"/>
        </w:numPr>
        <w:spacing w:line="360" w:lineRule="auto"/>
      </w:pPr>
      <w:r w:rsidRPr="00662E51">
        <w:t xml:space="preserve">examine how marginalised groups </w:t>
      </w:r>
      <w:r w:rsidR="005878EC" w:rsidRPr="00662E51">
        <w:t xml:space="preserve">of citizens </w:t>
      </w:r>
      <w:r w:rsidR="00DA0502" w:rsidRPr="00662E51">
        <w:t xml:space="preserve">successfully </w:t>
      </w:r>
      <w:r w:rsidR="00BF478D" w:rsidRPr="00662E51">
        <w:t xml:space="preserve">resist </w:t>
      </w:r>
      <w:r w:rsidR="00DA0502" w:rsidRPr="00662E51">
        <w:t xml:space="preserve">neoliberal and </w:t>
      </w:r>
      <w:r w:rsidRPr="00662E51">
        <w:t xml:space="preserve">authoritarian governance. </w:t>
      </w:r>
    </w:p>
    <w:p w14:paraId="587A55A3" w14:textId="77777777" w:rsidR="00EF70A9" w:rsidRPr="00662E51" w:rsidRDefault="00EF70A9" w:rsidP="00F56305">
      <w:pPr>
        <w:spacing w:line="360" w:lineRule="auto"/>
        <w:ind w:left="0"/>
        <w:rPr>
          <w:szCs w:val="24"/>
        </w:rPr>
      </w:pPr>
      <w:r w:rsidRPr="00662E51">
        <w:rPr>
          <w:szCs w:val="24"/>
        </w:rPr>
        <w:t xml:space="preserve">The thesis’ aims are threaded throughout the empirical chapters, with each chapter placing different emphasis on each aim. In line with these aims, I also ask three questions: </w:t>
      </w:r>
    </w:p>
    <w:p w14:paraId="6834292D" w14:textId="6E3B801D" w:rsidR="00EF70A9" w:rsidRPr="00662E51" w:rsidRDefault="00E4112D" w:rsidP="00F56305">
      <w:pPr>
        <w:pStyle w:val="ListParagraph"/>
        <w:numPr>
          <w:ilvl w:val="0"/>
          <w:numId w:val="8"/>
        </w:numPr>
        <w:spacing w:line="360" w:lineRule="auto"/>
      </w:pPr>
      <w:r w:rsidRPr="00662E51">
        <w:t>How do local politicians understand the relationship between housing type and citizenship</w:t>
      </w:r>
      <w:r w:rsidR="00F930BD" w:rsidRPr="00662E51">
        <w:t>?</w:t>
      </w:r>
      <w:r w:rsidR="00EF70A9" w:rsidRPr="00662E51">
        <w:t xml:space="preserve"> How might geographers theorise this relationship? </w:t>
      </w:r>
    </w:p>
    <w:p w14:paraId="341C90D2" w14:textId="77777777" w:rsidR="00EF70A9" w:rsidRPr="00662E51" w:rsidRDefault="00EF70A9" w:rsidP="00F56305">
      <w:pPr>
        <w:pStyle w:val="ListParagraph"/>
        <w:numPr>
          <w:ilvl w:val="0"/>
          <w:numId w:val="8"/>
        </w:numPr>
        <w:spacing w:line="360" w:lineRule="auto"/>
      </w:pPr>
      <w:r w:rsidRPr="00662E51">
        <w:t>How does the locals state and local party respond to dissent? How are these responses structured by the relationships between state and party?</w:t>
      </w:r>
    </w:p>
    <w:p w14:paraId="46EC8A3A" w14:textId="5025EB81" w:rsidR="00EF70A9" w:rsidRPr="00662E51" w:rsidRDefault="00EF70A9" w:rsidP="00A23186">
      <w:pPr>
        <w:pStyle w:val="ListParagraph"/>
        <w:numPr>
          <w:ilvl w:val="0"/>
          <w:numId w:val="8"/>
        </w:numPr>
        <w:spacing w:line="360" w:lineRule="auto"/>
      </w:pPr>
      <w:r w:rsidRPr="00662E51">
        <w:lastRenderedPageBreak/>
        <w:t xml:space="preserve">Do local political parties work together with the local state to perpetuate authoritarian neoliberalism and, if so, how? </w:t>
      </w:r>
    </w:p>
    <w:p w14:paraId="7B7FA6E9" w14:textId="5337CA50" w:rsidR="00EF70A9" w:rsidRDefault="00226787" w:rsidP="00A23186">
      <w:pPr>
        <w:spacing w:line="360" w:lineRule="auto"/>
        <w:ind w:left="0"/>
      </w:pPr>
      <w:r w:rsidRPr="00662E51">
        <w:t xml:space="preserve">Throughout this work, I </w:t>
      </w:r>
      <w:r w:rsidR="00022D49" w:rsidRPr="00662E51">
        <w:t>propose</w:t>
      </w:r>
      <w:r w:rsidRPr="00662E51">
        <w:t xml:space="preserve"> a framework of a multiscalar ‘state-party nexus,’</w:t>
      </w:r>
      <w:r w:rsidR="002C5E6A" w:rsidRPr="00662E51">
        <w:t xml:space="preserve"> which positions the party as an equal player to the state, especially in cases of long-standing one-party rule, like in Haringey.</w:t>
      </w:r>
      <w:r w:rsidRPr="00662E51">
        <w:t xml:space="preserve"> Second, </w:t>
      </w:r>
      <w:r w:rsidR="002C5E6A" w:rsidRPr="00662E51">
        <w:t xml:space="preserve">I </w:t>
      </w:r>
      <w:r w:rsidR="00022D49" w:rsidRPr="00662E51">
        <w:t xml:space="preserve">argue that scholarship of neoliberalism must place more emphasis </w:t>
      </w:r>
      <w:r w:rsidRPr="00662E51">
        <w:t xml:space="preserve">on </w:t>
      </w:r>
      <w:r w:rsidR="00022D49" w:rsidRPr="00662E51">
        <w:t xml:space="preserve">the role of </w:t>
      </w:r>
      <w:r w:rsidRPr="00662E51">
        <w:t>political parties</w:t>
      </w:r>
      <w:r w:rsidR="00022D49" w:rsidRPr="00662E51">
        <w:t>. Third, I will assert</w:t>
      </w:r>
      <w:r w:rsidRPr="00662E51">
        <w:t xml:space="preserve"> new </w:t>
      </w:r>
      <w:r w:rsidR="005A5B3C" w:rsidRPr="00662E51">
        <w:t xml:space="preserve">understandings of activism </w:t>
      </w:r>
      <w:r w:rsidRPr="00662E51">
        <w:t xml:space="preserve">that </w:t>
      </w:r>
      <w:r w:rsidR="005A5B3C" w:rsidRPr="00662E51">
        <w:t>treat quieter forms thereof as equally transformative</w:t>
      </w:r>
      <w:r w:rsidRPr="00662E51">
        <w:t xml:space="preserve">. </w:t>
      </w:r>
    </w:p>
    <w:p w14:paraId="3BE27E8D" w14:textId="2EEB4ADB" w:rsidR="00527AFB" w:rsidRPr="00662E51" w:rsidRDefault="00527AFB" w:rsidP="00A23186">
      <w:pPr>
        <w:spacing w:line="360" w:lineRule="auto"/>
        <w:ind w:left="0"/>
      </w:pPr>
      <w:r>
        <w:tab/>
        <w:t>I next provide an overview of the work’s structure, briefly summarising each subsequent chapter</w:t>
      </w:r>
      <w:r w:rsidR="003627DE">
        <w:t xml:space="preserve"> before discussing </w:t>
      </w:r>
      <w:r w:rsidR="00A264C4">
        <w:t>the context and background of Haringey (Section 1.3) and the thesis’s case studies (Section 1.4).</w:t>
      </w:r>
    </w:p>
    <w:p w14:paraId="36000CA4" w14:textId="77777777" w:rsidR="00EF70A9" w:rsidRPr="00662E51" w:rsidRDefault="00EF70A9" w:rsidP="00A23186">
      <w:pPr>
        <w:spacing w:line="360" w:lineRule="auto"/>
        <w:ind w:left="0" w:firstLine="576"/>
        <w:rPr>
          <w:szCs w:val="24"/>
        </w:rPr>
      </w:pPr>
    </w:p>
    <w:p w14:paraId="73270D48" w14:textId="289A1973" w:rsidR="00BB4C5D" w:rsidRDefault="00EF70A9" w:rsidP="00A23186">
      <w:pPr>
        <w:pStyle w:val="Heading2"/>
      </w:pPr>
      <w:bookmarkStart w:id="19" w:name="_Toc216096141"/>
      <w:bookmarkStart w:id="20" w:name="_Toc221184289"/>
      <w:bookmarkStart w:id="21" w:name="_Toc231215212"/>
      <w:r w:rsidRPr="00662E51">
        <w:t>Thesis Structure</w:t>
      </w:r>
      <w:bookmarkEnd w:id="19"/>
      <w:bookmarkEnd w:id="20"/>
      <w:r w:rsidR="00836748">
        <w:t>:</w:t>
      </w:r>
      <w:bookmarkEnd w:id="21"/>
    </w:p>
    <w:p w14:paraId="001821F5" w14:textId="3484639C" w:rsidR="00293086" w:rsidRDefault="00BB4C5D" w:rsidP="00A23186">
      <w:pPr>
        <w:spacing w:line="360" w:lineRule="auto"/>
        <w:ind w:left="0"/>
      </w:pPr>
      <w:r>
        <w:t xml:space="preserve">Before describing the overall structure of this work, </w:t>
      </w:r>
      <w:r w:rsidR="00A34345">
        <w:t xml:space="preserve">it is important to </w:t>
      </w:r>
      <w:r w:rsidR="00A23186">
        <w:t xml:space="preserve">acknowledge that this thesis incorporates </w:t>
      </w:r>
      <w:r w:rsidR="00DE377A">
        <w:t>four distinct papers submitted to scholarly journals</w:t>
      </w:r>
      <w:r w:rsidR="00171E09">
        <w:t xml:space="preserve"> </w:t>
      </w:r>
      <w:r w:rsidR="00171E09">
        <w:fldChar w:fldCharType="begin"/>
      </w:r>
      <w:r w:rsidR="00F15CF8">
        <w:instrText xml:space="preserve"> ADDIN ZOTERO_ITEM CSL_CITATION {"citationID":"Y4ItfTAj","properties":{"formattedCitation":"(Sindhwani 2025a, 2025b, 2025c, 2025d)","plainCitation":"(Sindhwani 2025a, 2025b, 2025c, 2025d)","noteIndex":0},"citationItems":[{"id":7093,"uris":["http://zotero.org/users/8977980/items/ZWQQ73NC"],"itemData":{"id":7093,"type":"manuscript","genre":"Manuscript under review","title":"Local Parties, Authoritarian Neoliberalism, and Urban Change in Tottenham, London","author":[{"family":"Sindhwani","given":"Anil"}],"issued":{"date-parts":[["2025"]]}}},{"id":7182,"uris":["http://zotero.org/users/8977980/items/B6JXQM3S"],"itemData":{"id":7182,"type":"manuscript","genre":"Manuscript under review","title":"“Personal Connections and Personal Alliances:” Leveraging Local Electoral Politics for Power","author":[{"family":"Sindhwani","given":"Anil"}],"issued":{"date-parts":[["2025"]]}}},{"id":6603,"uris":["http://zotero.org/users/8977980/items/HQJ2M53X"],"itemData":{"id":6603,"type":"manuscript","genre":"Manuscript under review","title":"Time in the Collage of Field and Work","author":[{"family":"Sindhwani","given":"Anil"}],"issued":{"date-parts":[["2025"]]}}},{"id":7103,"uris":["http://zotero.org/users/8977980/items/45JA9IWC"],"itemData":{"id":7103,"type":"article-journal","container-title":"Citizenship Studies","DOI":"10.1080/13621025.2025.2597930","ISSN":"1362-1025, 1469-3593","journalAbbreviation":"Citizenship Studies","language":"en","page":"1-17","source":"DOI.org (Crossref)","title":"Working on the farm: acts of citizenship and accommodative resistance","title-short":"Working on the farm","author":[{"family":"Sindhwani","given":"Anil"}],"issued":{"date-parts":[["2025",12,2]]}}}],"schema":"https://github.com/citation-style-language/schema/raw/master/csl-citation.json"} </w:instrText>
      </w:r>
      <w:r w:rsidR="00171E09">
        <w:fldChar w:fldCharType="separate"/>
      </w:r>
      <w:r w:rsidR="00F15CF8" w:rsidRPr="00F15CF8">
        <w:t>(Sindhwani 2025a, 2025b, 2025c, 2025d)</w:t>
      </w:r>
      <w:r w:rsidR="00171E09">
        <w:fldChar w:fldCharType="end"/>
      </w:r>
      <w:r w:rsidR="00DE377A">
        <w:t xml:space="preserve">. </w:t>
      </w:r>
      <w:r w:rsidR="00171E09">
        <w:t xml:space="preserve">Three papers correspond to each of the empirical chapters </w:t>
      </w:r>
      <w:r w:rsidR="00347169">
        <w:t>(Chapters 5, 6, an</w:t>
      </w:r>
      <w:r w:rsidR="00F35ADA">
        <w:t>d</w:t>
      </w:r>
      <w:r w:rsidR="00347169">
        <w:t xml:space="preserve"> 7)</w:t>
      </w:r>
      <w:r w:rsidR="00F35ADA">
        <w:t>,</w:t>
      </w:r>
      <w:r w:rsidR="00347169">
        <w:t xml:space="preserve"> while the fourth paper </w:t>
      </w:r>
      <w:r w:rsidR="00F35ADA">
        <w:fldChar w:fldCharType="begin"/>
      </w:r>
      <w:r w:rsidR="00F35ADA">
        <w:instrText xml:space="preserve"> ADDIN ZOTERO_ITEM CSL_CITATION {"citationID":"8lZE1CaG","properties":{"formattedCitation":"(Sindhwani 2025c)","plainCitation":"(Sindhwani 2025c)","noteIndex":0},"citationItems":[{"id":6603,"uris":["http://zotero.org/users/8977980/items/HQJ2M53X"],"itemData":{"id":6603,"type":"manuscript","genre":"Manuscript under review","title":"Time in the Collage of Field and Work","author":[{"family":"Sindhwani","given":"Anil"}],"issued":{"date-parts":[["2025"]]}}}],"schema":"https://github.com/citation-style-language/schema/raw/master/csl-citation.json"} </w:instrText>
      </w:r>
      <w:r w:rsidR="00F35ADA">
        <w:fldChar w:fldCharType="separate"/>
      </w:r>
      <w:r w:rsidR="00F35ADA" w:rsidRPr="00F35ADA">
        <w:t>(Sindhwani 2025c)</w:t>
      </w:r>
      <w:r w:rsidR="00F35ADA">
        <w:fldChar w:fldCharType="end"/>
      </w:r>
      <w:r w:rsidR="00F35ADA">
        <w:t xml:space="preserve"> expands on the complicated temporality of researching the Broadwater Youth Association (Chapter </w:t>
      </w:r>
      <w:r w:rsidR="007260B8">
        <w:t>5).</w:t>
      </w:r>
      <w:r w:rsidR="00C12E0C">
        <w:t xml:space="preserve"> As such, </w:t>
      </w:r>
      <w:r w:rsidR="00293086">
        <w:t xml:space="preserve">the text of Chapters 5, 6, and 7 have </w:t>
      </w:r>
      <w:r w:rsidR="00293086" w:rsidRPr="00293086">
        <w:t>been edited to ensure coherence and to avoid repetition.</w:t>
      </w:r>
      <w:r w:rsidR="00543402">
        <w:t xml:space="preserve"> </w:t>
      </w:r>
      <w:r w:rsidR="00BD471D">
        <w:t>E</w:t>
      </w:r>
      <w:r w:rsidR="00471E32">
        <w:t xml:space="preserve">ach of these three empirical papers </w:t>
      </w:r>
      <w:r w:rsidR="00BD471D">
        <w:t>can stand alone, so their theoretical framing does not directly follow from the theoretical framework in Chapter 3</w:t>
      </w:r>
      <w:r w:rsidR="005E31BE">
        <w:t xml:space="preserve">, as will be seen in Sections 6.2.2 and 7.1. </w:t>
      </w:r>
      <w:r w:rsidR="00543402">
        <w:t xml:space="preserve">Some portions of the fourth paper </w:t>
      </w:r>
      <w:r w:rsidR="00543402">
        <w:fldChar w:fldCharType="begin"/>
      </w:r>
      <w:r w:rsidR="00A50F9F">
        <w:instrText xml:space="preserve"> ADDIN ZOTERO_ITEM CSL_CITATION {"citationID":"zfWvWq0p","properties":{"formattedCitation":"(Sindhwani 2025c)","plainCitation":"(Sindhwani 2025c)","noteIndex":0},"citationItems":[{"id":6603,"uris":["http://zotero.org/users/8977980/items/HQJ2M53X"],"itemData":{"id":6603,"type":"manuscript","genre":"Manuscript under review","title":"Time in the Collage of Field and Work","author":[{"family":"Sindhwani","given":"Anil"}],"issued":{"date-parts":[["2025"]]}}}],"schema":"https://github.com/citation-style-language/schema/raw/master/csl-citation.json"} </w:instrText>
      </w:r>
      <w:r w:rsidR="00543402">
        <w:fldChar w:fldCharType="separate"/>
      </w:r>
      <w:r w:rsidR="00543402" w:rsidRPr="00F35ADA">
        <w:t>(Sindhwani 2025c)</w:t>
      </w:r>
      <w:r w:rsidR="00543402">
        <w:fldChar w:fldCharType="end"/>
      </w:r>
      <w:r w:rsidR="00543402">
        <w:t xml:space="preserve"> have been quoted </w:t>
      </w:r>
      <w:r w:rsidR="00F468BB">
        <w:t>in the methodology section (Chapter 4) to provide additional reflections on my research process</w:t>
      </w:r>
      <w:r w:rsidR="00617A71">
        <w:t xml:space="preserve">. This paper, however, is not substantially incorporated into the thesis. </w:t>
      </w:r>
    </w:p>
    <w:p w14:paraId="7EB3273D" w14:textId="77777777" w:rsidR="00BB4C5D" w:rsidRPr="00BB4C5D" w:rsidRDefault="00BB4C5D" w:rsidP="00A23186">
      <w:pPr>
        <w:spacing w:line="360" w:lineRule="auto"/>
      </w:pPr>
    </w:p>
    <w:p w14:paraId="2A53CF98" w14:textId="3710532D" w:rsidR="00EF70A9" w:rsidRPr="00662E51" w:rsidRDefault="00EF70A9" w:rsidP="00A23186">
      <w:pPr>
        <w:pStyle w:val="Heading3"/>
      </w:pPr>
      <w:bookmarkStart w:id="22" w:name="_Toc221184290"/>
      <w:bookmarkStart w:id="23" w:name="_Toc231215213"/>
      <w:r w:rsidRPr="00662E51">
        <w:t>Chapter 2: A Brief History of Council Housing in the UK</w:t>
      </w:r>
      <w:bookmarkEnd w:id="22"/>
      <w:r w:rsidR="00836748">
        <w:t>:</w:t>
      </w:r>
      <w:bookmarkEnd w:id="23"/>
    </w:p>
    <w:p w14:paraId="6C4FCB10" w14:textId="3AC50A6D" w:rsidR="00EF70A9" w:rsidRPr="00662E51" w:rsidRDefault="00EF70A9" w:rsidP="00A23186">
      <w:pPr>
        <w:spacing w:line="360" w:lineRule="auto"/>
        <w:ind w:left="0" w:firstLine="720"/>
        <w:rPr>
          <w:szCs w:val="24"/>
        </w:rPr>
      </w:pPr>
      <w:r w:rsidRPr="00662E51">
        <w:rPr>
          <w:szCs w:val="24"/>
        </w:rPr>
        <w:t xml:space="preserve">This chapter provides a short review of council housing in the United Kingdom. In addition to tracking historical shifts in the provision of public housing from 1945 to the present day, the chapter evaluates how council-provided dwellings moved from a core plank of the British welfare state to a residualised tenure of last-resort </w:t>
      </w:r>
      <w:r w:rsidRPr="00662E51">
        <w:rPr>
          <w:szCs w:val="24"/>
        </w:rPr>
        <w:fldChar w:fldCharType="begin"/>
      </w:r>
      <w:r w:rsidRPr="00662E51">
        <w:rPr>
          <w:szCs w:val="24"/>
        </w:rPr>
        <w:instrText xml:space="preserve"> ADDIN ZOTERO_ITEM CSL_CITATION {"citationID":"oqxBR7RX","properties":{"formattedCitation":"(Forrest and Murie 1983)","plainCitation":"(Forrest and Murie 1983)","noteIndex":0},"citationItems":[{"id":7073,"uris":["http://zotero.org/users/8977980/items/SHBGGKD7"],"itemData":{"id":7073,"type":"article-journal","abstract":"It is commonly argued that council housing in Britain is becoming a residual service. This paper explores the various dimensions of residualization such as the size of the council house sector, the quality of the service, the characteristics of tenants and the nature of the stock. Whilst changes in these areas are significant it is suggested that we must look beyond housing processes to fully understand the downgrading of council housing. Specifically it is argued that explanations must take account of questions of economic and political powerlessness, the marginalization of certain sections of the working class from the labour market and the uneven impact of the recession.","container-title":"Journal of Social Policy","DOI":"10.1017/S0047279400013088","ISSN":"1469-7823, 0047-2794","issue":"4","language":"en","page":"453-468","source":"Cambridge University Press","title":"Residualization and Council Housing: Aspects of the Changing Social Relations of Housing Tenure","title-short":"Residualization and Council Housing","volume":"12","author":[{"family":"Forrest","given":"Ray"},{"family":"Murie","given":"Alan"}],"issued":{"date-parts":[["1983",10]]}}}],"schema":"https://github.com/citation-style-language/schema/raw/master/csl-citation.json"} </w:instrText>
      </w:r>
      <w:r w:rsidRPr="00662E51">
        <w:rPr>
          <w:szCs w:val="24"/>
        </w:rPr>
        <w:fldChar w:fldCharType="separate"/>
      </w:r>
      <w:r w:rsidRPr="00662E51">
        <w:t>(Forrest and Murie 1983)</w:t>
      </w:r>
      <w:r w:rsidRPr="00662E51">
        <w:rPr>
          <w:szCs w:val="24"/>
        </w:rPr>
        <w:fldChar w:fldCharType="end"/>
      </w:r>
      <w:r w:rsidRPr="00662E51">
        <w:rPr>
          <w:szCs w:val="24"/>
        </w:rPr>
        <w:t xml:space="preserve">. Specifically, Chapter 2 recounts the </w:t>
      </w:r>
      <w:r w:rsidRPr="00662E51">
        <w:rPr>
          <w:szCs w:val="24"/>
        </w:rPr>
        <w:lastRenderedPageBreak/>
        <w:t xml:space="preserve">policy’s early days: its birth and then importance as part of the post-war settlement. It considers council housing’s historical importance, before explaining how it was markedly privatised in the decades since 1980 through policies like Right-to-Buy and large-scale voluntary transfers. Chapter 2 explains how council estates became stigmatised territory, laying the grounds for later </w:t>
      </w:r>
      <w:r w:rsidR="005A0F26" w:rsidRPr="00662E51">
        <w:rPr>
          <w:szCs w:val="24"/>
        </w:rPr>
        <w:t>revanchism</w:t>
      </w:r>
      <w:r w:rsidRPr="00662E51">
        <w:rPr>
          <w:szCs w:val="24"/>
        </w:rPr>
        <w:t xml:space="preserve"> and </w:t>
      </w:r>
      <w:r w:rsidR="001A0958">
        <w:rPr>
          <w:szCs w:val="24"/>
        </w:rPr>
        <w:t>residualisation</w:t>
      </w:r>
      <w:r w:rsidRPr="00662E51">
        <w:rPr>
          <w:szCs w:val="24"/>
        </w:rPr>
        <w:t>. It then moves to recounting shifts in the provision of public homes after the 2008 global financial crisis. Here, I consider the rise of regeneration</w:t>
      </w:r>
      <w:r w:rsidR="00A55D61" w:rsidRPr="00662E51">
        <w:rPr>
          <w:szCs w:val="24"/>
        </w:rPr>
        <w:t xml:space="preserve">: </w:t>
      </w:r>
      <w:r w:rsidRPr="00662E51">
        <w:rPr>
          <w:szCs w:val="24"/>
        </w:rPr>
        <w:t xml:space="preserve">an umbrella term that expresses how council estates are currently the target of large-scale redevelopment schemes. My review of regeneration emphasises its pernicious effects—viewed through the </w:t>
      </w:r>
      <w:r w:rsidR="002140DC" w:rsidRPr="00662E51">
        <w:rPr>
          <w:szCs w:val="24"/>
        </w:rPr>
        <w:t xml:space="preserve">Foucauldian </w:t>
      </w:r>
      <w:r w:rsidRPr="00662E51">
        <w:rPr>
          <w:szCs w:val="24"/>
        </w:rPr>
        <w:t xml:space="preserve">lens of ‘making live’ and ‘letting die’—and its ongoing resistance. </w:t>
      </w:r>
      <w:r w:rsidR="008A6C10" w:rsidRPr="00662E51">
        <w:rPr>
          <w:szCs w:val="24"/>
        </w:rPr>
        <w:t xml:space="preserve">Given demographic shifts in council housing tenants, </w:t>
      </w:r>
      <w:r w:rsidRPr="00662E51">
        <w:rPr>
          <w:szCs w:val="24"/>
        </w:rPr>
        <w:t xml:space="preserve">Chapter 2 concludes with an assessment of race and ethnicity in council housing. This assessment describes the current state of council housing for racialised groups, the history of racism in public housing provision, and finally how race/ism continues to structure contemporary council housing—especially after the Grenfell tragedy of 2017. </w:t>
      </w:r>
    </w:p>
    <w:p w14:paraId="4C2E24A4" w14:textId="77777777" w:rsidR="00EF70A9" w:rsidRPr="00662E51" w:rsidRDefault="00EF70A9" w:rsidP="00F56305">
      <w:pPr>
        <w:spacing w:line="360" w:lineRule="auto"/>
        <w:rPr>
          <w:szCs w:val="24"/>
        </w:rPr>
      </w:pPr>
    </w:p>
    <w:p w14:paraId="21407CEC" w14:textId="0853C03D" w:rsidR="00EF70A9" w:rsidRPr="00662E51" w:rsidRDefault="00EF70A9" w:rsidP="00F56305">
      <w:pPr>
        <w:pStyle w:val="Heading3"/>
      </w:pPr>
      <w:bookmarkStart w:id="24" w:name="_Toc221184291"/>
      <w:bookmarkStart w:id="25" w:name="_Toc231215214"/>
      <w:r w:rsidRPr="00662E51">
        <w:t>Chapter 3: Literature Review and Theoretical Framework</w:t>
      </w:r>
      <w:bookmarkEnd w:id="24"/>
      <w:r w:rsidR="00836748">
        <w:t>:</w:t>
      </w:r>
      <w:bookmarkEnd w:id="25"/>
    </w:p>
    <w:p w14:paraId="42053F4D" w14:textId="06EC9CE4" w:rsidR="00EF70A9" w:rsidRPr="00662E51" w:rsidRDefault="00EF70A9" w:rsidP="00F56305">
      <w:pPr>
        <w:spacing w:line="360" w:lineRule="auto"/>
        <w:ind w:left="0" w:firstLine="720"/>
        <w:rPr>
          <w:szCs w:val="24"/>
        </w:rPr>
      </w:pPr>
      <w:r w:rsidRPr="00662E51">
        <w:rPr>
          <w:szCs w:val="24"/>
        </w:rPr>
        <w:t xml:space="preserve">This portion constitutes the conceptual framework and a critical review of the literature used in this thesis. These varying bodies of literature have informed the research, drawing on a range of disciplines and perspectives. It begins by </w:t>
      </w:r>
      <w:r w:rsidR="00B97BAD">
        <w:rPr>
          <w:szCs w:val="24"/>
        </w:rPr>
        <w:t xml:space="preserve">considering </w:t>
      </w:r>
      <w:r w:rsidRPr="00662E51">
        <w:rPr>
          <w:szCs w:val="24"/>
        </w:rPr>
        <w:t xml:space="preserve">the state in general, discussing scholarship that stresses the state’s relational character—that is, its embeddedness with society </w:t>
      </w:r>
      <w:r w:rsidRPr="00662E51">
        <w:rPr>
          <w:szCs w:val="24"/>
        </w:rPr>
        <w:fldChar w:fldCharType="begin"/>
      </w:r>
      <w:r w:rsidR="008835AB" w:rsidRPr="00662E51">
        <w:rPr>
          <w:szCs w:val="24"/>
        </w:rPr>
        <w:instrText xml:space="preserve"> ADDIN ZOTERO_ITEM CSL_CITATION {"citationID":"j0xJ15Jn","properties":{"formattedCitation":"(Jessop 2010; Painter 2006)","plainCitation":"(Jessop 2010; Painter 2006)","noteIndex":0},"citationItems":[{"id":5755,"uris":["http://zotero.org/users/8977980/items/2VETAAYR"],"itemData":{"id":5755,"type":"book","edition":"Reprinted","ISBN":"978-0-7456-3320-6","language":"eng","number-of-pages":"301","publisher":"Polity Press","publisher-place":"Cambridge","source":"K10plus ISBN","title":"State Power: a strategic-relational approach","title-short":"State power","author":[{"family":"Jessop","given":"Bob"}],"issued":{"date-parts":[["2010"]]}}},{"id":4455,"uris":["http://zotero.org/users/8977980/items/GL23LQTK"],"itemData":{"id":4455,"type":"article-journal","abstract":"Despite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stateness","volume":"25","author":[{"family":"Painter","given":"Joe"}],"issued":{"date-parts":[["2006",9,1]]}}}],"schema":"https://github.com/citation-style-language/schema/raw/master/csl-citation.json"} </w:instrText>
      </w:r>
      <w:r w:rsidRPr="00662E51">
        <w:rPr>
          <w:szCs w:val="24"/>
        </w:rPr>
        <w:fldChar w:fldCharType="separate"/>
      </w:r>
      <w:r w:rsidRPr="00662E51">
        <w:rPr>
          <w:szCs w:val="24"/>
        </w:rPr>
        <w:t>(Jessop 2010; Painter 2006)</w:t>
      </w:r>
      <w:r w:rsidRPr="00662E51">
        <w:rPr>
          <w:szCs w:val="24"/>
        </w:rPr>
        <w:fldChar w:fldCharType="end"/>
      </w:r>
      <w:r w:rsidRPr="00662E51">
        <w:rPr>
          <w:szCs w:val="24"/>
        </w:rPr>
        <w:t xml:space="preserve">. I then zoom into the </w:t>
      </w:r>
      <w:r w:rsidRPr="00662E51">
        <w:rPr>
          <w:i/>
          <w:iCs/>
          <w:szCs w:val="24"/>
        </w:rPr>
        <w:t>local</w:t>
      </w:r>
      <w:r w:rsidRPr="00662E51">
        <w:rPr>
          <w:szCs w:val="24"/>
        </w:rPr>
        <w:t xml:space="preserve"> state, considering how this scale means that certain relations between actors are different: for instance, local councils are </w:t>
      </w:r>
      <w:r w:rsidR="003B76DA" w:rsidRPr="00662E51">
        <w:rPr>
          <w:szCs w:val="24"/>
        </w:rPr>
        <w:t xml:space="preserve">a key </w:t>
      </w:r>
      <w:r w:rsidRPr="00662E51">
        <w:rPr>
          <w:szCs w:val="24"/>
        </w:rPr>
        <w:t xml:space="preserve">site of welfare delivery </w:t>
      </w:r>
      <w:r w:rsidRPr="00662E51">
        <w:rPr>
          <w:szCs w:val="24"/>
        </w:rPr>
        <w:fldChar w:fldCharType="begin"/>
      </w:r>
      <w:r w:rsidR="00213B80">
        <w:rPr>
          <w:szCs w:val="24"/>
        </w:rPr>
        <w:instrText xml:space="preserve"> ADDIN ZOTERO_ITEM CSL_CITATION {"citationID":"qnXLltPP","properties":{"formattedCitation":"(Copus 2004, 2015, 2023; D. J. Wilson and Game 2011)","plainCitation":"(Copus 2004, 2015, 2023; D. J. Wilson and Game 2011)","noteIndex":0},"citationItems":[{"id":6766,"uris":["http://zotero.org/users/8977980/items/22FQIFRM"],"itemData":{"id":6766,"type":"book","ISBN":"978-0-7190-6635-1","language":"eng","number-of-pages":"313","publisher":"Manchester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id":6024,"uris":["http://zotero.org/users/8977980/items/KPWE8DA3"],"itemData":{"id":6024,"type":"book","abstract":"During its 13 years of office, Labour's modernization agenda transformed the world of UK local government. Amidst a starkly altered political and economic climate the coalition government formed in 2010 pledged to implement equally radical changes to the system. Taking account of the coalition's programme for government and its first round of spending cuts, the completely revised and updated fifth edition of this popular and established text is timed to take full advantage of this historic juncture.David Wilson and Chris Game provide readers with systematic coverage of the UK's local government. The book examines its defining features, its history, changing structure, operations, functions, financing, and its relations with central government.The fifth edition gives additional emphasis to local government in the devolved regions of the UK, and provides more extensive analysis of centre-local government relations. The authors deliver a thorough critique of Labour's third term in office. Looking ahead, the book anticipates the future of local government under the coalition government. Two themes look likely to dominate policy making: decentralization and cuts to public spending. With its clear, accessible, non-technical style and popular illustrations, Local Government in the United Kingdom will be essential reading for students, practitioners, and anyone with an interest in local politics.","ISBN":"978-0-230-35667-2","language":"en","number-of-pages":"457","publisher":"Bloomsbury Publishing","title":"Local Government in the United Kingdom","author":[{"family":"Wilson","given":"David J."},{"family":"Game","given":"Chris"}],"issued":{"date-parts":[["2011",4,12]]}}}],"schema":"https://github.com/citation-style-language/schema/raw/master/csl-citation.json"} </w:instrText>
      </w:r>
      <w:r w:rsidRPr="00662E51">
        <w:rPr>
          <w:szCs w:val="24"/>
        </w:rPr>
        <w:fldChar w:fldCharType="separate"/>
      </w:r>
      <w:r w:rsidR="00213B80" w:rsidRPr="00213B80">
        <w:t>(Copus 2004, 2015, 2023; D. J. Wilson and Game 2011)</w:t>
      </w:r>
      <w:r w:rsidRPr="00662E51">
        <w:rPr>
          <w:szCs w:val="24"/>
        </w:rPr>
        <w:fldChar w:fldCharType="end"/>
      </w:r>
      <w:r w:rsidRPr="00662E51">
        <w:rPr>
          <w:szCs w:val="24"/>
        </w:rPr>
        <w:t xml:space="preserve">. I next consider how local political parties (the Labour Party specifically) play a significant role in the functioning of the state </w:t>
      </w:r>
      <w:r w:rsidRPr="00662E51">
        <w:rPr>
          <w:szCs w:val="24"/>
        </w:rPr>
        <w:fldChar w:fldCharType="begin"/>
      </w:r>
      <w:r w:rsidR="008835AB" w:rsidRPr="00662E51">
        <w:rPr>
          <w:szCs w:val="24"/>
        </w:rPr>
        <w:instrText xml:space="preserve"> ADDIN ZOTERO_ITEM CSL_CITATION {"citationID":"RE3De9r4","properties":{"formattedCitation":"(Cockburn 1980; Ormerod 2021)","plainCitation":"(Cockburn 1980; Ormerod 2021)","noteIndex":0},"citationItems":[{"id":5811,"uris":["http://zotero.org/users/8977980/items/U5ZYVUT5"],"itemData":{"id":5811,"type":"book","edition":"Repr","ISBN":"978-0-904383-48-5","language":"eng","number-of-pages":"207","publisher":"Pluto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Pr="00662E51">
        <w:rPr>
          <w:szCs w:val="24"/>
        </w:rPr>
        <w:t>(Cockburn 1980; Ormerod 2021)</w:t>
      </w:r>
      <w:r w:rsidRPr="00662E51">
        <w:rPr>
          <w:szCs w:val="24"/>
        </w:rPr>
        <w:fldChar w:fldCharType="end"/>
      </w:r>
      <w:r w:rsidRPr="00662E51">
        <w:rPr>
          <w:szCs w:val="24"/>
        </w:rPr>
        <w:t>.</w:t>
      </w:r>
      <w:r w:rsidR="00B97BAD">
        <w:rPr>
          <w:szCs w:val="24"/>
        </w:rPr>
        <w:t xml:space="preserve"> I then review </w:t>
      </w:r>
      <w:r w:rsidR="00B97BAD" w:rsidRPr="00662E51">
        <w:rPr>
          <w:szCs w:val="24"/>
        </w:rPr>
        <w:t xml:space="preserve">debates on the authoritarian character of neoliberalism, its history, and types </w:t>
      </w:r>
      <w:r w:rsidR="00B97BAD" w:rsidRPr="00662E51">
        <w:rPr>
          <w:szCs w:val="24"/>
        </w:rPr>
        <w:fldChar w:fldCharType="begin"/>
      </w:r>
      <w:r w:rsidR="00213B80">
        <w:rPr>
          <w:szCs w:val="24"/>
        </w:rPr>
        <w:instrText xml:space="preserve"> ADDIN ZOTERO_ITEM CSL_CITATION {"citationID":"dkCbLJDt","properties":{"formattedCitation":"(Bruff 2014; Bruff and Tansel 2021; S. Hall 1985; Tansel 2017)","plainCitation":"(Bruff 2014; Bruff and Tansel 2021; S. Hall 1985; Tansel 2017)","noteIndex":0},"citationItems":[{"id":5773,"uris":["http://zotero.org/users/8977980/items/YQRZXUST"],"itemData":{"id":5773,"type":"article-journal","container-title":"Rethinking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Neoliberalism","volume":"26","author":[{"family":"Bruff","given":"Ian"}],"issued":{"date-parts":[["2014",1,2]]}}},{"id":6610,"uris":["http://zotero.org/users/8977980/items/2E9XNATW"],"itemData":{"id":6610,"type":"book","collection-title":"Rethinking globalizations","ISBN":"978-1-032-08802-0","language":"eng","number-of-pages":"141","publisher":"Routledge, Taylor &amp; Francis Group","publisher-place":"London New York","source":"K10plus ISBN","title":"Authoritarian neoliberalism: philosophies, practices, contestations","title-short":"Authoritarian neoliberalism","editor":[{"family":"Bruff","given":"Ian"},{"family":"Tansel","given":"Cemal Burak"}],"issued":{"date-parts":[["2021"]]}}},{"id":5795,"uris":["http://zotero.org/users/8977980/items/NRTYHPYC"],"itemData":{"id":5795,"type":"article-journal","container-title":"New Left Review","issue":"I/151","language":"en","page":"115-123","source":"Zotero","title":"Authoritarian Populism: A Reply to Jessop et al","author":[{"family":"Hall","given":"Stuart"}],"issued":{"date-parts":[["1985",6]]}}},{"id":5807,"uris":["http://zotero.org/users/8977980/items/KGMGBNMC"],"itemData":{"id":5807,"type":"book","abstract":"Despite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Burak"}],"issued":{"date-parts":[["2017",2,8]]}}}],"schema":"https://github.com/citation-style-language/schema/raw/master/csl-citation.json"} </w:instrText>
      </w:r>
      <w:r w:rsidR="00B97BAD" w:rsidRPr="00662E51">
        <w:rPr>
          <w:szCs w:val="24"/>
        </w:rPr>
        <w:fldChar w:fldCharType="separate"/>
      </w:r>
      <w:r w:rsidR="00213B80" w:rsidRPr="00213B80">
        <w:t>(Bruff 2014; Bruff and Tansel 2021; S. Hall 1985; Tansel 2017)</w:t>
      </w:r>
      <w:r w:rsidR="00B97BAD" w:rsidRPr="00662E51">
        <w:rPr>
          <w:szCs w:val="24"/>
        </w:rPr>
        <w:fldChar w:fldCharType="end"/>
      </w:r>
      <w:r w:rsidR="00B97BAD" w:rsidRPr="00662E51">
        <w:rPr>
          <w:szCs w:val="24"/>
        </w:rPr>
        <w:t xml:space="preserve">. I then link this theory to the urban scale, stressing the importance that the local and urban has to authoritarian neoliberalism </w:t>
      </w:r>
      <w:r w:rsidR="00B97BAD" w:rsidRPr="00662E51">
        <w:rPr>
          <w:szCs w:val="24"/>
        </w:rPr>
        <w:fldChar w:fldCharType="begin"/>
      </w:r>
      <w:r w:rsidR="00B97BAD" w:rsidRPr="00662E51">
        <w:rPr>
          <w:szCs w:val="24"/>
        </w:rPr>
        <w:instrText xml:space="preserve"> ADDIN ZOTERO_ITEM CSL_CITATION {"citationID":"ZDHSf94T","properties":{"formattedCitation":"(Lees 2024; Luger and D\\uc0\\u252{}rr 2025; Painter 1991; Pileti\\uc0\\u263{} 2022)","plainCitation":"(Lees 2024; Luger and Dürr 2025; Painter 1991; Piletić 2022)","noteIndex":0},"citationItems":[{"id":5765,"uris":["http://zotero.org/users/8977980/items/2UM7LBBK"],"itemData":{"id":5765,"type":"article-journal","abstract":"In gentrification studies to date, authoritarianism has mainly served as a contextual backdrop to discussions of state-led gentrification. In this concluding essay I reflect on the explorations of ‘ordinary’ geographical cases of ‘everyday authoritarianism’ presented in this intervention on planetary gentrification and urban authoritarianism. The cases of Istanbul, Casablanca and Lijiang show how the complex merging of authoritarian and neoliberal is now one of the cruxes of gentrification globally.","container-title":"International Journal of Urban and Regional Research","DOI":"10.1111/1468-2427.13240","ISSN":"1468-2427","issue":"n/a","language":"en","note":"_eprint: https://onlinelibrary.wiley.com/doi/pdf/10.1111/1468-2427.13240","source":"Wiley Online Library","title":"Planetary Gentrification and Urban Authoritarianism","URL":"https://onlinelibrary.wiley.com/doi/abs/10.1111/1468-2427.13240","volume":"n/a","author":[{"family":"Lees","given":"Loretta"}],"accessed":{"date-parts":[["2024",6,19]]},"issued":{"date-parts":[["2024",6,4]]}}},{"id":6500,"uris":["http://zotero.org/users/8977980/items/MCPUJMEQ"],"itemData":{"id":6500,"type":"article-journal","abstract":"Advocating the value of an urban lens for researching and understanding illiberalism, we propose a threefold thematic anchoring for emerging inquiry into cities, framed both planetarily and locally, as containers/facilitators/mediators/conduits/nodes of illiberal ideologies, action, processes and outcomes. Our thematic approaches are: (1) that urban density can catalyse illiberalism, from grassroots coalitions (e.g. neighbourhoods) to top-down urban governance (e.g. public/private management coalitions) and the dense ‘thrown-togetherness’ of daily urban life can intensify tension, instability, fear and antagonism; (2) the urban emergency and urban crises, entangled as they are within ongoing neoliberal urbanism, facilitate illiberal responses (e.g. crises as justifications for reactionary/authoritarian policies, laws and outcomes); and (3) the urban offers a speed and virality that fosters illiberalism (e.g. platform-driven urban processes and ‘fast policies’). We suggest that the speeding-up of urban processes, long a facet of industrial capitalism, has now entered a new phase which is simultaneously catalysed by illiberal entities and ideologies (e.g. the platformed-world building of ‘NRx urbanism’), but also lays the groundwork for illiberal responses, new surveillances and authoritarian intrusions into daily life. We weave these thematic windows together with selected examples of global urban happenings and recent episodes, including in the context during and post-COVID-19. We note the proliferation of globally circulating authoritarian tendencies in urban planning, urban governance and crisis management that point to an uncomfortable reality where the urban question may, inherently, be an illiberal one. Nonetheless, we conclude on an optimistic note that illiberal urban futures are still ripe for contestation.","container-title":"Urban Studies","DOI":"10.1177/00420980251327142","ISSN":"0042-0980","language":"EN","page":"00420980251327142","publisher":"SAGE Publications Ltd","source":"SAGE Journals","title":"The urban question under illiberalism? Three thematic approaches","title-short":"The urban question under illiberalism?","author":[{"family":"Luger","given":"Jason D"},{"family":"Dürr","given":"Miklós János"}],"issued":{"date-parts":[["2025",4,12]]}}},{"id":6780,"uris":["http://zotero.org/users/8977980/items/PXUF4DHP"],"itemData":{"id":6780,"type":"article-journal","container-title":"Local Government Studies","DOI":"10.1080/03003939108433604","ISSN":"0300-3930, 1743-9388","issue":"6","language":"en","page":"23-44","publisher":"Informa UK Limited","source":"Crossref","title":"Regulation theory and local government","volume":"17","author":[{"family":"Painter","given":"Joe"}],"issued":{"date-parts":[["1991",11]]}}},{"id":5764,"uris":["http://zotero.org/users/8977980/items/NAKP7URT"],"itemData":{"id":5764,"type":"article-journal","container-title":"Globalizations","DOI":"10.1080/14747731.2021.1882817","ISSN":"1474-7731, 1474-774X","issue":"2","journalAbbreviation":"Globalizations","language":"en","page":"285-300","source":"DOI.org (Crossref)","title":"The role of the urban scale in anchoring authoritarian neoliberalism: a look at post-2012 neoliberalization in Belgrade, Serbia","title-short":"The role of the urban scale in anchoring authoritarian neoliberalism","volume":"19","author":[{"family":"Piletić","given":"Aleksandra"}],"issued":{"date-parts":[["2022",2,17]]}}}],"schema":"https://github.com/citation-style-language/schema/raw/master/csl-citation.json"} </w:instrText>
      </w:r>
      <w:r w:rsidR="00B97BAD" w:rsidRPr="00662E51">
        <w:rPr>
          <w:szCs w:val="24"/>
        </w:rPr>
        <w:fldChar w:fldCharType="separate"/>
      </w:r>
      <w:r w:rsidR="00B97BAD" w:rsidRPr="00662E51">
        <w:rPr>
          <w:rFonts w:cs="Times New Roman"/>
          <w:kern w:val="0"/>
        </w:rPr>
        <w:t xml:space="preserve">(Lees 2024; Luger and Dürr 2025; </w:t>
      </w:r>
      <w:r w:rsidR="00B97BAD" w:rsidRPr="00662E51">
        <w:rPr>
          <w:rFonts w:cs="Times New Roman"/>
          <w:kern w:val="0"/>
        </w:rPr>
        <w:lastRenderedPageBreak/>
        <w:t>Painter 1991; Piletić 2022)</w:t>
      </w:r>
      <w:r w:rsidR="00B97BAD" w:rsidRPr="00662E51">
        <w:rPr>
          <w:szCs w:val="24"/>
        </w:rPr>
        <w:fldChar w:fldCharType="end"/>
      </w:r>
      <w:r w:rsidR="00B97BAD" w:rsidRPr="00662E51">
        <w:rPr>
          <w:szCs w:val="24"/>
        </w:rPr>
        <w:t>.</w:t>
      </w:r>
      <w:r w:rsidR="00A475AE">
        <w:rPr>
          <w:szCs w:val="24"/>
        </w:rPr>
        <w:t xml:space="preserve"> </w:t>
      </w:r>
      <w:r w:rsidRPr="00662E51">
        <w:rPr>
          <w:szCs w:val="24"/>
        </w:rPr>
        <w:t xml:space="preserve">I finally link together authoritarian neoliberalism and political parties, stressing the need for scholarship to attend to the way formal politics structures and is structured by the actions of the state. This chapter concludes with a review of conceptions of citizenship, which help explain the activism of the </w:t>
      </w:r>
      <w:r w:rsidR="00785991" w:rsidRPr="00662E51">
        <w:rPr>
          <w:szCs w:val="24"/>
        </w:rPr>
        <w:t>Broadwater Farm Youth Association</w:t>
      </w:r>
      <w:r w:rsidR="001A0E85">
        <w:rPr>
          <w:szCs w:val="24"/>
        </w:rPr>
        <w:t xml:space="preserve"> (Chapter 5)</w:t>
      </w:r>
      <w:r w:rsidRPr="00662E51">
        <w:rPr>
          <w:szCs w:val="24"/>
        </w:rPr>
        <w:t xml:space="preserve">. I primarily draw on the ‘acts of citizenship’ theory to understand this accommodative activism </w:t>
      </w:r>
      <w:r w:rsidRPr="00662E51">
        <w:rPr>
          <w:szCs w:val="24"/>
        </w:rPr>
        <w:fldChar w:fldCharType="begin"/>
      </w:r>
      <w:r w:rsidR="008E2F28">
        <w:rPr>
          <w:szCs w:val="24"/>
        </w:rPr>
        <w:instrText xml:space="preserve"> ADDIN ZOTERO_ITEM CSL_CITATION {"citationID":"Ay50ZKMQ","properties":{"formattedCitation":"(Isin 2008; Jakim\\uc0\\u243{}w 2022)","plainCitation":"(Isin 2008; Jakimów 2022)","noteIndex":0},"citationItems":[{"id":256,"uris":["http://zotero.org/users/8977980/items/ZRWP6PIY"],"itemData":{"id":256,"type":"chapter","abstract":"Politics,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contexts","volume":"26","author":[{"family":"Jakimów","given":"Małgorzata"}],"issued":{"date-parts":[["2022",7,4]]}}}],"schema":"https://github.com/citation-style-language/schema/raw/master/csl-citation.json"} </w:instrText>
      </w:r>
      <w:r w:rsidRPr="00662E51">
        <w:rPr>
          <w:szCs w:val="24"/>
        </w:rPr>
        <w:fldChar w:fldCharType="separate"/>
      </w:r>
      <w:r w:rsidR="008E2F28" w:rsidRPr="008E2F28">
        <w:rPr>
          <w:rFonts w:cs="Times New Roman"/>
          <w:kern w:val="0"/>
        </w:rPr>
        <w:t>(Isin 2008; Jakimów 2022)</w:t>
      </w:r>
      <w:r w:rsidRPr="00662E51">
        <w:rPr>
          <w:szCs w:val="24"/>
        </w:rPr>
        <w:fldChar w:fldCharType="end"/>
      </w:r>
      <w:r w:rsidRPr="00662E51">
        <w:rPr>
          <w:szCs w:val="24"/>
        </w:rPr>
        <w:t xml:space="preserve">. The dialogue between disparate scholarship(s) permitted me to better comprehend the complex inter-relations between the political, scalar, and activist dynamics that defined state-party relations in these case examples.  </w:t>
      </w:r>
    </w:p>
    <w:p w14:paraId="5E5A5772" w14:textId="77777777" w:rsidR="00EF70A9" w:rsidRPr="00662E51" w:rsidRDefault="00EF70A9" w:rsidP="00F56305">
      <w:pPr>
        <w:spacing w:line="360" w:lineRule="auto"/>
        <w:ind w:left="0" w:firstLine="720"/>
        <w:rPr>
          <w:szCs w:val="24"/>
        </w:rPr>
      </w:pPr>
    </w:p>
    <w:p w14:paraId="4AD98E86" w14:textId="1002A44D" w:rsidR="00EF70A9" w:rsidRPr="00662E51" w:rsidRDefault="00EF70A9" w:rsidP="00F56305">
      <w:pPr>
        <w:pStyle w:val="Heading3"/>
      </w:pPr>
      <w:bookmarkStart w:id="26" w:name="_Toc221184292"/>
      <w:bookmarkStart w:id="27" w:name="_Toc231215215"/>
      <w:r w:rsidRPr="00662E51">
        <w:t>Chapter 4: Methodological Approach</w:t>
      </w:r>
      <w:bookmarkEnd w:id="26"/>
      <w:r w:rsidR="00836748">
        <w:t>:</w:t>
      </w:r>
      <w:bookmarkEnd w:id="27"/>
    </w:p>
    <w:p w14:paraId="173D89EB" w14:textId="735EFB57" w:rsidR="00EF70A9" w:rsidRPr="00662E51" w:rsidRDefault="00EF70A9" w:rsidP="00F56305">
      <w:pPr>
        <w:spacing w:line="360" w:lineRule="auto"/>
        <w:ind w:left="0" w:firstLine="720"/>
        <w:rPr>
          <w:szCs w:val="24"/>
        </w:rPr>
      </w:pPr>
      <w:r w:rsidRPr="00662E51">
        <w:rPr>
          <w:szCs w:val="24"/>
        </w:rPr>
        <w:t xml:space="preserve">I describe and discuss the methodological approach used in this investigation here. The approach relies on a combination of various methods like archival work, interviews, ethnography, and walking. Mixing methods is not used here to triangulate, where a scholar </w:t>
      </w:r>
      <w:r w:rsidR="002B5CA9" w:rsidRPr="00662E51">
        <w:rPr>
          <w:szCs w:val="24"/>
        </w:rPr>
        <w:t>uses</w:t>
      </w:r>
      <w:r w:rsidRPr="00662E51">
        <w:rPr>
          <w:szCs w:val="24"/>
        </w:rPr>
        <w:t xml:space="preserve"> multiple methods to cross-reference findings about a particularly defined object. Rather, it is used to build a collage or a patchwork picture </w:t>
      </w:r>
      <w:r w:rsidRPr="00662E51">
        <w:rPr>
          <w:szCs w:val="24"/>
        </w:rPr>
        <w:fldChar w:fldCharType="begin"/>
      </w:r>
      <w:r w:rsidR="008835AB" w:rsidRPr="00662E51">
        <w:rPr>
          <w:szCs w:val="24"/>
        </w:rPr>
        <w:instrText xml:space="preserve"> ADDIN ZOTERO_ITEM CSL_CITATION {"citationID":"g0X4Pnqe","properties":{"formattedCitation":"(C. Freeman 2020)","plainCitation":"(C. Freeman 2020)","noteIndex":0},"citationItems":[{"id":6225,"uris":["http://zotero.org/users/8977980/items/3RFVPE2P"],"itemData":{"id":6225,"type":"article-journal","abstract":"Triangulation is increasingly being seen as a concept that has lost clarity and become too broad to be of use. A new language is required to explain how and why researchers bring together multiple perspectives to study phenomena. By drawing on my own research experiences I propose ‘collage’ as a framework for using multiple methods in geography. This framework differs from triangulation in two important ways: firstly, it brings multiple methods together to elucidate a broad research area rather than a precise one, and secondly, it allows for greater spontaneity and the shifting of the frame of research. This paper explains how multiple methods can be used to gather fragments of knowledge on a topic that, when pieced together, can create a more complex understanding of the wider research area. A focus on this process emphasizes the role of the researcher in putting the pieces together.","container-title":"Geografiska Annaler: Series B, Human Geography","DOI":"10.1080/04353684.2020.1807383","ISSN":"0435-3684","issue":"4","note":"_eprint: https://doi.org/10.1080/04353684.2020.1807383","page":"328-340","publisher":"Routledge","source":"Taylor and Francis+NEJM","title":"Multiple methods beyond triangulation: collage as a methodological framework in geography","title-short":"Multiple methods beyond triangulation","volume":"102","author":[{"family":"Freeman","given":"Cordelia"}],"issued":{"date-parts":[["2020",10,1]]}}}],"schema":"https://github.com/citation-style-language/schema/raw/master/csl-citation.json"} </w:instrText>
      </w:r>
      <w:r w:rsidRPr="00662E51">
        <w:rPr>
          <w:szCs w:val="24"/>
        </w:rPr>
        <w:fldChar w:fldCharType="separate"/>
      </w:r>
      <w:r w:rsidR="005E72FD" w:rsidRPr="00662E51">
        <w:t>(C. Freeman 2020)</w:t>
      </w:r>
      <w:r w:rsidRPr="00662E51">
        <w:rPr>
          <w:szCs w:val="24"/>
        </w:rPr>
        <w:fldChar w:fldCharType="end"/>
      </w:r>
      <w:r w:rsidRPr="00662E51">
        <w:rPr>
          <w:szCs w:val="24"/>
        </w:rPr>
        <w:t xml:space="preserve">. I </w:t>
      </w:r>
      <w:r w:rsidR="00A745EE" w:rsidRPr="00662E51">
        <w:rPr>
          <w:szCs w:val="24"/>
        </w:rPr>
        <w:t xml:space="preserve">therefore </w:t>
      </w:r>
      <w:r w:rsidRPr="00662E51">
        <w:rPr>
          <w:szCs w:val="24"/>
        </w:rPr>
        <w:t xml:space="preserve">argue in this chapter </w:t>
      </w:r>
      <w:r w:rsidRPr="00662E51">
        <w:rPr>
          <w:i/>
          <w:iCs/>
          <w:szCs w:val="24"/>
        </w:rPr>
        <w:t xml:space="preserve">for </w:t>
      </w:r>
      <w:r w:rsidRPr="00662E51">
        <w:rPr>
          <w:szCs w:val="24"/>
        </w:rPr>
        <w:t xml:space="preserve">collage. </w:t>
      </w:r>
      <w:r w:rsidR="00A140F1">
        <w:rPr>
          <w:szCs w:val="24"/>
        </w:rPr>
        <w:t>Likewise</w:t>
      </w:r>
      <w:r w:rsidRPr="00662E51">
        <w:rPr>
          <w:szCs w:val="24"/>
        </w:rPr>
        <w:t xml:space="preserve">, the methods chapter argues for a hybrid approach, one that does not follow linear ideas of how research develops but rather one that charts the branching and looping lines that knit together to become a research project </w:t>
      </w:r>
      <w:r w:rsidRPr="00662E51">
        <w:rPr>
          <w:szCs w:val="24"/>
        </w:rPr>
        <w:fldChar w:fldCharType="begin"/>
      </w:r>
      <w:r w:rsidR="008835AB" w:rsidRPr="00662E51">
        <w:rPr>
          <w:szCs w:val="24"/>
        </w:rPr>
        <w:instrText xml:space="preserve"> ADDIN ZOTERO_ITEM CSL_CITATION {"citationID":"BLJC0A9q","properties":{"formattedCitation":"(Watkins 2020)","plainCitation":"(Watkins 2020)","noteIndex":0},"citationItems":[{"id":6228,"uris":["http://zotero.org/users/8977980/items/BE388CW9"],"itemData":{"id":6228,"type":"article-journal","abstract":"This paper outlines an adaptable concept of hybridity to frame and facilitate fieldwork, research, and writing. It combines geographical theories of place and methodology to propose a hybrid approach to mixed-method research. Hybrid field-work iterates and mixes multiple methods for imagining and co-conducting research in and with places. Reflections on the author’s fieldwork in Northeast Brazil illustrate the approach.","container-title":"Geographical Review","DOI":"10.1111/gere.12353","ISSN":"0016-7428","issue":"1-2","note":"_eprint: https://doi.org/10.1111/gere.12353","page":"8-22","publisher":"Routledge","source":"Taylor and Francis+NEJM","title":"The Field and the Work: Hybridity as Mantra and Method","title-short":"The Field and the Work","volume":"110","author":[{"family":"Watkins","given":"Case"}],"issued":{"date-parts":[["2020",1,2]]}}}],"schema":"https://github.com/citation-style-language/schema/raw/master/csl-citation.json"} </w:instrText>
      </w:r>
      <w:r w:rsidRPr="00662E51">
        <w:rPr>
          <w:szCs w:val="24"/>
        </w:rPr>
        <w:fldChar w:fldCharType="separate"/>
      </w:r>
      <w:r w:rsidRPr="00662E51">
        <w:rPr>
          <w:szCs w:val="24"/>
        </w:rPr>
        <w:t>(Watkins 2020)</w:t>
      </w:r>
      <w:r w:rsidRPr="00662E51">
        <w:rPr>
          <w:szCs w:val="24"/>
        </w:rPr>
        <w:fldChar w:fldCharType="end"/>
      </w:r>
      <w:r w:rsidRPr="00662E51">
        <w:rPr>
          <w:szCs w:val="24"/>
        </w:rPr>
        <w:t>. Such an approach also necessitates a good awareness of one’s situated knowledge</w:t>
      </w:r>
      <w:r w:rsidR="00B412A0">
        <w:rPr>
          <w:szCs w:val="24"/>
        </w:rPr>
        <w:t>(</w:t>
      </w:r>
      <w:r w:rsidRPr="00662E51">
        <w:rPr>
          <w:szCs w:val="24"/>
        </w:rPr>
        <w:t>s</w:t>
      </w:r>
      <w:r w:rsidR="00B412A0">
        <w:rPr>
          <w:szCs w:val="24"/>
        </w:rPr>
        <w:t>)</w:t>
      </w:r>
      <w:r w:rsidRPr="00662E51">
        <w:rPr>
          <w:szCs w:val="24"/>
        </w:rPr>
        <w:t xml:space="preserve"> </w:t>
      </w:r>
      <w:r w:rsidRPr="00662E51">
        <w:rPr>
          <w:szCs w:val="24"/>
        </w:rPr>
        <w:fldChar w:fldCharType="begin"/>
      </w:r>
      <w:r w:rsidR="008835AB" w:rsidRPr="00662E51">
        <w:rPr>
          <w:szCs w:val="24"/>
        </w:rPr>
        <w:instrText xml:space="preserve"> ADDIN ZOTERO_ITEM CSL_CITATION {"citationID":"93yIz1X2","properties":{"formattedCitation":"(Haraway 1988)","plainCitation":"(Haraway 1988)","noteIndex":0},"citationItems":[{"id":6234,"uris":["http://zotero.org/users/8977980/items/GLXAL335"],"itemData":{"id":6234,"type":"article-journal","container-title":"Feminist Studies","DOI":"10.2307/3178066","ISSN":"0046-3663","issue":"3","page":"575-599","publisher":"Feminist Studies, Inc.","source":"JSTOR","title":"Situated Knowledges: The Science Question in Feminism and the Privilege of Partial Perspective","title-short":"Situated Knowledges","volume":"14","author":[{"family":"Haraway","given":"Donna"}],"issued":{"date-parts":[["1988"]]}}}],"schema":"https://github.com/citation-style-language/schema/raw/master/csl-citation.json"} </w:instrText>
      </w:r>
      <w:r w:rsidRPr="00662E51">
        <w:rPr>
          <w:szCs w:val="24"/>
        </w:rPr>
        <w:fldChar w:fldCharType="separate"/>
      </w:r>
      <w:r w:rsidRPr="00662E51">
        <w:rPr>
          <w:szCs w:val="24"/>
        </w:rPr>
        <w:t>(Haraway 1988)</w:t>
      </w:r>
      <w:r w:rsidRPr="00662E51">
        <w:rPr>
          <w:szCs w:val="24"/>
        </w:rPr>
        <w:fldChar w:fldCharType="end"/>
      </w:r>
      <w:r w:rsidRPr="00662E51">
        <w:rPr>
          <w:szCs w:val="24"/>
        </w:rPr>
        <w:t xml:space="preserve">. This chapter also reflects on my positionality as a researcher and former bureaucrat, as well as reviews the processes of data collection, analysis, and ethical approval that occurred in different places in the research. </w:t>
      </w:r>
    </w:p>
    <w:p w14:paraId="2EE0AAAE" w14:textId="77777777" w:rsidR="00EF70A9" w:rsidRPr="00662E51" w:rsidRDefault="00EF70A9" w:rsidP="00F56305">
      <w:pPr>
        <w:spacing w:line="360" w:lineRule="auto"/>
        <w:ind w:left="0" w:firstLine="720"/>
        <w:rPr>
          <w:szCs w:val="24"/>
        </w:rPr>
      </w:pPr>
    </w:p>
    <w:p w14:paraId="7C00926D" w14:textId="77777777" w:rsidR="00EF70A9" w:rsidRPr="00662E51" w:rsidRDefault="00EF70A9" w:rsidP="00F56305">
      <w:pPr>
        <w:pStyle w:val="Heading3"/>
      </w:pPr>
      <w:bookmarkStart w:id="28" w:name="_Toc221184293"/>
      <w:bookmarkStart w:id="29" w:name="_Toc231215216"/>
      <w:r w:rsidRPr="00662E51">
        <w:t>Chapter 5: Working on the Farm: Acts of Citizenship and Accommodative Resistance</w:t>
      </w:r>
      <w:bookmarkEnd w:id="28"/>
      <w:bookmarkEnd w:id="29"/>
    </w:p>
    <w:p w14:paraId="3CFE48CC" w14:textId="72062861" w:rsidR="00EF70A9" w:rsidRPr="00662E51" w:rsidRDefault="00EF70A9" w:rsidP="00F56305">
      <w:pPr>
        <w:spacing w:line="360" w:lineRule="auto"/>
        <w:ind w:left="0" w:firstLine="720"/>
        <w:rPr>
          <w:szCs w:val="24"/>
        </w:rPr>
      </w:pPr>
      <w:r w:rsidRPr="00662E51">
        <w:rPr>
          <w:szCs w:val="24"/>
        </w:rPr>
        <w:t xml:space="preserve">In this chapter, I address the first </w:t>
      </w:r>
      <w:r w:rsidR="00844DBA">
        <w:rPr>
          <w:szCs w:val="24"/>
        </w:rPr>
        <w:t>Research Question</w:t>
      </w:r>
      <w:r w:rsidRPr="00662E51">
        <w:rPr>
          <w:szCs w:val="24"/>
        </w:rPr>
        <w:t xml:space="preserve"> on social citizenship and activism through an analysis of the Broadwater Farm Youth Association</w:t>
      </w:r>
      <w:r w:rsidR="002875C3" w:rsidRPr="00662E51">
        <w:rPr>
          <w:szCs w:val="24"/>
        </w:rPr>
        <w:t xml:space="preserve">. I </w:t>
      </w:r>
      <w:r w:rsidRPr="00662E51">
        <w:rPr>
          <w:szCs w:val="24"/>
        </w:rPr>
        <w:t>also briefly touch on</w:t>
      </w:r>
      <w:r w:rsidR="00522C9A" w:rsidRPr="00522C9A">
        <w:rPr>
          <w:szCs w:val="24"/>
        </w:rPr>
        <w:t xml:space="preserve"> Research Question 2</w:t>
      </w:r>
      <w:r w:rsidRPr="00662E51">
        <w:rPr>
          <w:szCs w:val="24"/>
        </w:rPr>
        <w:t xml:space="preserve">. Through an evaluation of the Youth Association’s endeavours, I explore how activism during authoritarianism can still </w:t>
      </w:r>
      <w:r w:rsidRPr="00662E51">
        <w:rPr>
          <w:szCs w:val="24"/>
        </w:rPr>
        <w:lastRenderedPageBreak/>
        <w:t xml:space="preserve">succeed, even if it is ultimately accommodative instead of actively opposing the state. Chapter 5 permits us to understand the ways that activism and struggle can still flourish and change political subjectivities even when spectacular resistance is outlawed or dangerous. It also sheds light on the Broadwater Farm Youth Association and the 1985 uprising, both of which have been thus far understudied. The chapter concludes with reflecting on new ways of thinking about activism—ways that attend to the quieter forms of organising that extract change </w:t>
      </w:r>
      <w:r w:rsidRPr="00662E51">
        <w:rPr>
          <w:szCs w:val="24"/>
        </w:rPr>
        <w:fldChar w:fldCharType="begin"/>
      </w:r>
      <w:r w:rsidR="006D1033" w:rsidRPr="00662E51">
        <w:rPr>
          <w:szCs w:val="24"/>
        </w:rPr>
        <w:instrText xml:space="preserve"> ADDIN ZOTERO_ITEM CSL_CITATION {"citationID":"xTP0AEgR","properties":{"formattedCitation":"(e.g., Pottinger 2017; Wilkinson and Ortega-Alc\\uc0\\u225{}zar 2019)","plainCitation":"(e.g., Pottinger 2017; Wilkinson and Ortega-Alcázar 2019)","noteIndex":0},"citationItems":[{"id":7051,"uris":["http://zotero.org/users/8977980/items/GZZVXTGN"],"itemData":{"id":7051,"type":"article-journal","abstract":"While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activism","volume":"49","author":[{"family":"Pottinger","given":"Laura"}],"issued":{"date-parts":[["2017"]]}},"prefix":"e.g., "},{"id":5078,"uris":["http://zotero.org/users/8977980/items/EV5QXRJZ"],"itemData":{"id":5078,"type":"article-journal","abstract":"This paper seeks to advance understandings of austerity's everyday affects by examining how neoliberal welfare retrenchment is lived, experienced and resisted. Drawing on interviews with young people in housing need, we demonstrate the ways in which day-to-day coping with welfare reform can lead to a state of fatigue, a gradual slow wearing-out that comes with having to endure everyday hardship. Such weariness, we argue, is an integral part of understanding the everyday impacts of austerity. Yet despite the apparent centrality of weariness to issues such as precarity and poverty, there has not yet been sustained discussion into the idea of weariness itself. A common conceptualisation positions weariness as the antithesis of political action, where individuals are slowly worn down until they no longer have the strength or capacity to resist. However, this paper offers a more reparative reading of weariness, one which does not narrowly conceptualise weariness as simply a closing down. Instead we question whether weariness should necessarily always be equated with inaction. The paper focuses on forms of suffering and violence that are felt as a kind of steady on-going form of endurance, rather than as a sudden eruption. We foreground affective moments that are neither passionate nor intense, but instead listless and still, generating feelings of inertia, flatness, impasse. The paper concludes with some reflections on what we term “the right to be weary,” examining how weariness could be understood as a potential retreat from the relentless drive to move forwards, a form of passive dissent.","container-title":"Transactions of the Institute of British Geographers","DOI":"10.1111/tran.12266","ISSN":"1475-5661","issue":"1","language":"en","license":"The information, practices and views in this article are those of the author(s) and do not necessarily reflect the opinion of the Royal Geographical Society (with IBG). © 2018 The Authors. Transactions of the Institute of British Geographers published by John Wiley &amp; Sons Ltd on behalf of Royal Geographical Society (with the Institute of British Geographers).","note":"_eprint: https://onlinelibrary.wiley.com/doi/pdf/10.1111/tran.12266","page":"155-167","source":"Wiley Online Library","title":"The right to be weary? Endurance and exhaustion in austere times","title-short":"The right to be weary?","volume":"44","author":[{"family":"Wilkinson","given":"Eleanor"},{"family":"Ortega-Alcázar","given":"Iliana"}],"issued":{"date-parts":[["2019"]]}}}],"schema":"https://github.com/citation-style-language/schema/raw/master/csl-citation.json"} </w:instrText>
      </w:r>
      <w:r w:rsidRPr="00662E51">
        <w:rPr>
          <w:szCs w:val="24"/>
        </w:rPr>
        <w:fldChar w:fldCharType="separate"/>
      </w:r>
      <w:r w:rsidR="006D1033" w:rsidRPr="00662E51">
        <w:rPr>
          <w:rFonts w:cs="Times New Roman"/>
          <w:kern w:val="0"/>
        </w:rPr>
        <w:t>(e.g., Pottinger 2017; Wilkinson and Ortega-Alcázar 2019)</w:t>
      </w:r>
      <w:r w:rsidRPr="00662E51">
        <w:rPr>
          <w:szCs w:val="24"/>
        </w:rPr>
        <w:fldChar w:fldCharType="end"/>
      </w:r>
      <w:r w:rsidRPr="00662E51">
        <w:rPr>
          <w:szCs w:val="24"/>
        </w:rPr>
        <w:t>.</w:t>
      </w:r>
    </w:p>
    <w:p w14:paraId="023B94DA" w14:textId="77777777" w:rsidR="00EF70A9" w:rsidRPr="00662E51" w:rsidRDefault="00EF70A9" w:rsidP="00F56305">
      <w:pPr>
        <w:spacing w:line="360" w:lineRule="auto"/>
        <w:rPr>
          <w:szCs w:val="24"/>
        </w:rPr>
      </w:pPr>
    </w:p>
    <w:p w14:paraId="42CA2166" w14:textId="796B7C0C" w:rsidR="00EF70A9" w:rsidRPr="00662E51" w:rsidRDefault="00EF70A9" w:rsidP="00F56305">
      <w:pPr>
        <w:pStyle w:val="Heading3"/>
      </w:pPr>
      <w:bookmarkStart w:id="30" w:name="_Toc221184294"/>
      <w:bookmarkStart w:id="31" w:name="_Toc231215217"/>
      <w:r w:rsidRPr="00662E51">
        <w:t>Chapter 6: “Personal Connections and Personal Alliances”: Leveraging Local Electoral Politics for Power</w:t>
      </w:r>
      <w:bookmarkEnd w:id="30"/>
      <w:bookmarkEnd w:id="31"/>
    </w:p>
    <w:p w14:paraId="5F70145B" w14:textId="1F66E66D" w:rsidR="00EF70A9" w:rsidRPr="00662E51" w:rsidRDefault="00EF70A9" w:rsidP="00F56305">
      <w:pPr>
        <w:spacing w:line="360" w:lineRule="auto"/>
        <w:ind w:left="0" w:firstLine="720"/>
        <w:rPr>
          <w:szCs w:val="24"/>
        </w:rPr>
      </w:pPr>
      <w:r w:rsidRPr="00662E51">
        <w:rPr>
          <w:szCs w:val="24"/>
        </w:rPr>
        <w:t>This chapter constitutes an analysis of the StopHDV campaign’s electoral strategy</w:t>
      </w:r>
      <w:r w:rsidR="009212D5" w:rsidRPr="00662E51">
        <w:rPr>
          <w:szCs w:val="24"/>
        </w:rPr>
        <w:t xml:space="preserve"> to cancel the Haringey Development Vehicle</w:t>
      </w:r>
      <w:r w:rsidRPr="00662E51">
        <w:rPr>
          <w:szCs w:val="24"/>
        </w:rPr>
        <w:t xml:space="preserve">. It responds to </w:t>
      </w:r>
      <w:r w:rsidR="00522C9A">
        <w:rPr>
          <w:szCs w:val="24"/>
        </w:rPr>
        <w:t>R</w:t>
      </w:r>
      <w:r w:rsidRPr="00662E51">
        <w:rPr>
          <w:szCs w:val="24"/>
        </w:rPr>
        <w:t xml:space="preserve">esearch </w:t>
      </w:r>
      <w:r w:rsidR="00522C9A">
        <w:rPr>
          <w:szCs w:val="24"/>
        </w:rPr>
        <w:t>Q</w:t>
      </w:r>
      <w:r w:rsidRPr="00662E51">
        <w:rPr>
          <w:szCs w:val="24"/>
        </w:rPr>
        <w:t xml:space="preserve">uestions </w:t>
      </w:r>
      <w:r w:rsidR="00522C9A">
        <w:rPr>
          <w:szCs w:val="24"/>
        </w:rPr>
        <w:t xml:space="preserve">2 and 3 </w:t>
      </w:r>
      <w:r w:rsidRPr="00662E51">
        <w:rPr>
          <w:szCs w:val="24"/>
        </w:rPr>
        <w:t xml:space="preserve">regarding the interrelations between the local state and the local party through an investigation of the internal politics of the Labour Party before and after the Haringey Development Vehicle’s cancellation. Chapter 6 considers the ‘state takeover’ </w:t>
      </w:r>
      <w:r w:rsidR="001C1353" w:rsidRPr="00662E51">
        <w:rPr>
          <w:szCs w:val="24"/>
        </w:rPr>
        <w:t xml:space="preserve">strategy </w:t>
      </w:r>
      <w:r w:rsidRPr="00662E51">
        <w:rPr>
          <w:szCs w:val="24"/>
        </w:rPr>
        <w:t xml:space="preserve">of the StopHDV campaign to complicate extant perspectives of the state as </w:t>
      </w:r>
      <w:r w:rsidRPr="00662E51">
        <w:rPr>
          <w:i/>
          <w:iCs/>
          <w:szCs w:val="24"/>
        </w:rPr>
        <w:t>always</w:t>
      </w:r>
      <w:r w:rsidRPr="00662E51">
        <w:rPr>
          <w:szCs w:val="24"/>
        </w:rPr>
        <w:t xml:space="preserve"> a vehicle to maintain existing capitalist accumulation. It also emphasises the role of political parties in policy development and implementation. The chapter finally adds to literature on councillors as policymakers and political representatives—there by insisting that scholars consider how the state actually governs.</w:t>
      </w:r>
    </w:p>
    <w:p w14:paraId="7E5B6DCE" w14:textId="77777777" w:rsidR="00EF70A9" w:rsidRPr="00662E51" w:rsidRDefault="00EF70A9" w:rsidP="002E2B09">
      <w:pPr>
        <w:spacing w:line="360" w:lineRule="auto"/>
        <w:ind w:left="0"/>
        <w:rPr>
          <w:szCs w:val="24"/>
        </w:rPr>
      </w:pPr>
    </w:p>
    <w:p w14:paraId="14908049" w14:textId="566D160A" w:rsidR="00EF70A9" w:rsidRPr="00662E51" w:rsidRDefault="00EF70A9" w:rsidP="00F56305">
      <w:pPr>
        <w:pStyle w:val="Heading3"/>
      </w:pPr>
      <w:bookmarkStart w:id="32" w:name="_Toc221184295"/>
      <w:bookmarkStart w:id="33" w:name="_Toc231215218"/>
      <w:r w:rsidRPr="00662E51">
        <w:t>Chapter 7: Local Parties, Authoritarian Neoliberalism, and Urban Change in Tottenham, London</w:t>
      </w:r>
      <w:bookmarkEnd w:id="32"/>
      <w:r w:rsidR="00836748">
        <w:t>:</w:t>
      </w:r>
      <w:bookmarkEnd w:id="33"/>
    </w:p>
    <w:p w14:paraId="06961B28" w14:textId="72540AC5" w:rsidR="00EF70A9" w:rsidRPr="00662E51" w:rsidRDefault="00EF70A9" w:rsidP="00F56305">
      <w:pPr>
        <w:spacing w:line="360" w:lineRule="auto"/>
        <w:ind w:left="0" w:firstLine="720"/>
        <w:rPr>
          <w:szCs w:val="24"/>
        </w:rPr>
      </w:pPr>
      <w:r w:rsidRPr="00662E51">
        <w:rPr>
          <w:szCs w:val="24"/>
        </w:rPr>
        <w:t xml:space="preserve">Here, I consider ongoing regeneration in Tottenham by scrutinising the High Road West </w:t>
      </w:r>
      <w:r w:rsidR="00B0361E" w:rsidRPr="00662E51">
        <w:rPr>
          <w:szCs w:val="24"/>
        </w:rPr>
        <w:t xml:space="preserve">(HRW) </w:t>
      </w:r>
      <w:r w:rsidRPr="00662E51">
        <w:rPr>
          <w:szCs w:val="24"/>
        </w:rPr>
        <w:t xml:space="preserve">redevelopment scheme. It also answers </w:t>
      </w:r>
      <w:r w:rsidR="0073776B" w:rsidRPr="0073776B">
        <w:rPr>
          <w:szCs w:val="24"/>
        </w:rPr>
        <w:t>Research Questions 2</w:t>
      </w:r>
      <w:r w:rsidR="0073776B">
        <w:rPr>
          <w:szCs w:val="24"/>
        </w:rPr>
        <w:t xml:space="preserve"> and 3</w:t>
      </w:r>
      <w:r w:rsidRPr="00662E51">
        <w:rPr>
          <w:szCs w:val="24"/>
        </w:rPr>
        <w:t xml:space="preserve">, which speak to the interconnections between the local Labour Party and local state. Here, these interconnections are examined through the HRW case. Through an exploration of the scheme, its context, related discourses, and consultation processes, the chapter considers how the Labour Party’s structures work with the local state to foreclose dissent to the scheme. The chapter </w:t>
      </w:r>
      <w:r w:rsidRPr="00662E51">
        <w:rPr>
          <w:szCs w:val="24"/>
        </w:rPr>
        <w:lastRenderedPageBreak/>
        <w:t>enables me to interpret how political parties play a key role in the perpetuation of authoritarian neoliberal practices, thereby reinforcing the importance of local struggles to understanding the persistence of neoliberal policy.</w:t>
      </w:r>
    </w:p>
    <w:p w14:paraId="479C8E92" w14:textId="77777777" w:rsidR="00EF70A9" w:rsidRPr="00662E51" w:rsidRDefault="00EF70A9" w:rsidP="00F56305">
      <w:pPr>
        <w:spacing w:line="360" w:lineRule="auto"/>
        <w:rPr>
          <w:szCs w:val="24"/>
        </w:rPr>
      </w:pPr>
    </w:p>
    <w:p w14:paraId="5C1643FD" w14:textId="6FE9DA60" w:rsidR="00EF70A9" w:rsidRPr="00662E51" w:rsidRDefault="00EF70A9" w:rsidP="00F56305">
      <w:pPr>
        <w:pStyle w:val="Heading3"/>
      </w:pPr>
      <w:bookmarkStart w:id="34" w:name="_Toc221184296"/>
      <w:bookmarkStart w:id="35" w:name="_Toc231215219"/>
      <w:r w:rsidRPr="00662E51">
        <w:t>Chapter 8: Conclusion</w:t>
      </w:r>
      <w:bookmarkEnd w:id="34"/>
      <w:r w:rsidR="00836748">
        <w:t>:</w:t>
      </w:r>
      <w:bookmarkEnd w:id="35"/>
    </w:p>
    <w:p w14:paraId="5D3B2FA7" w14:textId="6164152B" w:rsidR="00EF70A9" w:rsidRDefault="00EF70A9" w:rsidP="00F56305">
      <w:pPr>
        <w:spacing w:line="360" w:lineRule="auto"/>
        <w:ind w:left="0" w:firstLine="720"/>
        <w:rPr>
          <w:szCs w:val="24"/>
        </w:rPr>
      </w:pPr>
      <w:r w:rsidRPr="00662E51">
        <w:rPr>
          <w:szCs w:val="24"/>
        </w:rPr>
        <w:t xml:space="preserve">Finally, this chapter synthesises the research’s main findings. It highlights the theoretical and empirical contributions made across the thesis. First, I have argued for a framework of a multiscalar ‘state-party nexus,’ to better attend to how the state and the party fit together. Second, it discusses the importance of placing greater emphasis on political parties in scholarship on contemporary neoliberalism. Lastly, the thesis has asserted new activist frameworks that consider quieter forms of direct action that are still transformative. Responding to global, contemporary crises of democracy, this section concludes with a call for scholarship to be reoriented towards studies of the local state </w:t>
      </w:r>
      <w:r w:rsidRPr="00662E51">
        <w:rPr>
          <w:i/>
          <w:iCs/>
          <w:szCs w:val="24"/>
        </w:rPr>
        <w:t>actually governs</w:t>
      </w:r>
      <w:r w:rsidRPr="00662E51">
        <w:rPr>
          <w:szCs w:val="24"/>
        </w:rPr>
        <w:t xml:space="preserve"> and responds to activism—rather than treating the local scale as a merely a container for national dynamics. </w:t>
      </w:r>
    </w:p>
    <w:p w14:paraId="2982EE03" w14:textId="032AE1D1" w:rsidR="00527AFB" w:rsidRDefault="00D70B48" w:rsidP="00527AFB">
      <w:pPr>
        <w:spacing w:line="360" w:lineRule="auto"/>
        <w:ind w:left="0"/>
        <w:rPr>
          <w:szCs w:val="24"/>
        </w:rPr>
      </w:pPr>
      <w:r>
        <w:rPr>
          <w:szCs w:val="24"/>
        </w:rPr>
        <w:tab/>
      </w:r>
      <w:r w:rsidR="00C76255">
        <w:rPr>
          <w:szCs w:val="24"/>
        </w:rPr>
        <w:t xml:space="preserve">Having </w:t>
      </w:r>
      <w:r w:rsidR="009D3961">
        <w:rPr>
          <w:szCs w:val="24"/>
        </w:rPr>
        <w:t xml:space="preserve">reviewed the thesis structure, I shift to providing an abbreviated background for the London Borough of Haringey. This overview offers context of the region, a short history of its politics, and a more sustained analysis of the 2011 uprising that began in Tottenham. </w:t>
      </w:r>
    </w:p>
    <w:p w14:paraId="1CEF7F19" w14:textId="77777777" w:rsidR="00527AFB" w:rsidRPr="00662E51" w:rsidRDefault="00527AFB" w:rsidP="00527AFB">
      <w:pPr>
        <w:spacing w:line="360" w:lineRule="auto"/>
        <w:ind w:left="0"/>
      </w:pPr>
    </w:p>
    <w:p w14:paraId="2AEB9748" w14:textId="31F36B08" w:rsidR="00527AFB" w:rsidRPr="00662E51" w:rsidRDefault="00527AFB" w:rsidP="00527AFB">
      <w:pPr>
        <w:pStyle w:val="Heading2"/>
      </w:pPr>
      <w:bookmarkStart w:id="36" w:name="_Toc216096139"/>
      <w:bookmarkStart w:id="37" w:name="_Toc221184297"/>
      <w:bookmarkStart w:id="38" w:name="_Toc231215220"/>
      <w:r w:rsidRPr="00662E51">
        <w:t>Context and Background of the London Borough of Haringey</w:t>
      </w:r>
      <w:bookmarkEnd w:id="36"/>
      <w:bookmarkEnd w:id="37"/>
      <w:r w:rsidR="00836748">
        <w:t>:</w:t>
      </w:r>
      <w:bookmarkEnd w:id="38"/>
    </w:p>
    <w:p w14:paraId="2B177DA6" w14:textId="2D488D6E" w:rsidR="00527AFB" w:rsidRPr="00662E51" w:rsidRDefault="00527AFB" w:rsidP="00527AFB">
      <w:pPr>
        <w:keepNext/>
        <w:spacing w:line="360" w:lineRule="auto"/>
        <w:ind w:left="0"/>
        <w:rPr>
          <w:szCs w:val="24"/>
        </w:rPr>
      </w:pPr>
      <w:r w:rsidRPr="00662E51">
        <w:rPr>
          <w:szCs w:val="24"/>
        </w:rPr>
        <w:t>Founded in 1965 as part of the reorganisation of Greater London,</w:t>
      </w:r>
      <w:r w:rsidRPr="00BD17AF">
        <w:rPr>
          <w:rStyle w:val="FootnoteReference"/>
        </w:rPr>
        <w:footnoteReference w:id="7"/>
      </w:r>
      <w:r w:rsidRPr="00662E51">
        <w:rPr>
          <w:szCs w:val="24"/>
        </w:rPr>
        <w:t xml:space="preserve"> Haringey has always had two starkly contrasting sides, split by National Rail’s East Coast Main Line. The west side of Haringey (including wards</w:t>
      </w:r>
      <w:r w:rsidRPr="00BD17AF">
        <w:rPr>
          <w:rStyle w:val="FootnoteReference"/>
        </w:rPr>
        <w:footnoteReference w:id="8"/>
      </w:r>
      <w:r w:rsidRPr="00662E51">
        <w:rPr>
          <w:szCs w:val="24"/>
        </w:rPr>
        <w:t xml:space="preserve"> like Muswell Hill and Highgate) has historically been a destination for wealthier Londoners with professional careers. These neighbourhoods retain strong local identities and have a political history that has tended to be more moderate. </w:t>
      </w:r>
      <w:r w:rsidR="009A77E0">
        <w:rPr>
          <w:szCs w:val="24"/>
        </w:rPr>
        <w:t xml:space="preserve">Historically, it has elected </w:t>
      </w:r>
      <w:r w:rsidR="00860D8C">
        <w:rPr>
          <w:szCs w:val="24"/>
        </w:rPr>
        <w:lastRenderedPageBreak/>
        <w:t xml:space="preserve">councillors from the Conservative Party, and later, the Liberal Democrats. </w:t>
      </w:r>
      <w:r w:rsidRPr="00662E51">
        <w:rPr>
          <w:szCs w:val="24"/>
        </w:rPr>
        <w:t xml:space="preserve">Conversely, the borough’s east side (covering neighbourhoods like Seven Sisters and Wood Green) has traditionally been more radical and working class </w:t>
      </w:r>
      <w:r w:rsidRPr="00662E51">
        <w:rPr>
          <w:szCs w:val="24"/>
        </w:rPr>
        <w:fldChar w:fldCharType="begin"/>
      </w:r>
      <w:r w:rsidRPr="00662E51">
        <w:rPr>
          <w:szCs w:val="24"/>
        </w:rPr>
        <w:instrText xml:space="preserve"> ADDIN ZOTERO_ITEM CSL_CITATION {"citationID":"f862ifYK","properties":{"formattedCitation":"(Dillon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Pr="00662E51">
        <w:rPr>
          <w:szCs w:val="24"/>
        </w:rPr>
        <w:t>(Dillon and Fanning 2011)</w:t>
      </w:r>
      <w:r w:rsidRPr="00662E51">
        <w:rPr>
          <w:szCs w:val="24"/>
        </w:rPr>
        <w:fldChar w:fldCharType="end"/>
      </w:r>
      <w:r w:rsidRPr="00662E51">
        <w:rPr>
          <w:szCs w:val="24"/>
        </w:rPr>
        <w:t xml:space="preserve">. The east side, where both Tottenham and the Broadwater estate are located, has been a historic light industrial and manufacturing centre, with easy access to the River Lea and </w:t>
      </w:r>
      <w:r w:rsidR="00F620C7" w:rsidRPr="00662E51">
        <w:rPr>
          <w:noProof/>
          <w:szCs w:val="24"/>
        </w:rPr>
        <mc:AlternateContent>
          <mc:Choice Requires="wps">
            <w:drawing>
              <wp:anchor distT="0" distB="0" distL="114300" distR="114300" simplePos="0" relativeHeight="251674643" behindDoc="0" locked="0" layoutInCell="1" allowOverlap="1" wp14:anchorId="5CBC4BE9" wp14:editId="1E50EAD9">
                <wp:simplePos x="0" y="0"/>
                <wp:positionH relativeFrom="column">
                  <wp:posOffset>13970</wp:posOffset>
                </wp:positionH>
                <wp:positionV relativeFrom="paragraph">
                  <wp:posOffset>4374515</wp:posOffset>
                </wp:positionV>
                <wp:extent cx="5731510" cy="485140"/>
                <wp:effectExtent l="0" t="0" r="2540" b="0"/>
                <wp:wrapSquare wrapText="bothSides"/>
                <wp:docPr id="1270845847" name="Text Box 1"/>
                <wp:cNvGraphicFramePr/>
                <a:graphic xmlns:a="http://schemas.openxmlformats.org/drawingml/2006/main">
                  <a:graphicData uri="http://schemas.microsoft.com/office/word/2010/wordprocessingShape">
                    <wps:wsp>
                      <wps:cNvSpPr txBox="1"/>
                      <wps:spPr>
                        <a:xfrm>
                          <a:off x="0" y="0"/>
                          <a:ext cx="5731510" cy="485140"/>
                        </a:xfrm>
                        <a:prstGeom prst="rect">
                          <a:avLst/>
                        </a:prstGeom>
                        <a:solidFill>
                          <a:prstClr val="white"/>
                        </a:solidFill>
                        <a:ln>
                          <a:noFill/>
                        </a:ln>
                      </wps:spPr>
                      <wps:txbx>
                        <w:txbxContent>
                          <w:p w14:paraId="75F8DFBE" w14:textId="77777777" w:rsidR="005076B7" w:rsidRPr="00662E51" w:rsidRDefault="005076B7" w:rsidP="005076B7">
                            <w:pPr>
                              <w:pStyle w:val="Caption"/>
                            </w:pPr>
                            <w:bookmarkStart w:id="39" w:name="_Toc221112568"/>
                            <w:r w:rsidRPr="00662E51">
                              <w:t xml:space="preserve">Figure </w:t>
                            </w:r>
                            <w:r>
                              <w:fldChar w:fldCharType="begin"/>
                            </w:r>
                            <w:r>
                              <w:instrText>SEQ Figure \* ARABIC</w:instrText>
                            </w:r>
                            <w:r>
                              <w:fldChar w:fldCharType="separate"/>
                            </w:r>
                            <w:r w:rsidRPr="00662E51">
                              <w:t>1</w:t>
                            </w:r>
                            <w:r>
                              <w:fldChar w:fldCharType="end"/>
                            </w:r>
                            <w:r w:rsidRPr="00662E51">
                              <w:t xml:space="preserve"> - Rates of Deprivation across Haringey (Haringey Borough Council 2024a). East/west dividing line in red.</w:t>
                            </w:r>
                            <w:bookmarkEnd w:id="39"/>
                          </w:p>
                          <w:p w14:paraId="67AC7E3F" w14:textId="77777777" w:rsidR="005076B7" w:rsidRPr="00662E51" w:rsidRDefault="005076B7" w:rsidP="005076B7"/>
                          <w:p w14:paraId="5F742B66" w14:textId="77777777" w:rsidR="005076B7" w:rsidRPr="00662E51" w:rsidRDefault="005076B7" w:rsidP="005076B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A4146F7">
              <v:shapetype id="_x0000_t202" coordsize="21600,21600" o:spt="202" path="m,l,21600r21600,l21600,xe" w14:anchorId="5CBC4BE9">
                <v:stroke joinstyle="miter"/>
                <v:path gradientshapeok="t" o:connecttype="rect"/>
              </v:shapetype>
              <v:shape id="Text Box 1" style="position:absolute;left:0;text-align:left;margin-left:1.1pt;margin-top:344.45pt;width:451.3pt;height:38.2pt;z-index:2516746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">
                <v:textbox inset="0,0,0,0">
                  <w:txbxContent>
                    <w:p w:rsidRPr="00662E51" w:rsidR="005076B7" w:rsidP="005076B7" w:rsidRDefault="005076B7" w14:paraId="3985D1C8" w14:textId="77777777">
                      <w:pPr>
                        <w:pStyle w:val="Caption"/>
                      </w:pPr>
                      <w:r w:rsidRPr="00662E51">
                        <w:t xml:space="preserve">Figure </w:t>
                      </w:r>
                      <w:r>
                        <w:fldChar w:fldCharType="begin"/>
                      </w:r>
                      <w:r>
                        <w:instrText> SEQ Figure \* ARABIC </w:instrText>
                      </w:r>
                      <w:r>
                        <w:fldChar w:fldCharType="separate"/>
                      </w:r>
                      <w:r w:rsidRPr="00662E51">
                        <w:t>1</w:t>
                      </w:r>
                      <w:r>
                        <w:fldChar w:fldCharType="end"/>
                      </w:r>
                      <w:r w:rsidRPr="00662E51">
                        <w:t xml:space="preserve"> - Rates of Deprivation across Haringey (Haringey Borough Council 2024a). East/west dividing line in red.</w:t>
                      </w:r>
                    </w:p>
                    <w:p w:rsidRPr="00662E51" w:rsidR="005076B7" w:rsidP="005076B7" w:rsidRDefault="005076B7" w14:paraId="672A6659" w14:textId="77777777"/>
                    <w:p w:rsidRPr="00662E51" w:rsidR="005076B7" w:rsidP="005076B7" w:rsidRDefault="005076B7" w14:paraId="0A37501D" w14:textId="77777777"/>
                  </w:txbxContent>
                </v:textbox>
                <w10:wrap type="square"/>
              </v:shape>
            </w:pict>
          </mc:Fallback>
        </mc:AlternateContent>
      </w:r>
      <w:r w:rsidR="005076B7" w:rsidRPr="00662E51">
        <w:rPr>
          <w:noProof/>
          <w:szCs w:val="24"/>
        </w:rPr>
        <w:drawing>
          <wp:anchor distT="0" distB="0" distL="114300" distR="114300" simplePos="0" relativeHeight="251673619" behindDoc="0" locked="0" layoutInCell="1" allowOverlap="1" wp14:anchorId="6F0041FD" wp14:editId="0B2179F9">
            <wp:simplePos x="0" y="0"/>
            <wp:positionH relativeFrom="column">
              <wp:posOffset>15240</wp:posOffset>
            </wp:positionH>
            <wp:positionV relativeFrom="paragraph">
              <wp:posOffset>31750</wp:posOffset>
            </wp:positionV>
            <wp:extent cx="5731510" cy="4286250"/>
            <wp:effectExtent l="0" t="0" r="2540" b="0"/>
            <wp:wrapSquare wrapText="bothSides"/>
            <wp:docPr id="1125200459"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00459" name="Picture 1" descr="A map of the united state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5731510" cy="4286250"/>
                    </a:xfrm>
                    <a:prstGeom prst="rect">
                      <a:avLst/>
                    </a:prstGeom>
                  </pic:spPr>
                </pic:pic>
              </a:graphicData>
            </a:graphic>
            <wp14:sizeRelV relativeFrom="margin">
              <wp14:pctHeight>0</wp14:pctHeight>
            </wp14:sizeRelV>
          </wp:anchor>
        </w:drawing>
      </w:r>
      <w:r w:rsidR="005076B7" w:rsidRPr="00662E51">
        <w:rPr>
          <w:noProof/>
          <w:szCs w:val="24"/>
        </w:rPr>
        <mc:AlternateContent>
          <mc:Choice Requires="wps">
            <w:drawing>
              <wp:anchor distT="0" distB="0" distL="114300" distR="114300" simplePos="0" relativeHeight="251675667" behindDoc="0" locked="0" layoutInCell="1" allowOverlap="1" wp14:anchorId="5D3FE144" wp14:editId="214E52D0">
                <wp:simplePos x="0" y="0"/>
                <wp:positionH relativeFrom="column">
                  <wp:posOffset>1621790</wp:posOffset>
                </wp:positionH>
                <wp:positionV relativeFrom="paragraph">
                  <wp:posOffset>273050</wp:posOffset>
                </wp:positionV>
                <wp:extent cx="1783080" cy="3208020"/>
                <wp:effectExtent l="19050" t="19050" r="26670" b="30480"/>
                <wp:wrapNone/>
                <wp:docPr id="64553271" name="Straight Connector 8"/>
                <wp:cNvGraphicFramePr/>
                <a:graphic xmlns:a="http://schemas.openxmlformats.org/drawingml/2006/main">
                  <a:graphicData uri="http://schemas.microsoft.com/office/word/2010/wordprocessingShape">
                    <wps:wsp>
                      <wps:cNvCnPr/>
                      <wps:spPr>
                        <a:xfrm>
                          <a:off x="0" y="0"/>
                          <a:ext cx="1783080" cy="3208020"/>
                        </a:xfrm>
                        <a:prstGeom prst="line">
                          <a:avLst/>
                        </a:prstGeom>
                        <a:ln w="38100">
                          <a:solidFill>
                            <a:srgbClr val="C0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2F10F5E">
              <v:line id="Straight Connector 8" style="position:absolute;z-index:2516756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c00000" strokeweight="3pt" from="127.7pt,21.5pt" to="268.1pt,274.1pt" w14:anchorId="61C2B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">
                <v:stroke joinstyle="miter"/>
              </v:line>
            </w:pict>
          </mc:Fallback>
        </mc:AlternateContent>
      </w:r>
      <w:r w:rsidRPr="00662E51">
        <w:rPr>
          <w:szCs w:val="24"/>
        </w:rPr>
        <w:t xml:space="preserve">train services to central London </w:t>
      </w:r>
      <w:r w:rsidRPr="00662E51">
        <w:rPr>
          <w:szCs w:val="24"/>
        </w:rPr>
        <w:fldChar w:fldCharType="begin"/>
      </w:r>
      <w:r w:rsidRPr="00662E51">
        <w:rPr>
          <w:szCs w:val="24"/>
        </w:rPr>
        <w:instrText xml:space="preserve"> ADDIN ZOTERO_ITEM CSL_CITATION {"citationID":"moVLPHrH","properties":{"formattedCitation":"(O\\uc0\\u8217{}Sullivan 1991)","plainCitation":"(O’Sullivan 1991)","noteIndex":0},"citationItems":[{"id":6908,"uris":["http://zotero.org/users/8977980/items/EHGFG9Z3"],"itemData":{"id":6908,"type":"thesis","abstract":"This thesis is an exploration of the relationship between trade unionism and politics viewed primarily through events within the London Borough of Haringey. These events are examined through two case studies of local government union branches between 1965 and 1987. In these studies I use original research data with the aim of unifying what are usually deemed separate theoretical approaches, for example concern with either the labour process or with the bargaining relation. I show that by unifying these different strands of analysis a far greater depth of understanding is achieved.\nThe research also examines the development of Labour Party politics in the 1980s, and particularly the rise of 'radical municipalism' as a response to traditional labourism.\n\nFinally this critical appraisal is extended to provide a critique of dominant themes running through radical and Marxist literature concerned with labour movement politics and in particular the trade unions.","genre":"phd","language":"en","publisher":"University of Warwick","source":"wrap.warwick.ac.uk","title":"Trade unionism and politics in the London Borough of Haringey","URL":"http://webcat.warwick.ac.uk/record=b3228173~S15","author":[{"family":"O'Sullivan","given":"M. J. (Michael James)"}],"accessed":{"date-parts":[["2025",9,11]]},"issued":{"date-parts":[["1991",8]]}}}],"schema":"https://github.com/citation-style-language/schema/raw/master/csl-citation.json"} </w:instrText>
      </w:r>
      <w:r w:rsidRPr="00662E51">
        <w:rPr>
          <w:szCs w:val="24"/>
        </w:rPr>
        <w:fldChar w:fldCharType="separate"/>
      </w:r>
      <w:r w:rsidRPr="00662E51">
        <w:rPr>
          <w:rFonts w:cs="Times New Roman"/>
          <w:kern w:val="0"/>
          <w:szCs w:val="24"/>
        </w:rPr>
        <w:t>(O’Sullivan 1991)</w:t>
      </w:r>
      <w:r w:rsidRPr="00662E51">
        <w:rPr>
          <w:szCs w:val="24"/>
        </w:rPr>
        <w:fldChar w:fldCharType="end"/>
      </w:r>
      <w:r w:rsidRPr="00662E51">
        <w:rPr>
          <w:szCs w:val="24"/>
        </w:rPr>
        <w:t xml:space="preserve">. Concurrently, the Labour Party has established a stronghold over the eastern half, with few non-Labour elected officials taking office since the creation of Haringey </w:t>
      </w:r>
      <w:r w:rsidRPr="00662E51">
        <w:rPr>
          <w:szCs w:val="24"/>
        </w:rPr>
        <w:fldChar w:fldCharType="begin"/>
      </w:r>
      <w:r w:rsidRPr="00662E51">
        <w:rPr>
          <w:szCs w:val="24"/>
        </w:rPr>
        <w:instrText xml:space="preserve"> ADDIN ZOTERO_ITEM CSL_CITATION {"citationID":"3YEhOu0T","properties":{"formattedCitation":"(Dillon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Pr="00662E51">
        <w:rPr>
          <w:szCs w:val="24"/>
        </w:rPr>
        <w:t>(Dillon and Fanning 2011)</w:t>
      </w:r>
      <w:r w:rsidRPr="00662E51">
        <w:rPr>
          <w:szCs w:val="24"/>
        </w:rPr>
        <w:fldChar w:fldCharType="end"/>
      </w:r>
      <w:r w:rsidRPr="00662E51">
        <w:rPr>
          <w:szCs w:val="24"/>
        </w:rPr>
        <w:t xml:space="preserve">. The east side of the borough is intensely deprived: more than half of the neighbourhoods in the east are in the top 20 percent areas of deprivation in UK, while the western half has few deprived neighbourhoods at all (Figure 1). Historically driven by the decline of manufacturing in the UK, inter-generational poverty has increased in the eastern </w:t>
      </w:r>
      <w:r w:rsidRPr="00662E51">
        <w:rPr>
          <w:szCs w:val="24"/>
        </w:rPr>
        <w:lastRenderedPageBreak/>
        <w:t xml:space="preserve">half over the last four decades. As a result, Haringey is the fourth most deprived borough in London </w:t>
      </w:r>
      <w:r w:rsidRPr="00662E51">
        <w:rPr>
          <w:szCs w:val="24"/>
        </w:rPr>
        <w:fldChar w:fldCharType="begin"/>
      </w:r>
      <w:r w:rsidRPr="00662E51">
        <w:rPr>
          <w:szCs w:val="24"/>
        </w:rPr>
        <w:instrText xml:space="preserve"> ADDIN ZOTERO_ITEM CSL_CITATION {"citationID":"3IkmHEGP","properties":{"formattedCitation":"(Haringey Borough Council 2024a)","plainCitation":"(Haringey Borough Council 2024a)","noteIndex":0},"citationItems":[{"id":6897,"uris":["http://zotero.org/users/8977980/items/5JTDEXBQ"],"itemData":{"id":6897,"type":"report","publisher":"London Borough of Haringey","publisher-place":"London","title":"Haringey at a glance: State of the Borough","URL":"https://haringey.gov.uk/sites/default/files/2024-04/state_of_the_borough_final_master_version.pdf","author":[{"literal":"Haringey Borough Council"}],"issued":{"date-parts":[["2024"]]}}}],"schema":"https://github.com/citation-style-language/schema/raw/master/csl-citation.json"} </w:instrText>
      </w:r>
      <w:r w:rsidRPr="00662E51">
        <w:rPr>
          <w:szCs w:val="24"/>
        </w:rPr>
        <w:fldChar w:fldCharType="separate"/>
      </w:r>
      <w:r w:rsidRPr="00662E51">
        <w:rPr>
          <w:szCs w:val="24"/>
        </w:rPr>
        <w:t>(Haringey Borough Council 2024a)</w:t>
      </w:r>
      <w:r w:rsidRPr="00662E51">
        <w:rPr>
          <w:szCs w:val="24"/>
        </w:rPr>
        <w:fldChar w:fldCharType="end"/>
      </w:r>
      <w:r w:rsidRPr="00662E51">
        <w:rPr>
          <w:szCs w:val="24"/>
        </w:rPr>
        <w:t xml:space="preserve">. </w:t>
      </w:r>
    </w:p>
    <w:p w14:paraId="3F3C10A3" w14:textId="2B821915" w:rsidR="00527AFB" w:rsidRPr="00662E51" w:rsidRDefault="00527AFB" w:rsidP="00527AFB">
      <w:pPr>
        <w:keepNext/>
        <w:spacing w:line="360" w:lineRule="auto"/>
        <w:ind w:left="0" w:firstLine="720"/>
        <w:rPr>
          <w:szCs w:val="24"/>
        </w:rPr>
      </w:pPr>
      <w:r w:rsidRPr="00662E51">
        <w:rPr>
          <w:szCs w:val="24"/>
        </w:rPr>
        <w:t>Haringey is one of the most ethnically diverse boroughs in London and has also been a destination for migrants from across the world. Haringey residents speak over 180 different languages and two in three are from minoritised ethnic (or Other White</w:t>
      </w:r>
      <w:r w:rsidRPr="00BD17AF">
        <w:rPr>
          <w:rStyle w:val="FootnoteReference"/>
        </w:rPr>
        <w:footnoteReference w:id="9"/>
      </w:r>
      <w:r w:rsidRPr="00662E51">
        <w:rPr>
          <w:szCs w:val="24"/>
        </w:rPr>
        <w:t xml:space="preserve">) groups </w:t>
      </w:r>
      <w:r w:rsidRPr="00662E51">
        <w:rPr>
          <w:szCs w:val="24"/>
        </w:rPr>
        <w:fldChar w:fldCharType="begin"/>
      </w:r>
      <w:r w:rsidRPr="00662E51">
        <w:rPr>
          <w:szCs w:val="24"/>
        </w:rPr>
        <w:instrText xml:space="preserve"> ADDIN ZOTERO_ITEM CSL_CITATION {"citationID":"LSJLKeWX","properties":{"formattedCitation":"(Haringey Borough Council 2024a)","plainCitation":"(Haringey Borough Council 2024a)","noteIndex":0},"citationItems":[{"id":6897,"uris":["http://zotero.org/users/8977980/items/5JTDEXBQ"],"itemData":{"id":6897,"type":"report","publisher":"London Borough of Haringey","publisher-place":"London","title":"Haringey at a glance: State of the Borough","URL":"https://haringey.gov.uk/sites/default/files/2024-04/state_of_the_borough_final_master_version.pdf","author":[{"literal":"Haringey Borough Council"}],"issued":{"date-parts":[["2024"]]}}}],"schema":"https://github.com/citation-style-language/schema/raw/master/csl-citation.json"} </w:instrText>
      </w:r>
      <w:r w:rsidRPr="00662E51">
        <w:rPr>
          <w:szCs w:val="24"/>
        </w:rPr>
        <w:fldChar w:fldCharType="separate"/>
      </w:r>
      <w:r w:rsidRPr="00662E51">
        <w:rPr>
          <w:szCs w:val="24"/>
        </w:rPr>
        <w:t>(Haringey Borough Council 2024a)</w:t>
      </w:r>
      <w:r w:rsidRPr="00662E51">
        <w:rPr>
          <w:szCs w:val="24"/>
        </w:rPr>
        <w:fldChar w:fldCharType="end"/>
      </w:r>
      <w:r w:rsidRPr="00662E51">
        <w:rPr>
          <w:szCs w:val="24"/>
        </w:rPr>
        <w:t xml:space="preserve">. Tottenham is often described as ‘super-diverse,’ </w:t>
      </w:r>
      <w:r w:rsidRPr="00662E51">
        <w:rPr>
          <w:szCs w:val="24"/>
        </w:rPr>
        <w:fldChar w:fldCharType="begin"/>
      </w:r>
      <w:r w:rsidRPr="00662E51">
        <w:rPr>
          <w:szCs w:val="24"/>
        </w:rPr>
        <w:instrText xml:space="preserve"> ADDIN ZOTERO_ITEM CSL_CITATION {"citationID":"flOdxROr","properties":{"formattedCitation":"(Vertovec 2007)","plainCitation":"(Vertovec 2007)","noteIndex":0},"citationItems":[{"id":6898,"uris":["http://zotero.org/users/8977980/items/RMP8NP8H"],"itemData":{"id":6898,"type":"article-journal","abstract":"Diversity in Britain is not what it used to be. Some thirty years of government policies, social service practices and public perceptions have been framed by a particular understanding of immigration and multicultural diversity. That is, Britain's immigrant and ethnic minority population has conventionally been characterized by large, well-organized African-Caribbean and South Asian communities of citizens originally from Commonwealth countries or formerly colonial territories. Policy frameworks and public understanding – and, indeed, many areas of social science – have not caught up with recently emergent demographic and social patterns. Britain can now be characterized by ‘super-diversity,’ a notion intended to underline a level and kind of complexity surpassing anything the country has previously experienced. Such a condition is distinguished by a dynamic interplay of variables among an increased number of new, small and scattered, multiple-origin, transnationally connected, socio-economically differentiated and legally stratified immigrants who have arrived over the last decade. Outlined here, new patterns of super-diversity pose significant challenges for both policy and research.","container-title":"Ethnic and Racial Studies","DOI":"10.1080/01419870701599465","ISSN":"0141-9870","issue":"6","note":"_eprint: https://doi.org/10.1080/01419870701599465","page":"1024-1054","publisher":"Routledge","source":"Taylor and Francis+NEJM","title":"Super-diversity and its implications","volume":"30","author":[{"family":"Vertovec","given":"Steven"}],"issued":{"date-parts":[["2007",11,1]]}}}],"schema":"https://github.com/citation-style-language/schema/raw/master/csl-citation.json"} </w:instrText>
      </w:r>
      <w:r w:rsidRPr="00662E51">
        <w:rPr>
          <w:szCs w:val="24"/>
        </w:rPr>
        <w:fldChar w:fldCharType="separate"/>
      </w:r>
      <w:r w:rsidRPr="00662E51">
        <w:rPr>
          <w:szCs w:val="24"/>
        </w:rPr>
        <w:t>(Vertovec 2007)</w:t>
      </w:r>
      <w:r w:rsidRPr="00662E51">
        <w:rPr>
          <w:szCs w:val="24"/>
        </w:rPr>
        <w:fldChar w:fldCharType="end"/>
      </w:r>
      <w:r w:rsidRPr="00662E51">
        <w:rPr>
          <w:szCs w:val="24"/>
        </w:rPr>
        <w:t xml:space="preserve"> with denizens hailing from Afro-Caribbean, Irish, Greek and Turkish Cypriot, Somali, Kurdish, Chinese, and Eastern European communities; indeed, Tottenham is a candidate for the most diverse neighbourhood in Europe </w:t>
      </w:r>
      <w:r w:rsidRPr="00662E51">
        <w:rPr>
          <w:szCs w:val="24"/>
        </w:rPr>
        <w:fldChar w:fldCharType="begin"/>
      </w:r>
      <w:r w:rsidRPr="00662E51">
        <w:rPr>
          <w:szCs w:val="24"/>
        </w:rPr>
        <w:instrText xml:space="preserve"> ADDIN ZOTERO_ITEM CSL_CITATION {"citationID":"U1d42FSQ","properties":{"formattedCitation":"(Elster 2020; Visser 2020)","plainCitation":"(Elster 2020; Visser 2020)","noteIndex":0},"citationItems":[{"id":45,"uris":["http://zotero.org/users/8977980/items/M6J3CXWJ"],"itemData":{"id":45,"type":"article-journal","abstract":"Numerous negative representations of youth emerged in the aftermath of the 2011 English riots. This article intends to fill a gap in the literature on the ‘riot-affected’ areas by looking at how youths from Tottenham (the North London constituency where a peaceful demonstration escalated into the English riots of 2011) deal with stereotypical and homogeneous portrayals put forward by the British mainstream news media and many government ministers. In drawing on an alternative conceptualisation of reflexivity that spells out how reflexive orientations relate to lived experiences, the article aims to open up novel pathways for understanding youth reflexivity in the context of being regularly subjected to negative representations. This is achieved by tying reflexive activity more closely to Alfred Schütz’s notion of ‘stock of knowledge’. The study applies qualitative methods to empirically address how a group of eighteen 15- to 25-year-olds from Tottenham reflexively negotiate the harmful consequences of stigmatised identities. The most striking conclusion to emerge from the data is that Tottenham’s young people embody a diverse range of youth identities and reflexive attitudes; a conclusion that flies in the face of the way in which much of the media depicted youths after the riots.","container-title":"The Sociological Review","DOI":"10.1177/0038026120915706","ISSN":"0038-0261","issue":"6","journalAbbreviation":"The Sociological Review","language":"en","page":"1386-1402","publisher":"SAGE Publications Ltd","source":"SAGE Journals","title":"Youth voices in post-English riots Tottenham: The role of reflexivity in negotiating negative representations","title-short":"Youth voices in post-English riots Tottenham","volume":"68","author":[{"family":"Elster","given":"Julius"}],"issued":{"date-parts":[["2020",11,1]]}}},{"id":51,"uris":["http://zotero.org/users/8977980/items/4Y49LDGE"],"itemData":{"id":51,"type":"article-journal","abstract":"The United Kingdom, as most other West European countries, is being confronted with increasing diversity in terms of ethnicity, language, religion and identity. Questions on the desirability and possibility of a multicultural society are a topic of debate. In the last decade, the public debate has increasingly centred on young people from immigrant backgrounds, often referring to their perceived failure to assimilate to the host society. Issues of ‘belonging’, either to the host society or the country of their parents are central in this debate. Little scholarly research, however, has paid attention to experience and negotiation of belonging of the young people from immigrant backgrounds themselves. In this study I look at how young people from immigrant backgrounds (12–19years old) living in a highly diverse neighbourhood (Tottenham, London), experience and negotiate belonging to British society and to their neighbourhood. In this paper I show that (1) belonging negotiated by the young people in Tottenham is dynamic and situational, and should be seen as a process of seeking and being granted belonging which happens at different scales; and (2) whereas London is a city famous for its image of cosmopolitanism, openness, and tolerance we also see that the young people in the study do not always experience it as such. Expressing a strong sense of belonging to Tottenham could be seen as a reaction to not always feeling part of British society.","container-title":"Geoforum","DOI":"10.1016/j.geoforum.2017.02.002","ISSN":"0016-7185","journalAbbreviation":"Geoforum","language":"en","page":"322-330","source":"ScienceDirect","title":"“Because we're all different” – Everyday experiences of belonging among young people from immigrant backgrounds in Tottenham","volume":"116","author":[{"family":"Visser","given":"Kirsten"}],"issued":{"date-parts":[["2020",11,1]]}}}],"schema":"https://github.com/citation-style-language/schema/raw/master/csl-citation.json"} </w:instrText>
      </w:r>
      <w:r w:rsidRPr="00662E51">
        <w:rPr>
          <w:szCs w:val="24"/>
        </w:rPr>
        <w:fldChar w:fldCharType="separate"/>
      </w:r>
      <w:r w:rsidRPr="00662E51">
        <w:rPr>
          <w:szCs w:val="24"/>
        </w:rPr>
        <w:t>(Elster 2020; Visser 2020)</w:t>
      </w:r>
      <w:r w:rsidRPr="00662E51">
        <w:rPr>
          <w:szCs w:val="24"/>
        </w:rPr>
        <w:fldChar w:fldCharType="end"/>
      </w:r>
      <w:r w:rsidRPr="00662E51">
        <w:rPr>
          <w:szCs w:val="24"/>
        </w:rPr>
        <w:t xml:space="preserve">. In Northumberland Park ward, where much of this thesis’s fieldwork was conducted, 36.5 percent of the population claimed Black or African as an ethnic group, and West Green ward (the site of Broadwater Farm estate) was split 50.7 percent white, 49.3 percent not white </w:t>
      </w:r>
      <w:r w:rsidRPr="00662E51">
        <w:rPr>
          <w:szCs w:val="24"/>
        </w:rPr>
        <w:fldChar w:fldCharType="begin"/>
      </w:r>
      <w:r w:rsidRPr="00662E51">
        <w:rPr>
          <w:szCs w:val="24"/>
        </w:rPr>
        <w:instrText xml:space="preserve"> ADDIN ZOTERO_ITEM CSL_CITATION {"citationID":"epUO8qM4","properties":{"formattedCitation":"(Office for National Statistics 2022)","plainCitation":"(Office for National Statistics 2022)","noteIndex":0},"citationItems":[{"id":7085,"uris":["http://zotero.org/users/8977980/items/7DMX5LSM"],"itemData":{"id":7085,"type":"webpage","title":"Northumberland Park Ward (as of 2022) - 2021 Census Area Profile","URL":"https://www.nomisweb.co.uk/sources/census_2021/report?compare=E09000014,E92000001,E00010221","author":[{"literal":"Office for National Statistics"}],"accessed":{"date-parts":[["2025",11,18]]},"issued":{"date-parts":[["2022"]]}}}],"schema":"https://github.com/citation-style-language/schema/raw/master/csl-citation.json"} </w:instrText>
      </w:r>
      <w:r w:rsidRPr="00662E51">
        <w:rPr>
          <w:szCs w:val="24"/>
        </w:rPr>
        <w:fldChar w:fldCharType="separate"/>
      </w:r>
      <w:r w:rsidRPr="00662E51">
        <w:t>(Office for National Statistics 2022)</w:t>
      </w:r>
      <w:r w:rsidRPr="00662E51">
        <w:rPr>
          <w:szCs w:val="24"/>
        </w:rPr>
        <w:fldChar w:fldCharType="end"/>
      </w:r>
      <w:r w:rsidRPr="00662E51">
        <w:rPr>
          <w:szCs w:val="24"/>
        </w:rPr>
        <w:t>. As explored in Chapter 2 and throughout this thesis, the relationships between minoritised ethnic groups in the UK and council housing are deep. Deprivation and ethnic minorities are also</w:t>
      </w:r>
      <w:r w:rsidR="005076B7">
        <w:rPr>
          <w:szCs w:val="24"/>
        </w:rPr>
        <w:t xml:space="preserve"> s</w:t>
      </w:r>
      <w:r w:rsidRPr="00662E51">
        <w:rPr>
          <w:szCs w:val="24"/>
        </w:rPr>
        <w:t>tatistically related, and as such Haringey’s eastern wards suffer from multiple forms of oppression.</w:t>
      </w:r>
    </w:p>
    <w:p w14:paraId="0B7F3EEE" w14:textId="0151781B" w:rsidR="004D0039" w:rsidRDefault="00527AFB" w:rsidP="00BB1BA5">
      <w:pPr>
        <w:spacing w:line="360" w:lineRule="auto"/>
        <w:ind w:left="0" w:firstLine="720"/>
        <w:rPr>
          <w:szCs w:val="24"/>
        </w:rPr>
      </w:pPr>
      <w:r w:rsidRPr="00662E51">
        <w:rPr>
          <w:szCs w:val="24"/>
        </w:rPr>
        <w:t xml:space="preserve">Housing in Haringey has tended to </w:t>
      </w:r>
      <w:r w:rsidR="00BB1BA5">
        <w:rPr>
          <w:szCs w:val="24"/>
        </w:rPr>
        <w:t>reflect</w:t>
      </w:r>
      <w:r w:rsidRPr="00662E51">
        <w:rPr>
          <w:szCs w:val="24"/>
        </w:rPr>
        <w:t xml:space="preserve"> this division. Much of the east’s cramped Victorian housing stock reflects its origins as a working-class area. The western half conversely tends to have larger homes in less dense, leafier suburbs </w:t>
      </w:r>
      <w:r w:rsidRPr="00662E51">
        <w:rPr>
          <w:szCs w:val="24"/>
        </w:rPr>
        <w:fldChar w:fldCharType="begin"/>
      </w:r>
      <w:r w:rsidRPr="00662E51">
        <w:rPr>
          <w:szCs w:val="24"/>
        </w:rPr>
        <w:instrText xml:space="preserve"> ADDIN ZOTERO_ITEM CSL_CITATION {"citationID":"4lZTiHOr","properties":{"formattedCitation":"(Dillon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Pr="00662E51">
        <w:rPr>
          <w:szCs w:val="24"/>
        </w:rPr>
        <w:t>(Dillon and Fanning 2011)</w:t>
      </w:r>
      <w:r w:rsidRPr="00662E51">
        <w:rPr>
          <w:szCs w:val="24"/>
        </w:rPr>
        <w:fldChar w:fldCharType="end"/>
      </w:r>
      <w:r w:rsidRPr="00662E51">
        <w:rPr>
          <w:szCs w:val="24"/>
        </w:rPr>
        <w:t xml:space="preserve">. Housing prices </w:t>
      </w:r>
      <w:r w:rsidR="00D651A6">
        <w:rPr>
          <w:szCs w:val="24"/>
        </w:rPr>
        <w:t>similarly demonstrate</w:t>
      </w:r>
      <w:r w:rsidRPr="00662E51">
        <w:rPr>
          <w:szCs w:val="24"/>
        </w:rPr>
        <w:t xml:space="preserve"> this disparity, with average prices in the east frequently less than half of that in the west; in 2014, prices differences between the two halves were as high as £1 million </w:t>
      </w:r>
      <w:r w:rsidRPr="00662E51">
        <w:rPr>
          <w:szCs w:val="24"/>
        </w:rPr>
        <w:fldChar w:fldCharType="begin"/>
      </w:r>
      <w:r w:rsidRPr="00662E51">
        <w:rPr>
          <w:szCs w:val="24"/>
        </w:rPr>
        <w:instrText xml:space="preserve"> ADDIN ZOTERO_ITEM CSL_CITATION {"citationID":"vyjlSheY","properties":{"formattedCitation":"(GVA 2014)","plainCitation":"(GVA 2014)","noteIndex":0},"citationItems":[{"id":6906,"uris":["http://zotero.org/users/8977980/items/WG2VSAJK"],"itemData":{"id":6906,"type":"report","publisher":"London Borough of Haringey","publisher-place":"London (UK), United Kingdom","title":"London Borough of Haringey Strategic Housing Market Assessment","URL":"https://www.haringey.gov.uk/sites/default/files/strategic_housing_market_assessment.pdf","author":[{"literal":"GVA"}],"issued":{"date-parts":[["2014",5]]}}}],"schema":"https://github.com/citation-style-language/schema/raw/master/csl-citation.json"} </w:instrText>
      </w:r>
      <w:r w:rsidRPr="00662E51">
        <w:rPr>
          <w:szCs w:val="24"/>
        </w:rPr>
        <w:fldChar w:fldCharType="separate"/>
      </w:r>
      <w:r w:rsidRPr="00662E51">
        <w:rPr>
          <w:szCs w:val="24"/>
        </w:rPr>
        <w:t>(GVA 2014)</w:t>
      </w:r>
      <w:r w:rsidRPr="00662E51">
        <w:rPr>
          <w:szCs w:val="24"/>
        </w:rPr>
        <w:fldChar w:fldCharType="end"/>
      </w:r>
      <w:r w:rsidRPr="00662E51">
        <w:rPr>
          <w:szCs w:val="24"/>
        </w:rPr>
        <w:t>. The division extends to current housing tenure,</w:t>
      </w:r>
      <w:r w:rsidRPr="00BD17AF">
        <w:rPr>
          <w:rStyle w:val="FootnoteReference"/>
        </w:rPr>
        <w:footnoteReference w:id="10"/>
      </w:r>
      <w:r w:rsidRPr="00662E51">
        <w:rPr>
          <w:szCs w:val="24"/>
        </w:rPr>
        <w:t xml:space="preserve"> with far more council tenants in eastern wards than in western ones (Figure 2) while the west has far more homeowners than the does the east (Figure 3). Not only does the east have more council </w:t>
      </w:r>
      <w:r w:rsidRPr="00662E51">
        <w:rPr>
          <w:i/>
          <w:iCs/>
          <w:szCs w:val="24"/>
        </w:rPr>
        <w:t>tenants</w:t>
      </w:r>
      <w:r w:rsidRPr="00662E51">
        <w:rPr>
          <w:szCs w:val="24"/>
        </w:rPr>
        <w:t xml:space="preserve"> but it has large council </w:t>
      </w:r>
      <w:r w:rsidRPr="00662E51">
        <w:rPr>
          <w:i/>
          <w:iCs/>
          <w:szCs w:val="24"/>
        </w:rPr>
        <w:t>estates</w:t>
      </w:r>
      <w:r w:rsidRPr="00662E51">
        <w:rPr>
          <w:szCs w:val="24"/>
        </w:rPr>
        <w:t xml:space="preserve"> as well—both Broadwater Farm and Northumberland Park estates, for instance, have around 1,000 </w:t>
      </w:r>
      <w:r w:rsidRPr="00662E51">
        <w:rPr>
          <w:szCs w:val="24"/>
        </w:rPr>
        <w:lastRenderedPageBreak/>
        <w:t xml:space="preserve">dwellings each </w:t>
      </w:r>
      <w:r w:rsidRPr="00662E51">
        <w:rPr>
          <w:szCs w:val="24"/>
        </w:rPr>
        <w:fldChar w:fldCharType="begin"/>
      </w:r>
      <w:r w:rsidRPr="00662E51">
        <w:rPr>
          <w:szCs w:val="24"/>
        </w:rPr>
        <w:instrText xml:space="preserve"> ADDIN ZOTERO_ITEM CSL_CITATION {"citationID":"FZLt8Tth","properties":{"formattedCitation":"(\\uc0\\u8216{}EstateWatch\\uc0\\u8217{}, n.d.)","plainCitation":"(‘EstateWatch’, n.d.)","noteIndex":0},"citationItems":[{"id":6901,"uris":["http://zotero.org/users/8977980/items/Q6CB82QM"],"itemData":{"id":6901,"type":"webpage","title":"EstateWatch","URL":"https://estatewatch.london/","accessed":{"date-parts":[["2025",9,10]]}}}],"schema":"https://github.com/citation-style-language/schema/raw/master/csl-citation.json"} </w:instrText>
      </w:r>
      <w:r w:rsidRPr="00662E51">
        <w:rPr>
          <w:szCs w:val="24"/>
        </w:rPr>
        <w:fldChar w:fldCharType="separate"/>
      </w:r>
      <w:r w:rsidRPr="00662E51">
        <w:rPr>
          <w:rFonts w:cs="Times New Roman"/>
          <w:kern w:val="0"/>
          <w:szCs w:val="24"/>
        </w:rPr>
        <w:t>(‘EstateWatch’, n.d.)</w:t>
      </w:r>
      <w:r w:rsidRPr="00662E51">
        <w:rPr>
          <w:szCs w:val="24"/>
        </w:rPr>
        <w:fldChar w:fldCharType="end"/>
      </w:r>
      <w:r w:rsidRPr="00662E51">
        <w:rPr>
          <w:szCs w:val="24"/>
        </w:rPr>
        <w:t xml:space="preserve">. The number of social tenants in Haringey has been decreasing over time, falling from 29 percent of residents in 2016 to 22 percent in 2020 </w:t>
      </w:r>
      <w:r w:rsidRPr="00662E51">
        <w:rPr>
          <w:szCs w:val="24"/>
        </w:rPr>
        <w:fldChar w:fldCharType="begin"/>
      </w:r>
      <w:r w:rsidRPr="00662E51">
        <w:rPr>
          <w:szCs w:val="24"/>
        </w:rPr>
        <w:instrText xml:space="preserve"> ADDIN ZOTERO_ITEM CSL_CITATION {"citationID":"O9iJMWEh","properties":{"formattedCitation":"(Haringey Borough Council 2024a)","plainCitation":"(Haringey Borough Council 2024a)","noteIndex":0},"citationItems":[{"id":6897,"uris":["http://zotero.org/users/8977980/items/5JTDEXBQ"],"itemData":{"id":6897,"type":"report","publisher":"London Borough of Haringey","publisher-place":"London","title":"Haringey at a glance: State of the Borough","URL":"https://haringey.gov.uk/sites/default/files/2024-04/state_of_the_borough_final_master_version.pdf","author":[{"literal":"Haringey Borough Council"}],"issued":{"date-parts":[["2024"]]}}}],"schema":"https://github.com/citation-style-language/schema/raw/master/csl-citation.json"} </w:instrText>
      </w:r>
      <w:r w:rsidRPr="00662E51">
        <w:rPr>
          <w:szCs w:val="24"/>
        </w:rPr>
        <w:fldChar w:fldCharType="separate"/>
      </w:r>
      <w:r w:rsidRPr="00662E51">
        <w:rPr>
          <w:szCs w:val="24"/>
        </w:rPr>
        <w:t>(Haringey Borough Council 2024a)</w:t>
      </w:r>
      <w:r w:rsidRPr="00662E51">
        <w:rPr>
          <w:szCs w:val="24"/>
        </w:rPr>
        <w:fldChar w:fldCharType="end"/>
      </w:r>
      <w:r w:rsidRPr="00662E51">
        <w:rPr>
          <w:szCs w:val="24"/>
        </w:rPr>
        <w:t xml:space="preserve">. The number of households on the waiting list is high, at around 13,000 households. Accordingly, wait-times are </w:t>
      </w:r>
      <w:r w:rsidR="00126956" w:rsidRPr="00662E51">
        <w:rPr>
          <w:szCs w:val="24"/>
        </w:rPr>
        <w:t>long—Haringey</w:t>
      </w:r>
      <w:r w:rsidR="00126956">
        <w:rPr>
          <w:szCs w:val="24"/>
        </w:rPr>
        <w:t xml:space="preserve"> </w:t>
      </w:r>
      <w:r w:rsidR="00126956" w:rsidRPr="00662E51">
        <w:rPr>
          <w:szCs w:val="24"/>
        </w:rPr>
        <w:t>has the second longest waiting time for two-</w:t>
      </w:r>
      <w:r w:rsidR="00126956" w:rsidRPr="00126956">
        <w:rPr>
          <w:szCs w:val="24"/>
        </w:rPr>
        <w:t xml:space="preserve"> </w:t>
      </w:r>
      <w:r w:rsidR="00126956" w:rsidRPr="00662E51">
        <w:rPr>
          <w:szCs w:val="24"/>
        </w:rPr>
        <w:t>and three-bedrooms,</w:t>
      </w:r>
      <w:r w:rsidR="004D0039">
        <w:rPr>
          <w:szCs w:val="24"/>
        </w:rPr>
        <w:t xml:space="preserve"> </w:t>
      </w:r>
      <w:r w:rsidR="004D0039" w:rsidRPr="00662E51">
        <w:rPr>
          <w:szCs w:val="24"/>
        </w:rPr>
        <w:t xml:space="preserve">for instance, at nearly eight years on average in 2023 </w:t>
      </w:r>
      <w:r w:rsidR="004D0039" w:rsidRPr="00662E51">
        <w:rPr>
          <w:szCs w:val="24"/>
        </w:rPr>
        <w:fldChar w:fldCharType="begin"/>
      </w:r>
      <w:r w:rsidR="004D0039" w:rsidRPr="00662E51">
        <w:rPr>
          <w:szCs w:val="24"/>
        </w:rPr>
        <w:instrText xml:space="preserve"> ADDIN ZOTERO_ITEM CSL_CITATION {"citationID":"19hMrx5z","properties":{"formattedCitation":"(Centre for London 2023)","plainCitation":"(Centre for London 2023)","noteIndex":0},"citationItems":[{"id":6902,"uris":["http://zotero.org/users/8977980/items/I4BRGNZQ"],"itemData":{"id":6902,"type":"webpage","abstract":"Haringey has the highest waiting list of the three North London boroughs at 12,826 households. This is much larger than other North London, compared to Enfield with 5,991 households and Barnet...","language":"en-GB","title":"Haringey Social Housing Wait Times","URL":"https://centreforlondon.org/haringey-social-housing-wait-times/","author":[{"literal":"Centre for London"}],"accessed":{"date-parts":[["2025",9,11]]},"issued":{"date-parts":[["2023"]]}}}],"schema":"https://github.com/citation-style-language/schema/raw/master/csl-citation.json"} </w:instrText>
      </w:r>
      <w:r w:rsidR="004D0039" w:rsidRPr="00662E51">
        <w:rPr>
          <w:szCs w:val="24"/>
        </w:rPr>
        <w:fldChar w:fldCharType="separate"/>
      </w:r>
      <w:r w:rsidR="004D0039" w:rsidRPr="00662E51">
        <w:rPr>
          <w:szCs w:val="24"/>
        </w:rPr>
        <w:t>(Centre for London 2023)</w:t>
      </w:r>
      <w:r w:rsidR="004D0039" w:rsidRPr="00662E51">
        <w:rPr>
          <w:szCs w:val="24"/>
        </w:rPr>
        <w:fldChar w:fldCharType="end"/>
      </w:r>
      <w:r w:rsidR="004D0039" w:rsidRPr="00662E51">
        <w:rPr>
          <w:szCs w:val="24"/>
        </w:rPr>
        <w:t>.</w:t>
      </w:r>
      <w:r w:rsidR="004D0039">
        <w:rPr>
          <w:szCs w:val="24"/>
        </w:rPr>
        <w:t xml:space="preserve"> </w:t>
      </w:r>
    </w:p>
    <w:p w14:paraId="2B9DD554" w14:textId="77777777" w:rsidR="004D0039" w:rsidRDefault="004D0039" w:rsidP="004D0039">
      <w:pPr>
        <w:spacing w:line="360" w:lineRule="auto"/>
        <w:ind w:left="0" w:firstLine="720"/>
        <w:rPr>
          <w:szCs w:val="24"/>
        </w:rPr>
      </w:pPr>
      <w:r w:rsidRPr="00662E51">
        <w:rPr>
          <w:szCs w:val="24"/>
        </w:rPr>
        <w:t xml:space="preserve">Haringey is consequently a borough of contrasts—with significant concentrations of wealth in one part and concentrations of deprivation in another. The area’s politics are equally one of contrasts. The next segment thus reviews local politics in the borough, with a focus on the Labour Party. </w:t>
      </w:r>
    </w:p>
    <w:p w14:paraId="0AFAC5F1" w14:textId="77777777" w:rsidR="004D0039" w:rsidRPr="00662E51" w:rsidRDefault="004D0039" w:rsidP="004D0039">
      <w:pPr>
        <w:spacing w:line="360" w:lineRule="auto"/>
        <w:ind w:left="0" w:firstLine="720"/>
        <w:rPr>
          <w:szCs w:val="24"/>
        </w:rPr>
      </w:pPr>
    </w:p>
    <w:p w14:paraId="30C871B8" w14:textId="77777777" w:rsidR="004D0039" w:rsidRPr="00662E51" w:rsidRDefault="004D0039" w:rsidP="004D0039">
      <w:pPr>
        <w:pStyle w:val="Heading3"/>
      </w:pPr>
      <w:bookmarkStart w:id="40" w:name="_Toc221184298"/>
      <w:bookmarkStart w:id="41" w:name="_Toc231215221"/>
      <w:r w:rsidRPr="00662E51">
        <w:t>Local Politics in Haringey—a Short History</w:t>
      </w:r>
      <w:bookmarkEnd w:id="40"/>
      <w:bookmarkEnd w:id="41"/>
      <w:r w:rsidRPr="00662E51">
        <w:t xml:space="preserve"> </w:t>
      </w:r>
    </w:p>
    <w:p w14:paraId="14BF7364" w14:textId="77777777" w:rsidR="004D0039" w:rsidRPr="00662E51" w:rsidRDefault="004D0039" w:rsidP="004D0039">
      <w:pPr>
        <w:spacing w:line="360" w:lineRule="auto"/>
        <w:ind w:left="0" w:firstLine="576"/>
        <w:rPr>
          <w:szCs w:val="24"/>
        </w:rPr>
      </w:pPr>
      <w:r w:rsidRPr="00662E51">
        <w:rPr>
          <w:szCs w:val="24"/>
        </w:rPr>
        <w:t xml:space="preserve">As aforementioned, Haringey is dominated by the Labour Party, the more conservative elements of the borough’s western portion notwithstanding. Indeed, except for one three-year period (1968-1971) when Conservatives led the council, Labour has held power in Haringey since its creation in 1965—although not always completely. The Conservatives often made a small, healthy opposition but became less relevant in Haringey in the 1990s. While the Liberal Democrats have made inroads in the borough since the 2002 election—and winning a plurality of votes in 2006—Labour has held on, increasing its majority in 2010 and 2014. Thus, the political history of the borough is </w:t>
      </w:r>
      <w:r>
        <w:rPr>
          <w:szCs w:val="24"/>
        </w:rPr>
        <w:t xml:space="preserve">chiefly </w:t>
      </w:r>
      <w:r w:rsidRPr="00662E51">
        <w:rPr>
          <w:szCs w:val="24"/>
        </w:rPr>
        <w:t xml:space="preserve">reflected by changes and contestation in the Labour Party </w:t>
      </w:r>
      <w:r w:rsidRPr="00662E51">
        <w:rPr>
          <w:szCs w:val="24"/>
        </w:rPr>
        <w:fldChar w:fldCharType="begin"/>
      </w:r>
      <w:r w:rsidRPr="00662E51">
        <w:rPr>
          <w:szCs w:val="24"/>
        </w:rPr>
        <w:instrText xml:space="preserve"> ADDIN ZOTERO_ITEM CSL_CITATION {"citationID":"Cf7DhkKf","properties":{"formattedCitation":"(Dillon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Pr="00662E51">
        <w:rPr>
          <w:szCs w:val="24"/>
        </w:rPr>
        <w:t>(Dillon and Fanning 2011)</w:t>
      </w:r>
      <w:r w:rsidRPr="00662E51">
        <w:rPr>
          <w:szCs w:val="24"/>
        </w:rPr>
        <w:fldChar w:fldCharType="end"/>
      </w:r>
      <w:r w:rsidRPr="00662E51">
        <w:rPr>
          <w:szCs w:val="24"/>
        </w:rPr>
        <w:t>. This subsection primarily considers the changes in Labour over the last five decades, starting from 1978.</w:t>
      </w:r>
    </w:p>
    <w:p w14:paraId="7C86D693" w14:textId="414AD2CD" w:rsidR="00527AFB" w:rsidRPr="00662E51" w:rsidRDefault="004D0039" w:rsidP="00126956">
      <w:pPr>
        <w:spacing w:line="360" w:lineRule="auto"/>
        <w:ind w:left="0" w:firstLine="720"/>
        <w:rPr>
          <w:szCs w:val="24"/>
        </w:rPr>
      </w:pPr>
      <w:r w:rsidRPr="00662E51">
        <w:rPr>
          <w:szCs w:val="24"/>
        </w:rPr>
        <w:t xml:space="preserve">Labour took back control of Haringey in 1971 after a national backlash against the then-Labour government. From 1971 to 1979, the council engaged in a policy of enlargement; that is, it consciously attempted to increase its role as a mediator between the working class in Haringey and the national state. The 1978 election saw a new left faction come to prominence within Haringey’s Labour Party and group of councillors </w:t>
      </w:r>
      <w:r w:rsidRPr="00662E51">
        <w:rPr>
          <w:szCs w:val="24"/>
        </w:rPr>
        <w:fldChar w:fldCharType="begin"/>
      </w:r>
      <w:r w:rsidRPr="00662E51">
        <w:rPr>
          <w:szCs w:val="24"/>
        </w:rPr>
        <w:instrText xml:space="preserve"> ADDIN ZOTERO_ITEM CSL_CITATION {"citationID":"mEs5ZVE2","properties":{"formattedCitation":"(O\\uc0\\u8217{}Sullivan 1991)","plainCitation":"(O’Sullivan 1991)","noteIndex":0},"citationItems":[{"id":6908,"uris":["http://zotero.org/users/8977980/items/EHGFG9Z3"],"itemData":{"id":6908,"type":"thesis","abstract":"This thesis is an exploration of the relationship between trade unionism and politics viewed primarily through events within the London Borough of Haringey. These events are examined through two case studies of local government union branches between 1965 and 1987. In these studies I use original research data with the aim of unifying what are usually deemed separate theoretical approaches, for example concern with either the labour process or with the bargaining relation. I show that by unifying these different strands of analysis a far greater depth of understanding is achieved.\nThe research also examines the development of Labour Party politics in the 1980s, and particularly the rise of 'radical municipalism' as a response to traditional labourism.\n\nFinally this critical appraisal is extended to provide a critique of dominant themes running through radical and Marxist literature concerned with labour movement politics and in particular the trade unions.","genre":"phd","language":"en","publisher":"University of Warwick","source":"wrap.warwick.ac.uk","title":"Trade unionism and politics in the London Borough of Haringey","URL":"http://webcat.warwick.ac.uk/record=b3228173~S15","author":[{"family":"O'Sullivan","given":"M. J. (Michael James)"}],"accessed":{"date-parts":[["2025",9,11]]},"issued":{"date-parts":[["1991",8]]}}}],"schema":"https://github.com/citation-style-language/schema/raw/master/csl-citation.json"} </w:instrText>
      </w:r>
      <w:r w:rsidRPr="00662E51">
        <w:rPr>
          <w:szCs w:val="24"/>
        </w:rPr>
        <w:fldChar w:fldCharType="separate"/>
      </w:r>
      <w:r w:rsidRPr="00662E51">
        <w:rPr>
          <w:rFonts w:cs="Times New Roman"/>
          <w:kern w:val="0"/>
          <w:szCs w:val="24"/>
        </w:rPr>
        <w:t>(O’Sullivan 1991)</w:t>
      </w:r>
      <w:r w:rsidRPr="00662E51">
        <w:rPr>
          <w:szCs w:val="24"/>
        </w:rPr>
        <w:fldChar w:fldCharType="end"/>
      </w:r>
      <w:r w:rsidRPr="00662E51">
        <w:rPr>
          <w:szCs w:val="24"/>
        </w:rPr>
        <w:t xml:space="preserve">. This faction included a new collection of white radicals as well as Black and minoritised ethnic politicians who would go on to be influential in Haringey, like future council Leader and Tottenham MP </w:t>
      </w:r>
    </w:p>
    <w:p w14:paraId="5BE2D005" w14:textId="77777777" w:rsidR="00527AFB" w:rsidRPr="00662E51" w:rsidRDefault="00527AFB" w:rsidP="00527AFB">
      <w:pPr>
        <w:pStyle w:val="Pictures"/>
        <w:spacing w:line="360" w:lineRule="auto"/>
        <w:ind w:firstLine="0"/>
        <w:rPr>
          <w:lang w:val="en-GB"/>
        </w:rPr>
      </w:pPr>
      <w:r w:rsidRPr="00662E51">
        <w:rPr>
          <w:noProof/>
          <w:lang w:val="en-GB"/>
        </w:rPr>
        <w:lastRenderedPageBreak/>
        <w:drawing>
          <wp:inline distT="0" distB="0" distL="0" distR="0" wp14:anchorId="21EDB81E" wp14:editId="37BD1996">
            <wp:extent cx="5470887" cy="3614400"/>
            <wp:effectExtent l="0" t="0" r="0" b="5715"/>
            <wp:docPr id="1341672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72176"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5470887" cy="3614400"/>
                    </a:xfrm>
                    <a:prstGeom prst="rect">
                      <a:avLst/>
                    </a:prstGeom>
                  </pic:spPr>
                </pic:pic>
              </a:graphicData>
            </a:graphic>
          </wp:inline>
        </w:drawing>
      </w:r>
    </w:p>
    <w:p w14:paraId="27532B28" w14:textId="77777777" w:rsidR="00527AFB" w:rsidRPr="00662E51" w:rsidRDefault="00527AFB" w:rsidP="00527AFB">
      <w:pPr>
        <w:pStyle w:val="Caption"/>
        <w:rPr>
          <w:color w:val="auto"/>
        </w:rPr>
      </w:pPr>
      <w:bookmarkStart w:id="42" w:name="_Toc208847989"/>
      <w:bookmarkStart w:id="43" w:name="_Toc216875894"/>
      <w:r w:rsidRPr="00662E51">
        <w:rPr>
          <w:color w:val="auto"/>
        </w:rPr>
        <w:t xml:space="preserve">Figure </w:t>
      </w:r>
      <w:r w:rsidRPr="00662E51">
        <w:rPr>
          <w:color w:val="auto"/>
        </w:rPr>
        <w:fldChar w:fldCharType="begin"/>
      </w:r>
      <w:r w:rsidRPr="00662E51">
        <w:rPr>
          <w:color w:val="auto"/>
        </w:rPr>
        <w:instrText xml:space="preserve"> SEQ Figure \* ARABIC </w:instrText>
      </w:r>
      <w:r w:rsidRPr="00662E51">
        <w:rPr>
          <w:color w:val="auto"/>
        </w:rPr>
        <w:fldChar w:fldCharType="separate"/>
      </w:r>
      <w:r w:rsidRPr="00662E51">
        <w:rPr>
          <w:color w:val="auto"/>
        </w:rPr>
        <w:t>2</w:t>
      </w:r>
      <w:r w:rsidRPr="00662E51">
        <w:rPr>
          <w:color w:val="auto"/>
        </w:rPr>
        <w:fldChar w:fldCharType="end"/>
      </w:r>
      <w:r w:rsidRPr="00662E51">
        <w:rPr>
          <w:color w:val="auto"/>
        </w:rPr>
        <w:t xml:space="preserve"> - Density of social renting in Haringey. (Office of National Statistics, 2021 Census Data).</w:t>
      </w:r>
      <w:bookmarkEnd w:id="8"/>
      <w:bookmarkEnd w:id="42"/>
      <w:bookmarkEnd w:id="43"/>
    </w:p>
    <w:p w14:paraId="3CAB611E" w14:textId="44497DE6" w:rsidR="00527AFB" w:rsidRPr="00662E51" w:rsidRDefault="004306B3" w:rsidP="00527AFB">
      <w:pPr>
        <w:spacing w:line="360" w:lineRule="auto"/>
        <w:rPr>
          <w:szCs w:val="24"/>
        </w:rPr>
      </w:pPr>
      <w:r w:rsidRPr="00662E51">
        <w:rPr>
          <w:noProof/>
          <w:szCs w:val="24"/>
        </w:rPr>
        <w:drawing>
          <wp:anchor distT="0" distB="0" distL="114300" distR="114300" simplePos="0" relativeHeight="251657235" behindDoc="1" locked="0" layoutInCell="1" allowOverlap="1" wp14:anchorId="6C8B5C4B" wp14:editId="27949731">
            <wp:simplePos x="0" y="0"/>
            <wp:positionH relativeFrom="column">
              <wp:posOffset>18506</wp:posOffset>
            </wp:positionH>
            <wp:positionV relativeFrom="paragraph">
              <wp:posOffset>383540</wp:posOffset>
            </wp:positionV>
            <wp:extent cx="5450205" cy="3549015"/>
            <wp:effectExtent l="0" t="0" r="0" b="0"/>
            <wp:wrapTight wrapText="bothSides">
              <wp:wrapPolygon edited="0">
                <wp:start x="0" y="0"/>
                <wp:lineTo x="0" y="21449"/>
                <wp:lineTo x="21517" y="21449"/>
                <wp:lineTo x="21517" y="0"/>
                <wp:lineTo x="0" y="0"/>
              </wp:wrapPolygon>
            </wp:wrapTight>
            <wp:docPr id="1376471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71455"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5450205" cy="3549015"/>
                    </a:xfrm>
                    <a:prstGeom prst="rect">
                      <a:avLst/>
                    </a:prstGeom>
                  </pic:spPr>
                </pic:pic>
              </a:graphicData>
            </a:graphic>
            <wp14:sizeRelH relativeFrom="margin">
              <wp14:pctWidth>0</wp14:pctWidth>
            </wp14:sizeRelH>
            <wp14:sizeRelV relativeFrom="margin">
              <wp14:pctHeight>0</wp14:pctHeight>
            </wp14:sizeRelV>
          </wp:anchor>
        </w:drawing>
      </w:r>
    </w:p>
    <w:p w14:paraId="781E1FA9" w14:textId="38D4D201" w:rsidR="00527AFB" w:rsidRPr="00662E51" w:rsidRDefault="00527AFB" w:rsidP="00085EED">
      <w:pPr>
        <w:spacing w:line="360" w:lineRule="auto"/>
        <w:ind w:left="0"/>
        <w:rPr>
          <w:szCs w:val="24"/>
        </w:rPr>
      </w:pPr>
      <w:r w:rsidRPr="00662E51">
        <w:rPr>
          <w:noProof/>
          <w:szCs w:val="24"/>
        </w:rPr>
        <w:lastRenderedPageBreak/>
        <mc:AlternateContent>
          <mc:Choice Requires="wps">
            <w:drawing>
              <wp:anchor distT="0" distB="0" distL="114300" distR="114300" simplePos="0" relativeHeight="251658259" behindDoc="1" locked="0" layoutInCell="1" allowOverlap="1" wp14:anchorId="479D08A3" wp14:editId="0A78E89A">
                <wp:simplePos x="0" y="0"/>
                <wp:positionH relativeFrom="column">
                  <wp:posOffset>0</wp:posOffset>
                </wp:positionH>
                <wp:positionV relativeFrom="paragraph">
                  <wp:posOffset>3792220</wp:posOffset>
                </wp:positionV>
                <wp:extent cx="5730875" cy="635"/>
                <wp:effectExtent l="0" t="0" r="0" b="0"/>
                <wp:wrapTight wrapText="bothSides">
                  <wp:wrapPolygon edited="0">
                    <wp:start x="0" y="0"/>
                    <wp:lineTo x="0" y="21600"/>
                    <wp:lineTo x="21600" y="21600"/>
                    <wp:lineTo x="21600" y="0"/>
                  </wp:wrapPolygon>
                </wp:wrapTight>
                <wp:docPr id="944326239" name="Text Box 1"/>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4DE54967" w14:textId="347B6A46" w:rsidR="00527AFB" w:rsidRPr="00662E51" w:rsidRDefault="00527AFB" w:rsidP="005076B7">
                            <w:pPr>
                              <w:pStyle w:val="Caption"/>
                            </w:pPr>
                            <w:bookmarkStart w:id="44" w:name="_Toc208847990"/>
                            <w:bookmarkStart w:id="45" w:name="_Toc216875895"/>
                            <w:r w:rsidRPr="00662E51">
                              <w:t xml:space="preserve">Figure </w:t>
                            </w:r>
                            <w:r>
                              <w:fldChar w:fldCharType="begin"/>
                            </w:r>
                            <w:r>
                              <w:instrText>SEQ Figure \* ARABIC</w:instrText>
                            </w:r>
                            <w:r>
                              <w:fldChar w:fldCharType="separate"/>
                            </w:r>
                            <w:r w:rsidRPr="00662E51">
                              <w:t>3</w:t>
                            </w:r>
                            <w:r>
                              <w:fldChar w:fldCharType="end"/>
                            </w:r>
                            <w:r w:rsidRPr="00662E51">
                              <w:t xml:space="preserve"> - Density of homeownership in Haringey (Office of National Statistics, 2021 Census Data)</w:t>
                            </w:r>
                          </w:p>
                          <w:p w14:paraId="703DD8E5" w14:textId="77777777" w:rsidR="00527AFB" w:rsidRDefault="00527AFB"/>
                          <w:p w14:paraId="7201489E" w14:textId="0FB6B94A" w:rsidR="00527AFB" w:rsidRPr="00662E51" w:rsidRDefault="00527AFB" w:rsidP="005076B7">
                            <w:pPr>
                              <w:pStyle w:val="Caption"/>
                            </w:pPr>
                            <w:r w:rsidRPr="00662E51">
                              <w:t xml:space="preserve">Figure </w:t>
                            </w:r>
                            <w:r>
                              <w:fldChar w:fldCharType="begin"/>
                            </w:r>
                            <w:r>
                              <w:instrText>SEQ Figure \* ARABIC</w:instrText>
                            </w:r>
                            <w:r>
                              <w:fldChar w:fldCharType="separate"/>
                            </w:r>
                            <w:r w:rsidRPr="00662E51">
                              <w:t>4</w:t>
                            </w:r>
                            <w:r>
                              <w:fldChar w:fldCharType="end"/>
                            </w:r>
                            <w:r w:rsidRPr="00662E51">
                              <w:t xml:space="preserve"> - Broadwater Farm Estate (Karakusevic Carson Architects, 2019). Tangmere block in black.Figure </w:t>
                            </w:r>
                            <w:r>
                              <w:fldChar w:fldCharType="begin"/>
                            </w:r>
                            <w:r>
                              <w:instrText>SEQ Figure \* ARABIC</w:instrText>
                            </w:r>
                            <w:r>
                              <w:fldChar w:fldCharType="separate"/>
                            </w:r>
                            <w:r w:rsidRPr="00662E51">
                              <w:t>3</w:t>
                            </w:r>
                            <w:r>
                              <w:fldChar w:fldCharType="end"/>
                            </w:r>
                            <w:r w:rsidRPr="00662E51">
                              <w:t xml:space="preserve"> - Density of homeownership in Haringey (Office of National Statistics, 2021 Census Data)</w:t>
                            </w:r>
                            <w:bookmarkEnd w:id="44"/>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79D08A3" id="_x0000_t202" coordsize="21600,21600" o:spt="202" path="m,l,21600r21600,l21600,xe">
                <v:stroke joinstyle="miter"/>
                <v:path gradientshapeok="t" o:connecttype="rect"/>
              </v:shapetype>
              <v:shape id="_x0000_s1027" type="#_x0000_t202" style="position:absolute;left:0;text-align:left;margin-left:0;margin-top:298.6pt;width:451.25pt;height:.05pt;z-index:-2516582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" stroked="f">
                <v:textbox style="mso-fit-shape-to-text:t" inset="0,0,0,0">
                  <w:txbxContent>
                    <w:p w14:paraId="4DE54967" w14:textId="347B6A46" w:rsidR="00527AFB" w:rsidRPr="00662E51" w:rsidRDefault="00527AFB" w:rsidP="005076B7">
                      <w:pPr>
                        <w:pStyle w:val="Caption"/>
                      </w:pPr>
                      <w:bookmarkStart w:id="46" w:name="_Toc208847990"/>
                      <w:bookmarkStart w:id="47" w:name="_Toc216875895"/>
                      <w:r w:rsidRPr="00662E51">
                        <w:t xml:space="preserve">Figure </w:t>
                      </w:r>
                      <w:r>
                        <w:fldChar w:fldCharType="begin"/>
                      </w:r>
                      <w:r>
                        <w:instrText>SEQ Figure \* ARABIC</w:instrText>
                      </w:r>
                      <w:r>
                        <w:fldChar w:fldCharType="separate"/>
                      </w:r>
                      <w:r w:rsidRPr="00662E51">
                        <w:t>3</w:t>
                      </w:r>
                      <w:r>
                        <w:fldChar w:fldCharType="end"/>
                      </w:r>
                      <w:r w:rsidRPr="00662E51">
                        <w:t xml:space="preserve"> - Density of homeownership in Haringey (Office of National Statistics, 2021 Census Data)</w:t>
                      </w:r>
                    </w:p>
                    <w:p w14:paraId="703DD8E5" w14:textId="77777777" w:rsidR="00527AFB" w:rsidRDefault="00527AFB"/>
                    <w:p w14:paraId="7201489E" w14:textId="0FB6B94A" w:rsidR="00527AFB" w:rsidRPr="00662E51" w:rsidRDefault="00527AFB" w:rsidP="005076B7">
                      <w:pPr>
                        <w:pStyle w:val="Caption"/>
                      </w:pPr>
                      <w:r w:rsidRPr="00662E51">
                        <w:t xml:space="preserve">Figure </w:t>
                      </w:r>
                      <w:r>
                        <w:fldChar w:fldCharType="begin"/>
                      </w:r>
                      <w:r>
                        <w:instrText>SEQ Figure \* ARABIC</w:instrText>
                      </w:r>
                      <w:r>
                        <w:fldChar w:fldCharType="separate"/>
                      </w:r>
                      <w:r w:rsidRPr="00662E51">
                        <w:t>4</w:t>
                      </w:r>
                      <w:r>
                        <w:fldChar w:fldCharType="end"/>
                      </w:r>
                      <w:r w:rsidRPr="00662E51">
                        <w:t xml:space="preserve"> - Broadwater Farm Estate (Karakusevic Carson Architects, 2019). Tangmere block in black.Figure </w:t>
                      </w:r>
                      <w:r>
                        <w:fldChar w:fldCharType="begin"/>
                      </w:r>
                      <w:r>
                        <w:instrText>SEQ Figure \* ARABIC</w:instrText>
                      </w:r>
                      <w:r>
                        <w:fldChar w:fldCharType="separate"/>
                      </w:r>
                      <w:r w:rsidRPr="00662E51">
                        <w:t>3</w:t>
                      </w:r>
                      <w:r>
                        <w:fldChar w:fldCharType="end"/>
                      </w:r>
                      <w:r w:rsidRPr="00662E51">
                        <w:t xml:space="preserve"> - Density of homeownership in Haringey (Office of National Statistics, 2021 Census Data)</w:t>
                      </w:r>
                      <w:bookmarkEnd w:id="46"/>
                      <w:bookmarkEnd w:id="47"/>
                    </w:p>
                  </w:txbxContent>
                </v:textbox>
                <w10:wrap type="tight"/>
              </v:shape>
            </w:pict>
          </mc:Fallback>
        </mc:AlternateContent>
      </w:r>
    </w:p>
    <w:p w14:paraId="5971E91F" w14:textId="77777777" w:rsidR="004D0039" w:rsidRPr="00662E51" w:rsidRDefault="004D0039" w:rsidP="004D0039">
      <w:pPr>
        <w:spacing w:line="360" w:lineRule="auto"/>
        <w:ind w:left="0"/>
        <w:rPr>
          <w:szCs w:val="24"/>
        </w:rPr>
      </w:pPr>
      <w:r w:rsidRPr="00662E51">
        <w:rPr>
          <w:szCs w:val="24"/>
        </w:rPr>
        <w:t>Bernie Grant.</w:t>
      </w:r>
      <w:r w:rsidRPr="00BD17AF">
        <w:rPr>
          <w:rStyle w:val="FootnoteReference"/>
        </w:rPr>
        <w:footnoteReference w:id="11"/>
      </w:r>
      <w:r w:rsidRPr="00662E51">
        <w:rPr>
          <w:szCs w:val="24"/>
        </w:rPr>
        <w:t xml:space="preserve"> Many of this cohort were deeply tied to the New Left </w:t>
      </w:r>
      <w:r>
        <w:rPr>
          <w:szCs w:val="24"/>
        </w:rPr>
        <w:t>of the 1970s</w:t>
      </w:r>
      <w:r w:rsidRPr="00E26B63">
        <w:rPr>
          <w:szCs w:val="24"/>
        </w:rPr>
        <w:t xml:space="preserve"> </w:t>
      </w:r>
      <w:r w:rsidRPr="00662E51">
        <w:rPr>
          <w:szCs w:val="24"/>
        </w:rPr>
        <w:t xml:space="preserve">reflecting a certain spirit of radicality at the time </w:t>
      </w:r>
      <w:r w:rsidRPr="00662E51">
        <w:rPr>
          <w:szCs w:val="24"/>
        </w:rPr>
        <w:fldChar w:fldCharType="begin"/>
      </w:r>
      <w:r w:rsidRPr="00662E51">
        <w:rPr>
          <w:szCs w:val="24"/>
        </w:rPr>
        <w:instrText xml:space="preserve"> ADDIN ZOTERO_ITEM CSL_CITATION {"citationID":"Q2P7fyNf","properties":{"formattedCitation":"(Onapa 2021)","plainCitation":"(Onapa 2021)","noteIndex":0},"citationItems":[{"id":6912,"uris":["http://zotero.org/users/8977980/items/5Q27FSLZ"],"itemData":{"id":6912,"type":"article-magazine","abstract":"On this day in 1987, Bernie Grant was elected as one of Britain's first black MPs. He spent his career dedicated to the trade unionism and racial justice – and changed the political landscape of the country for good.","container-title":"Tribune","language":"en-GB","title":"The Radical Legacy of Bernie Grant","URL":"https://tribunemag.co.uk/2021/06/the-radical-legacy-of-bernie-grant","author":[{"family":"Onapa","given":"Emmanuel"}],"accessed":{"date-parts":[["2025",9,11]]},"issued":{"date-parts":[["2021",6,11]]}}}],"schema":"https://github.com/citation-style-language/schema/raw/master/csl-citation.json"} </w:instrText>
      </w:r>
      <w:r w:rsidRPr="00662E51">
        <w:rPr>
          <w:szCs w:val="24"/>
        </w:rPr>
        <w:fldChar w:fldCharType="separate"/>
      </w:r>
      <w:r w:rsidRPr="00662E51">
        <w:rPr>
          <w:szCs w:val="24"/>
        </w:rPr>
        <w:t>(Onapa 2021)</w:t>
      </w:r>
      <w:r w:rsidRPr="00662E51">
        <w:rPr>
          <w:szCs w:val="24"/>
        </w:rPr>
        <w:fldChar w:fldCharType="end"/>
      </w:r>
      <w:r>
        <w:rPr>
          <w:szCs w:val="24"/>
        </w:rPr>
        <w:t>.</w:t>
      </w:r>
    </w:p>
    <w:p w14:paraId="36B19CE4" w14:textId="23D4AB5E" w:rsidR="00527AFB" w:rsidRPr="00662E51" w:rsidRDefault="00126956" w:rsidP="004D0039">
      <w:pPr>
        <w:spacing w:line="360" w:lineRule="auto"/>
        <w:ind w:left="0" w:firstLine="576"/>
        <w:rPr>
          <w:szCs w:val="24"/>
        </w:rPr>
      </w:pPr>
      <w:r>
        <w:rPr>
          <w:szCs w:val="24"/>
        </w:rPr>
        <w:t>S</w:t>
      </w:r>
      <w:r w:rsidRPr="00662E51">
        <w:rPr>
          <w:szCs w:val="24"/>
        </w:rPr>
        <w:t xml:space="preserve">imultaneously, </w:t>
      </w:r>
      <w:r w:rsidR="00E26B63" w:rsidRPr="00662E51">
        <w:rPr>
          <w:szCs w:val="24"/>
        </w:rPr>
        <w:t xml:space="preserve">issues of race and racism </w:t>
      </w:r>
      <w:r w:rsidR="00527AFB" w:rsidRPr="00662E51">
        <w:rPr>
          <w:szCs w:val="24"/>
        </w:rPr>
        <w:t xml:space="preserve">became more important in Haringey, with the council altering its institutional structures to include more minoritised ethnic representation. The politics of race and employment dominated the 1970s in Haringey, with the council attempting to manage demographic shifts that changed the employment opportunities and structures of the borough </w:t>
      </w:r>
      <w:r w:rsidR="00527AFB" w:rsidRPr="00662E51">
        <w:rPr>
          <w:szCs w:val="24"/>
        </w:rPr>
        <w:fldChar w:fldCharType="begin"/>
      </w:r>
      <w:r w:rsidR="00527AFB" w:rsidRPr="00662E51">
        <w:rPr>
          <w:szCs w:val="24"/>
        </w:rPr>
        <w:instrText xml:space="preserve"> ADDIN ZOTERO_ITEM CSL_CITATION {"citationID":"p9mlC72y","properties":{"formattedCitation":"(Dillon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00527AFB" w:rsidRPr="00662E51">
        <w:rPr>
          <w:szCs w:val="24"/>
        </w:rPr>
        <w:fldChar w:fldCharType="separate"/>
      </w:r>
      <w:r w:rsidR="00527AFB" w:rsidRPr="00662E51">
        <w:rPr>
          <w:szCs w:val="24"/>
        </w:rPr>
        <w:t>(Dillon and Fanning 2011)</w:t>
      </w:r>
      <w:r w:rsidR="00527AFB" w:rsidRPr="00662E51">
        <w:rPr>
          <w:szCs w:val="24"/>
        </w:rPr>
        <w:fldChar w:fldCharType="end"/>
      </w:r>
      <w:r w:rsidR="00527AFB" w:rsidRPr="00662E51">
        <w:rPr>
          <w:szCs w:val="24"/>
        </w:rPr>
        <w:t xml:space="preserve">. For instance, Haringey was one of the first local authorities to hire an Ethnic Minorities Officer and to establish an Ethnic Minorities Joint Consultative Committee, with the aim of helping these groups enter formal employment </w:t>
      </w:r>
      <w:r w:rsidR="00527AFB" w:rsidRPr="00662E51">
        <w:rPr>
          <w:szCs w:val="24"/>
        </w:rPr>
        <w:fldChar w:fldCharType="begin"/>
      </w:r>
      <w:r w:rsidR="00527AFB" w:rsidRPr="00662E51">
        <w:rPr>
          <w:szCs w:val="24"/>
        </w:rPr>
        <w:instrText xml:space="preserve"> ADDIN ZOTERO_ITEM CSL_CITATION {"citationID":"V2vhAv1A","properties":{"formattedCitation":"(O\\uc0\\u8217{}Sullivan 1991)","plainCitation":"(O’Sullivan 1991)","noteIndex":0},"citationItems":[{"id":6908,"uris":["http://zotero.org/users/8977980/items/EHGFG9Z3"],"itemData":{"id":6908,"type":"thesis","abstract":"This thesis is an exploration of the relationship between trade unionism and politics viewed primarily through events within the London Borough of Haringey. These events are examined through two case studies of local government union branches between 1965 and 1987. In these studies I use original research data with the aim of unifying what are usually deemed separate theoretical approaches, for example concern with either the labour process or with the bargaining relation. I show that by unifying these different strands of analysis a far greater depth of understanding is achieved.\nThe research also examines the development of Labour Party politics in the 1980s, and particularly the rise of 'radical municipalism' as a response to traditional labourism.\n\nFinally this critical appraisal is extended to provide a critique of dominant themes running through radical and Marxist literature concerned with labour movement politics and in particular the trade unions.","genre":"phd","language":"en","publisher":"University of Warwick","source":"wrap.warwick.ac.uk","title":"Trade unionism and politics in the London Borough of Haringey","URL":"http://webcat.warwick.ac.uk/record=b3228173~S15","author":[{"family":"O'Sullivan","given":"M. J. (Michael James)"}],"accessed":{"date-parts":[["2025",9,11]]},"issued":{"date-parts":[["1991",8]]}}}],"schema":"https://github.com/citation-style-language/schema/raw/master/csl-citation.json"} </w:instrText>
      </w:r>
      <w:r w:rsidR="00527AFB" w:rsidRPr="00662E51">
        <w:rPr>
          <w:szCs w:val="24"/>
        </w:rPr>
        <w:fldChar w:fldCharType="separate"/>
      </w:r>
      <w:r w:rsidR="00527AFB" w:rsidRPr="00662E51">
        <w:rPr>
          <w:rFonts w:cs="Times New Roman"/>
          <w:kern w:val="0"/>
          <w:szCs w:val="24"/>
        </w:rPr>
        <w:t>(O’Sullivan 1991)</w:t>
      </w:r>
      <w:r w:rsidR="00527AFB" w:rsidRPr="00662E51">
        <w:rPr>
          <w:szCs w:val="24"/>
        </w:rPr>
        <w:fldChar w:fldCharType="end"/>
      </w:r>
      <w:r w:rsidR="00527AFB" w:rsidRPr="00662E51">
        <w:rPr>
          <w:szCs w:val="24"/>
        </w:rPr>
        <w:t>. In council housing, ethnicity held similar importance—the council actively worked to increase access to housing and repair services to minoritised ethnic groups by decentralising provision to neighbourhoods and estates. In 1985, Bernie Grant became Leader of Haringey Council after internal divisions over the rate-capping rebellion.</w:t>
      </w:r>
      <w:r w:rsidR="00527AFB" w:rsidRPr="00BD17AF">
        <w:rPr>
          <w:rStyle w:val="FootnoteReference"/>
        </w:rPr>
        <w:footnoteReference w:id="12"/>
      </w:r>
      <w:r w:rsidR="00527AFB" w:rsidRPr="00662E51">
        <w:rPr>
          <w:szCs w:val="24"/>
        </w:rPr>
        <w:t xml:space="preserve"> While Grant’s political style was more radical than that of his predecessor, George Meehan </w:t>
      </w:r>
      <w:r w:rsidR="00527AFB" w:rsidRPr="00662E51">
        <w:rPr>
          <w:szCs w:val="24"/>
        </w:rPr>
        <w:fldChar w:fldCharType="begin"/>
      </w:r>
      <w:r w:rsidR="00527AFB" w:rsidRPr="00662E51">
        <w:rPr>
          <w:szCs w:val="24"/>
        </w:rPr>
        <w:instrText xml:space="preserve"> ADDIN ZOTERO_ITEM CSL_CITATION {"citationID":"KbVR73YM","properties":{"formattedCitation":"(Onapa 2021)","plainCitation":"(Onapa 2021)","noteIndex":0},"citationItems":[{"id":6912,"uris":["http://zotero.org/users/8977980/items/5Q27FSLZ"],"itemData":{"id":6912,"type":"article-magazine","abstract":"On this day in 1987, Bernie Grant was elected as one of Britain's first black MPs. He spent his career dedicated to the trade unionism and racial justice – and changed the political landscape of the country for good.","container-title":"Tribune","language":"en-GB","title":"The Radical Legacy of Bernie Grant","URL":"https://tribunemag.co.uk/2021/06/the-radical-legacy-of-bernie-grant","author":[{"family":"Onapa","given":"Emmanuel"}],"accessed":{"date-parts":[["2025",9,11]]},"issued":{"date-parts":[["2021",6,11]]}}}],"schema":"https://github.com/citation-style-language/schema/raw/master/csl-citation.json"} </w:instrText>
      </w:r>
      <w:r w:rsidR="00527AFB" w:rsidRPr="00662E51">
        <w:rPr>
          <w:szCs w:val="24"/>
        </w:rPr>
        <w:fldChar w:fldCharType="separate"/>
      </w:r>
      <w:r w:rsidR="00527AFB" w:rsidRPr="00662E51">
        <w:rPr>
          <w:szCs w:val="24"/>
        </w:rPr>
        <w:t>(Onapa 2021)</w:t>
      </w:r>
      <w:r w:rsidR="00527AFB" w:rsidRPr="00662E51">
        <w:rPr>
          <w:szCs w:val="24"/>
        </w:rPr>
        <w:fldChar w:fldCharType="end"/>
      </w:r>
      <w:r w:rsidR="00527AFB" w:rsidRPr="00662E51">
        <w:rPr>
          <w:szCs w:val="24"/>
        </w:rPr>
        <w:t xml:space="preserve">, Grant’s leadership was one of continuity. He ensured many of the beneficial policies towards racialised minorities continued with council decentralisation a priority </w:t>
      </w:r>
      <w:r w:rsidR="00527AFB" w:rsidRPr="00662E51">
        <w:rPr>
          <w:szCs w:val="24"/>
        </w:rPr>
        <w:fldChar w:fldCharType="begin"/>
      </w:r>
      <w:r w:rsidR="00527AFB" w:rsidRPr="00662E51">
        <w:rPr>
          <w:szCs w:val="24"/>
        </w:rPr>
        <w:instrText xml:space="preserve"> ADDIN ZOTERO_ITEM CSL_CITATION {"citationID":"AarHwnAZ","properties":{"formattedCitation":"(Dillon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00527AFB" w:rsidRPr="00662E51">
        <w:rPr>
          <w:szCs w:val="24"/>
        </w:rPr>
        <w:fldChar w:fldCharType="separate"/>
      </w:r>
      <w:r w:rsidR="00527AFB" w:rsidRPr="00662E51">
        <w:rPr>
          <w:szCs w:val="24"/>
        </w:rPr>
        <w:t>(Dillon and Fanning 2011)</w:t>
      </w:r>
      <w:r w:rsidR="00527AFB" w:rsidRPr="00662E51">
        <w:rPr>
          <w:szCs w:val="24"/>
        </w:rPr>
        <w:fldChar w:fldCharType="end"/>
      </w:r>
      <w:r w:rsidR="00527AFB" w:rsidRPr="00662E51">
        <w:rPr>
          <w:szCs w:val="24"/>
        </w:rPr>
        <w:t xml:space="preserve">. </w:t>
      </w:r>
    </w:p>
    <w:p w14:paraId="56DCB277" w14:textId="0EA4CB8A" w:rsidR="00527AFB" w:rsidRPr="00662E51" w:rsidRDefault="00527AFB" w:rsidP="00527AFB">
      <w:pPr>
        <w:spacing w:line="360" w:lineRule="auto"/>
        <w:ind w:left="0"/>
        <w:rPr>
          <w:szCs w:val="24"/>
        </w:rPr>
      </w:pPr>
      <w:r w:rsidRPr="00662E51">
        <w:rPr>
          <w:szCs w:val="24"/>
        </w:rPr>
        <w:tab/>
        <w:t>The Broadwater Farm (BF) uprising of 1985 (Chapter 5) upended a façade of measured progress. Racial unrest had long been a factor of life in Haringey though this had mostly escaped the council’s attention. I develop this thread in detail below (Section 1.</w:t>
      </w:r>
      <w:r w:rsidR="00DF3021">
        <w:rPr>
          <w:szCs w:val="24"/>
        </w:rPr>
        <w:t>4</w:t>
      </w:r>
      <w:r w:rsidRPr="00662E51">
        <w:rPr>
          <w:szCs w:val="24"/>
        </w:rPr>
        <w:t xml:space="preserve">.1), but it is important to acknowledge that the fascist National Front had built a strong presence in Haringey in the few preceding years. </w:t>
      </w:r>
      <w:r w:rsidRPr="00662E51">
        <w:rPr>
          <w:szCs w:val="24"/>
        </w:rPr>
        <w:lastRenderedPageBreak/>
        <w:t xml:space="preserve">Not only did National Front members stand for council elections in 1978, but the party also attempted a large march through Haringey. Although this march was subsequently stopped by an ideologically wide coalition of residents and politicians, it revealed an underlying morass of racialised and far-right politics in the borough </w:t>
      </w:r>
      <w:r w:rsidRPr="00662E51">
        <w:rPr>
          <w:szCs w:val="24"/>
        </w:rPr>
        <w:fldChar w:fldCharType="begin"/>
      </w:r>
      <w:r w:rsidRPr="00662E51">
        <w:rPr>
          <w:szCs w:val="24"/>
        </w:rPr>
        <w:instrText xml:space="preserve"> ADDIN ZOTERO_ITEM CSL_CITATION {"citationID":"kLtW4kce","properties":{"formattedCitation":"(Savage 2022)","plainCitation":"(Savage 2022)","noteIndex":0},"citationItems":[{"id":6915,"uris":["http://zotero.org/users/8977980/items/LUJ5AUJU"],"itemData":{"id":6915,"type":"article-magazine","abstract":"On this day 45 years ago, anti-fascists in the diverse north London neighbourhood of Haringey beat back the National Front – and helped to stem a rising tide of far-right politics across Britain.","container-title":"Tribune","language":"en-GB","title":"Remembering the Battle of Wood Green","URL":"https://tribunemag.co.uk/2022/04/remembering-the-battle-of-wood-green","author":[{"family":"Savage","given":"Luke"}],"accessed":{"date-parts":[["2025",9,11]]},"issued":{"date-parts":[["2022",4,23]]}}}],"schema":"https://github.com/citation-style-language/schema/raw/master/csl-citation.json"} </w:instrText>
      </w:r>
      <w:r w:rsidRPr="00662E51">
        <w:rPr>
          <w:szCs w:val="24"/>
        </w:rPr>
        <w:fldChar w:fldCharType="separate"/>
      </w:r>
      <w:r w:rsidRPr="00662E51">
        <w:rPr>
          <w:szCs w:val="24"/>
        </w:rPr>
        <w:t>(Savage 2022)</w:t>
      </w:r>
      <w:r w:rsidRPr="00662E51">
        <w:rPr>
          <w:szCs w:val="24"/>
        </w:rPr>
        <w:fldChar w:fldCharType="end"/>
      </w:r>
      <w:r w:rsidRPr="00662E51">
        <w:rPr>
          <w:szCs w:val="24"/>
        </w:rPr>
        <w:t xml:space="preserve">. The Broadwater Farm uprising was one of many in 1980s, with this decade an inflection point in race relations in the United Kingdom </w:t>
      </w:r>
      <w:r w:rsidRPr="00662E51">
        <w:rPr>
          <w:szCs w:val="24"/>
        </w:rPr>
        <w:fldChar w:fldCharType="begin"/>
      </w:r>
      <w:r w:rsidRPr="00662E51">
        <w:rPr>
          <w:szCs w:val="24"/>
        </w:rPr>
        <w:instrText xml:space="preserve"> ADDIN ZOTERO_ITEM CSL_CITATION {"citationID":"xMAQrJgA","properties":{"formattedCitation":"(Elliott-Cooper 2021; Wetherell 2025)","plainCitation":"(Elliott-Cooper 2021; Wetherell 2025)","noteIndex":0},"citationItems":[{"id":5679,"uris":["http://zotero.org/users/8977980/items/VM8DZIZ5"],"itemData":{"id":5679,"type":"book","DOI":"10.7765/9781526143945","ISBN":"978-1-5261-4394-5","publisher":"Manchester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id":6494,"uris":["http://zotero.org/users/8977980/items/JDTFD4IU"],"itemData":{"id":6494,"type":"book","abstract":"The city is equally notorious for its poverty, its ethnic and racial divides and, above all, its decline. For Liverpool was once a major port, growing rich on slavery, on trade with the Americas and the British Empire's outposts in Africa and Asia. In the 1980s, it was described as 'obsolete'. Yet the city fights on. This is the epic history of Liverpool since the Second World War. It is a story of vast docklands shrinking and eventually vanishing when corporations discovered they could shift goods in containers and dispense with human workers, of industries like car manufacturing mushrooming and disappearing, of huge new suburbs being built and neglected. It is a moving and horrifying narrative of casual racism - Chinese sailors deported en masse in the aftermath of the war, systematic discrimination against the city's Black population - and of resistance, culminating in the Toxteth riots in 1981. It is the story of a city fighting against a descent into obsolescence. Liverpool also becomes a prism through which recent British history is brought into a new focus. It is the fascinating history of a single, iconic city. But it is also a warning of what the future may hold for many more communities","ISBN":"978-1-80110-888-1","language":"eng","number-of-pages":"438","publisher":"Apollo","publisher-place":"London","source":"K10plus ISBN","title":"Liverpool and the Unmaking of Britain","title-short":"Liverpool","author":[{"family":"Wetherell","given":"Sam"}],"issued":{"date-parts":[["2025"]]}}}],"schema":"https://github.com/citation-style-language/schema/raw/master/csl-citation.json"} </w:instrText>
      </w:r>
      <w:r w:rsidRPr="00662E51">
        <w:rPr>
          <w:szCs w:val="24"/>
        </w:rPr>
        <w:fldChar w:fldCharType="separate"/>
      </w:r>
      <w:r w:rsidRPr="00662E51">
        <w:t>(Elliott-Cooper 2021; Wetherell 2025)</w:t>
      </w:r>
      <w:r w:rsidRPr="00662E51">
        <w:rPr>
          <w:szCs w:val="24"/>
        </w:rPr>
        <w:fldChar w:fldCharType="end"/>
      </w:r>
      <w:r w:rsidRPr="00662E51">
        <w:rPr>
          <w:szCs w:val="24"/>
        </w:rPr>
        <w:t>. The story of the BF uprising is told in more detail in Section 1.3.1 below and Chapter 5.</w:t>
      </w:r>
    </w:p>
    <w:p w14:paraId="6BB75EB0" w14:textId="6DCBBFF3" w:rsidR="00527AFB" w:rsidRPr="00662E51" w:rsidRDefault="00527AFB" w:rsidP="00527AFB">
      <w:pPr>
        <w:spacing w:line="360" w:lineRule="auto"/>
        <w:ind w:left="0"/>
        <w:rPr>
          <w:szCs w:val="24"/>
        </w:rPr>
      </w:pPr>
      <w:r w:rsidRPr="00662E51">
        <w:rPr>
          <w:szCs w:val="24"/>
        </w:rPr>
        <w:tab/>
        <w:t>The Grant-led council responded to the BF uprising by funnelling more resources to council estates. However, Grant became MP for Tottenham in 1987, with Toby Harris</w:t>
      </w:r>
      <w:r w:rsidRPr="00BD17AF">
        <w:rPr>
          <w:rStyle w:val="FootnoteReference"/>
        </w:rPr>
        <w:footnoteReference w:id="13"/>
      </w:r>
      <w:r w:rsidRPr="00662E51">
        <w:rPr>
          <w:szCs w:val="24"/>
        </w:rPr>
        <w:t xml:space="preserve"> becoming Leader until 1999. Important questions during Harris’s leadership included dealing with overspending by the Grant-led council and the finances associated with taking back Alexandra Palace</w:t>
      </w:r>
      <w:r w:rsidRPr="00BD17AF">
        <w:rPr>
          <w:rStyle w:val="FootnoteReference"/>
        </w:rPr>
        <w:footnoteReference w:id="14"/>
      </w:r>
      <w:r w:rsidRPr="00662E51">
        <w:rPr>
          <w:szCs w:val="24"/>
        </w:rPr>
        <w:t xml:space="preserve"> from the Greater London Council</w:t>
      </w:r>
      <w:r w:rsidRPr="00BD17AF">
        <w:rPr>
          <w:rStyle w:val="FootnoteReference"/>
        </w:rPr>
        <w:footnoteReference w:id="15"/>
      </w:r>
      <w:r w:rsidRPr="00662E51">
        <w:rPr>
          <w:szCs w:val="24"/>
        </w:rPr>
        <w:t xml:space="preserve"> in the 1980s </w:t>
      </w:r>
      <w:r w:rsidRPr="00662E51">
        <w:rPr>
          <w:szCs w:val="24"/>
        </w:rPr>
        <w:fldChar w:fldCharType="begin"/>
      </w:r>
      <w:r w:rsidRPr="00662E51">
        <w:rPr>
          <w:szCs w:val="24"/>
        </w:rPr>
        <w:instrText xml:space="preserve"> ADDIN ZOTERO_ITEM CSL_CITATION {"citationID":"cKoYdObV","properties":{"formattedCitation":"(Dillon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Pr="00662E51">
        <w:rPr>
          <w:szCs w:val="24"/>
        </w:rPr>
        <w:t>(Dillon and Fanning 2011)</w:t>
      </w:r>
      <w:r w:rsidRPr="00662E51">
        <w:rPr>
          <w:szCs w:val="24"/>
        </w:rPr>
        <w:fldChar w:fldCharType="end"/>
      </w:r>
      <w:r w:rsidRPr="00662E51">
        <w:rPr>
          <w:szCs w:val="24"/>
        </w:rPr>
        <w:t>. Harris stepped down in 2000, with George Meehan returning to leadership. In addition to, and partially because of, national changes in the Labour Pary, Haringey’s orientation towards housing and development simultaneously shifted. As Labour tracked to the right during New Labour,</w:t>
      </w:r>
      <w:r w:rsidRPr="00BD17AF">
        <w:rPr>
          <w:rStyle w:val="FootnoteReference"/>
        </w:rPr>
        <w:footnoteReference w:id="16"/>
      </w:r>
      <w:r w:rsidRPr="00662E51">
        <w:rPr>
          <w:szCs w:val="24"/>
        </w:rPr>
        <w:t xml:space="preserve"> the council (and the party) became more interested in neoliberal approaches to governance. Urban regeneration using private capital became a priority for the council from the mid-1990s onwards, as a response to deprivation throughout the borough’s eastern wards, such as Tottenham and Wood Green </w:t>
      </w:r>
      <w:r w:rsidRPr="00662E51">
        <w:rPr>
          <w:szCs w:val="24"/>
        </w:rPr>
        <w:fldChar w:fldCharType="begin"/>
      </w:r>
      <w:r w:rsidRPr="00662E51">
        <w:rPr>
          <w:szCs w:val="24"/>
        </w:rPr>
        <w:instrText xml:space="preserve"> ADDIN ZOTERO_ITEM CSL_CITATION {"citationID":"hBO7vgS1","properties":{"formattedCitation":"(Dillon and Fanning 2013)","plainCitation":"(Dillon and Fanning 2013)","noteIndex":0},"citationItems":[{"id":3124,"uris":["http://zotero.org/users/8977980/items/R7TSFJH9"],"itemData":{"id":3124,"type":"article-journal","container-title":"Community Development Journal","DOI":"10.1093/cdj/bss056","ISSN":"0010-3802, 1468-2656","issue":"4","journalAbbreviation":"Community Development Journal","language":"en","page":"571-586","source":"DOI.org (Crossref)","title":"The Tottenham riots: the Big Society and the recurring neglect of community participation","title-short":"The Tottenham riots","volume":"48","author":[{"family":"Dillon","given":"Denis"},{"family":"Fanning","given":"Bryan"}],"issued":{"date-parts":[["2013",10,1]]}}}],"schema":"https://github.com/citation-style-language/schema/raw/master/csl-citation.json"} </w:instrText>
      </w:r>
      <w:r w:rsidRPr="00662E51">
        <w:rPr>
          <w:szCs w:val="24"/>
        </w:rPr>
        <w:fldChar w:fldCharType="separate"/>
      </w:r>
      <w:r w:rsidRPr="00662E51">
        <w:rPr>
          <w:szCs w:val="24"/>
        </w:rPr>
        <w:t>(Dillon and Fanning 2013)</w:t>
      </w:r>
      <w:r w:rsidRPr="00662E51">
        <w:rPr>
          <w:szCs w:val="24"/>
        </w:rPr>
        <w:fldChar w:fldCharType="end"/>
      </w:r>
      <w:r w:rsidRPr="00662E51">
        <w:rPr>
          <w:szCs w:val="24"/>
        </w:rPr>
        <w:t xml:space="preserve">. As local authority budgets shrank throughout the early 2000s, Haringey Council then experienced two moments of political crises with the murders of Peter Connelly (also known as Baby P) and Victoria Climbié, two children who had repeated contact with the council’s social services. The services failed to intervene in cases of extreme child abuse that led to the deaths of both </w:t>
      </w:r>
      <w:r w:rsidRPr="00662E51">
        <w:rPr>
          <w:szCs w:val="24"/>
        </w:rPr>
        <w:fldChar w:fldCharType="begin"/>
      </w:r>
      <w:r w:rsidRPr="00662E51">
        <w:rPr>
          <w:szCs w:val="24"/>
        </w:rPr>
        <w:instrText xml:space="preserve"> ADDIN ZOTERO_ITEM CSL_CITATION {"citationID":"Ntqys5jJ","properties":{"formattedCitation":"({\\i{}BBC News} 2013)","plainCitation":"(BBC News 2013)","noteIndex":0},"citationItems":[{"id":6917,"uris":["http://zotero.org/users/8977980/items/L8AVICXS"],"itemData":{"id":6917,"type":"article-newspaper","abstract":"The council criticised for its role in the Baby Peter and Victoria Climbie cases has failed another child, a review finds.","container-title":"BBC News","language":"en-GB","section":"London","source":"www.bbc.co.uk","title":"Haringey Council failed to prevent another child being abused","URL":"https://www.bbc.com/news/uk-england-london-24484148","accessed":{"date-parts":[["2025",9,11]]},"issued":{"date-parts":[["2013",10,11]]}}}],"schema":"https://github.com/citation-style-language/schema/raw/master/csl-citation.json"} </w:instrText>
      </w:r>
      <w:r w:rsidRPr="00662E51">
        <w:rPr>
          <w:szCs w:val="24"/>
        </w:rPr>
        <w:fldChar w:fldCharType="separate"/>
      </w:r>
      <w:r w:rsidRPr="00662E51">
        <w:rPr>
          <w:rFonts w:cs="Times New Roman"/>
          <w:kern w:val="0"/>
          <w:szCs w:val="24"/>
        </w:rPr>
        <w:t>(</w:t>
      </w:r>
      <w:r w:rsidRPr="00662E51">
        <w:rPr>
          <w:rFonts w:cs="Times New Roman"/>
          <w:i/>
          <w:iCs/>
          <w:kern w:val="0"/>
          <w:szCs w:val="24"/>
        </w:rPr>
        <w:t>BBC News</w:t>
      </w:r>
      <w:r w:rsidRPr="00662E51">
        <w:rPr>
          <w:rFonts w:cs="Times New Roman"/>
          <w:kern w:val="0"/>
          <w:szCs w:val="24"/>
        </w:rPr>
        <w:t xml:space="preserve"> 2013)</w:t>
      </w:r>
      <w:r w:rsidRPr="00662E51">
        <w:rPr>
          <w:szCs w:val="24"/>
        </w:rPr>
        <w:fldChar w:fldCharType="end"/>
      </w:r>
      <w:r w:rsidRPr="00662E51">
        <w:rPr>
          <w:szCs w:val="24"/>
        </w:rPr>
        <w:t>. These scandals forced Meehan to permanently resign in 2008. Claire Kober, who was the Labour Group’s</w:t>
      </w:r>
      <w:r w:rsidRPr="00BD17AF">
        <w:rPr>
          <w:rStyle w:val="FootnoteReference"/>
        </w:rPr>
        <w:footnoteReference w:id="17"/>
      </w:r>
      <w:r w:rsidRPr="00662E51">
        <w:rPr>
          <w:szCs w:val="24"/>
        </w:rPr>
        <w:t xml:space="preserve"> whip, </w:t>
      </w:r>
      <w:r w:rsidRPr="00662E51">
        <w:rPr>
          <w:szCs w:val="24"/>
        </w:rPr>
        <w:lastRenderedPageBreak/>
        <w:t xml:space="preserve">was subsequently elected leader. She firmly represented the Blairite, neoliberal wing of the party, leading the council until 2018 </w:t>
      </w:r>
      <w:r w:rsidRPr="00662E51">
        <w:rPr>
          <w:szCs w:val="24"/>
        </w:rPr>
        <w:fldChar w:fldCharType="begin"/>
      </w:r>
      <w:r w:rsidR="00213B80">
        <w:rPr>
          <w:szCs w:val="24"/>
        </w:rPr>
        <w:instrText xml:space="preserve"> ADDIN ZOTERO_ITEM CSL_CITATION {"citationID":"qAYdd5QC","properties":{"formattedCitation":"(D. Byrne 2018)","plainCitation":"(D. Byrne 2018)","noteIndex":0},"citationItems":[{"id":6919,"uris":["http://zotero.org/users/8977980/items/TS99YWM8"],"itemData":{"id":6919,"type":"article-journal","abstract":"&lt;em&gt;Gale&lt;/em&gt; Literature Resource Center includes The problem that is Labour local government: It is time by David Byrne. Click to explore.","container-title":"Soundings","DOI":"10.3898/SOUN:69.03.2018","ISSN":"13626620","issue":"69","language":"English","page":"50-64","publisher":"Lawrence &amp;amp; Wishart Ltd.","source":"go-gale-com.ezphost.dur.ac.uk","title":"The problem that is Labour local government: It is time to move away from Labour pragmatism in local government","title-short":"The problem that is Labour local government","author":[{"family":"Byrne","given":"David"}],"issued":{"date-parts":[["2018",6,22]]}}}],"schema":"https://github.com/citation-style-language/schema/raw/master/csl-citation.json"} </w:instrText>
      </w:r>
      <w:r w:rsidRPr="00662E51">
        <w:rPr>
          <w:szCs w:val="24"/>
        </w:rPr>
        <w:fldChar w:fldCharType="separate"/>
      </w:r>
      <w:r w:rsidR="00213B80" w:rsidRPr="00213B80">
        <w:t>(D. Byrne 2018)</w:t>
      </w:r>
      <w:r w:rsidRPr="00662E51">
        <w:rPr>
          <w:szCs w:val="24"/>
        </w:rPr>
        <w:fldChar w:fldCharType="end"/>
      </w:r>
      <w:r w:rsidRPr="00662E51">
        <w:rPr>
          <w:szCs w:val="24"/>
        </w:rPr>
        <w:t>. Chapters 6 and 7 begin at the tail end of Kober’s leadership, focusing on shifts within the party from 2015 to 2023, when this research began.</w:t>
      </w:r>
    </w:p>
    <w:p w14:paraId="74B86F82" w14:textId="7BD74468" w:rsidR="00527AFB" w:rsidRPr="00662E51" w:rsidRDefault="00527AFB" w:rsidP="00527AFB">
      <w:pPr>
        <w:spacing w:line="360" w:lineRule="auto"/>
        <w:ind w:left="0"/>
        <w:rPr>
          <w:szCs w:val="24"/>
        </w:rPr>
      </w:pPr>
      <w:r w:rsidRPr="00662E51">
        <w:rPr>
          <w:szCs w:val="24"/>
        </w:rPr>
        <w:tab/>
        <w:t xml:space="preserve">Between 2018 to 2021, Haringey’s council was dominated by an avowedly leftist group, who sought to implement a radical agenda in line with then-Leader of the Labour Party Jeremy Corbyn’s anti-austerity message. Detractors and supporters alike called this council the country’s first “Corbyn Council” </w:t>
      </w:r>
      <w:r w:rsidRPr="00662E51">
        <w:rPr>
          <w:szCs w:val="24"/>
        </w:rPr>
        <w:fldChar w:fldCharType="begin"/>
      </w:r>
      <w:r w:rsidRPr="00662E51">
        <w:rPr>
          <w:szCs w:val="24"/>
        </w:rPr>
        <w:instrText xml:space="preserve"> ADDIN ZOTERO_ITEM CSL_CITATION {"citationID":"bNViLZxu","properties":{"formattedCitation":"(Chakelian 2019)","plainCitation":"(Chakelian 2019)","noteIndex":0},"citationItems":[{"id":5848,"uris":["http://zotero.org/users/8977980/items/F4R4LYEL"],"itemData":{"id":5848,"type":"post-weblog","abstract":"A document leaked to the New Statesman suggests Momentum-led Haringey Council’s hands may not be tied by its predecessor’s gentrification plan.","container-title":"New Statesman","language":"en-US","title":"Why is the first Corbyn council siding with developers against local market traders?","URL":"https://www.newstatesman.com/politics/business-and-finance/2019/10/why-corbyn-council-haringey-seven-sisters-latin-village-property-developers-local-market-traders","author":[{"family":"Chakelian","given":"Anoosh"}],"accessed":{"date-parts":[["2024",9,19]]},"issued":{"date-parts":[["2019",10,11]]}}}],"schema":"https://github.com/citation-style-language/schema/raw/master/csl-citation.json"} </w:instrText>
      </w:r>
      <w:r w:rsidRPr="00662E51">
        <w:rPr>
          <w:szCs w:val="24"/>
        </w:rPr>
        <w:fldChar w:fldCharType="separate"/>
      </w:r>
      <w:r w:rsidRPr="00662E51">
        <w:rPr>
          <w:szCs w:val="24"/>
        </w:rPr>
        <w:t>(Chakelian 2019)</w:t>
      </w:r>
      <w:r w:rsidRPr="00662E51">
        <w:rPr>
          <w:szCs w:val="24"/>
        </w:rPr>
        <w:fldChar w:fldCharType="end"/>
      </w:r>
      <w:r w:rsidRPr="00662E51">
        <w:rPr>
          <w:szCs w:val="24"/>
        </w:rPr>
        <w:t xml:space="preserve">. I expand on this period in Chapter 6. The balance of the council again shifted in 2021, with Peray Ahmet becoming Haringey Council’s leader after several councillors were blocked from standing </w:t>
      </w:r>
      <w:r w:rsidRPr="00662E51">
        <w:rPr>
          <w:szCs w:val="24"/>
        </w:rPr>
        <w:fldChar w:fldCharType="begin"/>
      </w:r>
      <w:r w:rsidRPr="00662E51">
        <w:rPr>
          <w:szCs w:val="24"/>
        </w:rPr>
        <w:instrText xml:space="preserve"> ADDIN ZOTERO_ITEM CSL_CITATION {"citationID":"YX0o53tj","properties":{"formattedCitation":"(Weir 2023)","plainCitation":"(Weir 2023)","noteIndex":0},"citationItems":[{"id":4558,"uris":["http://zotero.org/users/8977980/items/MRSL45ET"],"itemData":{"id":4558,"type":"article-magazine","abstract":"Labour suspended its own rules to bar popular socialist candidates from standing in yesterday's election in Haringey. Members of its Local Campaign Forum explain why they have resigned following this latest attack on democracy.","container-title":"Tribune","language":"en-GB","title":"Labour’s Haringey Stitch-Up","URL":"https://tribunemag.co.uk/2023/06/labours-haringey-stich-up","author":[{"family":"Weir","given":"Adrian"}],"accessed":{"date-parts":[["2023",7,4]]},"issued":{"date-parts":[["2023",6]]}}}],"schema":"https://github.com/citation-style-language/schema/raw/master/csl-citation.json"} </w:instrText>
      </w:r>
      <w:r w:rsidRPr="00662E51">
        <w:rPr>
          <w:szCs w:val="24"/>
        </w:rPr>
        <w:fldChar w:fldCharType="separate"/>
      </w:r>
      <w:r w:rsidRPr="00662E51">
        <w:rPr>
          <w:szCs w:val="24"/>
        </w:rPr>
        <w:t>(Weir 2023)</w:t>
      </w:r>
      <w:r w:rsidRPr="00662E51">
        <w:rPr>
          <w:szCs w:val="24"/>
        </w:rPr>
        <w:fldChar w:fldCharType="end"/>
      </w:r>
      <w:r w:rsidRPr="00662E51">
        <w:rPr>
          <w:szCs w:val="24"/>
        </w:rPr>
        <w:t xml:space="preserve">. Activists I spoke to labelled Ahmet’s leadership as a return to the New Labour legacy of the early 2000s. Indeed, this period has seen continued use of financialised regeneration to achieve council housing construction targets </w:t>
      </w:r>
      <w:r w:rsidRPr="00662E51">
        <w:rPr>
          <w:szCs w:val="24"/>
        </w:rPr>
        <w:fldChar w:fldCharType="begin"/>
      </w:r>
      <w:r w:rsidRPr="00662E51">
        <w:rPr>
          <w:szCs w:val="24"/>
        </w:rPr>
        <w:instrText xml:space="preserve"> ADDIN ZOTERO_ITEM CSL_CITATION {"citationID":"uBnyFptJ","properties":{"formattedCitation":"({\\i{}Tottenham and Wood Green Independent} 2021)","plainCitation":"(Tottenham and Wood Green Independent 2021)","noteIndex":0},"citationItems":[{"id":5032,"uris":["http://zotero.org/users/8977980/items/HRBPELBD"],"itemData":{"id":5032,"type":"article-newspaper","abstract":"A major regeneration scheme looks set to go ahead despite a change in Haringey Council’s leadership after a cabinet member admitted to being…","container-title":"Tottenham and Wood Green Independent","language":"en","title":"'We are stuck with it' - High Road West redevelopment to go ahead","URL":"https://www.thetottenhamindependent.co.uk/news/19438438.haringey-council-stuck-with-high-road-west-redevelopment/","accessed":{"date-parts":[["2023",9,11]]},"issued":{"date-parts":[["2021",7,13]]}}}],"schema":"https://github.com/citation-style-language/schema/raw/master/csl-citation.json"} </w:instrText>
      </w:r>
      <w:r w:rsidRPr="00662E51">
        <w:rPr>
          <w:szCs w:val="24"/>
        </w:rPr>
        <w:fldChar w:fldCharType="separate"/>
      </w:r>
      <w:r w:rsidRPr="00662E51">
        <w:rPr>
          <w:rFonts w:cs="Times New Roman"/>
          <w:kern w:val="0"/>
          <w:szCs w:val="24"/>
        </w:rPr>
        <w:t>(</w:t>
      </w:r>
      <w:r w:rsidRPr="00662E51">
        <w:rPr>
          <w:rFonts w:cs="Times New Roman"/>
          <w:i/>
          <w:iCs/>
          <w:kern w:val="0"/>
          <w:szCs w:val="24"/>
        </w:rPr>
        <w:t>Tottenham and Wood Green Independent</w:t>
      </w:r>
      <w:r w:rsidRPr="00662E51">
        <w:rPr>
          <w:rFonts w:cs="Times New Roman"/>
          <w:kern w:val="0"/>
          <w:szCs w:val="24"/>
        </w:rPr>
        <w:t xml:space="preserve"> 2021)</w:t>
      </w:r>
      <w:r w:rsidRPr="00662E51">
        <w:rPr>
          <w:szCs w:val="24"/>
        </w:rPr>
        <w:fldChar w:fldCharType="end"/>
      </w:r>
      <w:r w:rsidRPr="00662E51">
        <w:rPr>
          <w:szCs w:val="24"/>
        </w:rPr>
        <w:t>. This is expanded on in Chapter 7. The rise of Prime Minister and Leader of the Labour Party, Keir Starmer</w:t>
      </w:r>
      <w:r w:rsidRPr="00BD17AF">
        <w:rPr>
          <w:rStyle w:val="FootnoteReference"/>
        </w:rPr>
        <w:footnoteReference w:id="18"/>
      </w:r>
      <w:r w:rsidRPr="00662E51">
        <w:rPr>
          <w:szCs w:val="24"/>
        </w:rPr>
        <w:t xml:space="preserve"> has strengthened this rightward shift. </w:t>
      </w:r>
      <w:r w:rsidR="00C730BC">
        <w:rPr>
          <w:szCs w:val="24"/>
        </w:rPr>
        <w:t>Critics</w:t>
      </w:r>
      <w:r w:rsidRPr="00662E51">
        <w:rPr>
          <w:szCs w:val="24"/>
        </w:rPr>
        <w:t xml:space="preserve"> accuses his supporters of expelling disloyal members from the party, with the goal of creating a compliant membership</w:t>
      </w:r>
      <w:r w:rsidR="000E5652">
        <w:rPr>
          <w:szCs w:val="24"/>
        </w:rPr>
        <w:t xml:space="preserve"> </w:t>
      </w:r>
      <w:r w:rsidR="000E5652" w:rsidRPr="00662E51">
        <w:rPr>
          <w:szCs w:val="24"/>
        </w:rPr>
        <w:fldChar w:fldCharType="begin"/>
      </w:r>
      <w:r w:rsidR="000E5652">
        <w:rPr>
          <w:szCs w:val="24"/>
        </w:rPr>
        <w:instrText xml:space="preserve"> ADDIN ZOTERO_ITEM CSL_CITATION {"citationID":"EKdbvnn6","properties":{"formattedCitation":"(Gilbert 2023; Holden 2025; Weir 2023)","plainCitation":"(Gilbert 2023; Holden 2025; Weir 2023)","noteIndex":0},"citationItems":[{"id":5842,"uris":["http://zotero.org/users/8977980/items/QZRKMUSZ"],"itemData":{"id":5842,"type":"article-newspaper","abstract":"In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7179,"uris":["http://zotero.org/users/8977980/items/KXFN8SZS"],"itemData":{"id":7179,"type":"book","abstract":"Based on Labour Party files, including some never before publicly seen, this explosive investigation lays bare the intrigues, stratagems and deceits that helped deliver Sir Keir Starmer to Downing Street. Paul Holden shows how Starmer has been the frontman for a ruthless, right-wing political project headed by Morgan McSweeney, now chief of staff in Number 10 and arguably the most powerful man in Britain. Having conquered the party on false pretences, McSweeney and his allies set about purging opponents, marginalising the membership and dragging party policy to the right. These machinations were made possible by financial donations that McSweeney did not disclose - a violation of the law that arguably subverted Britain's democratic system","ISBN":"978-1-68219-598-7","language":"eng","note":"OCLC: 1547942173","publisher":"OR Books","publisher-place":"New York","source":"Open WorldCat","title":"The Fraud: Keir Starmer, Morgan McSweeney, and the crisis of British democracy","title-short":"The fraud","author":[{"family":"Holden","given":"Paul"}],"issued":{"date-parts":[["2025"]]}}},{"id":4558,"uris":["http://zotero.org/users/8977980/items/MRSL45ET"],"itemData":{"id":4558,"type":"article-magazine","abstract":"Labour suspended its own rules to bar popular socialist candidates from standing in yesterday's election in Haringey. Members of its Local Campaign Forum explain why they have resigned following this latest attack on democracy.","container-title":"Tribune","language":"en-GB","title":"Labour’s Haringey Stitch-Up","URL":"https://tribunemag.co.uk/2023/06/labours-haringey-stich-up","author":[{"family":"Weir","given":"Adrian"}],"accessed":{"date-parts":[["2023",7,4]]},"issued":{"date-parts":[["2023",6]]}}}],"schema":"https://github.com/citation-style-language/schema/raw/master/csl-citation.json"} </w:instrText>
      </w:r>
      <w:r w:rsidR="000E5652" w:rsidRPr="00662E51">
        <w:rPr>
          <w:szCs w:val="24"/>
        </w:rPr>
        <w:fldChar w:fldCharType="separate"/>
      </w:r>
      <w:r w:rsidR="000E5652" w:rsidRPr="000E5652">
        <w:t>(Gilbert 2023; Holden 2025; Weir 2023)</w:t>
      </w:r>
      <w:r w:rsidR="000E5652" w:rsidRPr="00662E51">
        <w:rPr>
          <w:szCs w:val="24"/>
        </w:rPr>
        <w:fldChar w:fldCharType="end"/>
      </w:r>
      <w:r w:rsidRPr="00662E51">
        <w:rPr>
          <w:szCs w:val="24"/>
        </w:rPr>
        <w:t xml:space="preserve">. Starmer’s ongoing support for the genocide in Gaza led three councillors to leave the party and form an Independent Socialist Alliance. One councillor similarly resigned </w:t>
      </w:r>
      <w:r w:rsidRPr="00662E51">
        <w:rPr>
          <w:szCs w:val="24"/>
        </w:rPr>
        <w:fldChar w:fldCharType="begin"/>
      </w:r>
      <w:r w:rsidRPr="00662E51">
        <w:rPr>
          <w:szCs w:val="24"/>
        </w:rPr>
        <w:instrText xml:space="preserve"> ADDIN ZOTERO_ITEM CSL_CITATION {"citationID":"48zWnZoE","properties":{"formattedCitation":"(Cracknell 2025)","plainCitation":"(Cracknell 2025)","noteIndex":0},"citationItems":[{"id":6927,"uris":["http://zotero.org/users/8977980/items/HSNSYH4M"],"itemData":{"id":6927,"type":"post-weblog","abstract":"St Ann's councillor Tammy Hymas slammed the new Labour government as well as the Labour administration in Haringey as she quit the civic centre","container-title":"Haringey Community Press","language":"en-GB","note":"section: News","title":"Tottenham councillor quits amid broadside at Labour-run government and council","URL":"https://haringeycommunitypress.co.uk/2025/03/04/tottenham-councillor-quits-amid-broadside-at-labour-run-government-and-council/","author":[{"family":"Cracknell","given":"James"}],"accessed":{"date-parts":[["2025",9,11]]},"issued":{"date-parts":[["2025",3,4]]}}}],"schema":"https://github.com/citation-style-language/schema/raw/master/csl-citation.json"} </w:instrText>
      </w:r>
      <w:r w:rsidRPr="00662E51">
        <w:rPr>
          <w:szCs w:val="24"/>
        </w:rPr>
        <w:fldChar w:fldCharType="separate"/>
      </w:r>
      <w:r w:rsidRPr="00662E51">
        <w:rPr>
          <w:szCs w:val="24"/>
        </w:rPr>
        <w:t>(Cracknell 2025)</w:t>
      </w:r>
      <w:r w:rsidRPr="00662E51">
        <w:rPr>
          <w:szCs w:val="24"/>
        </w:rPr>
        <w:fldChar w:fldCharType="end"/>
      </w:r>
      <w:r w:rsidRPr="00662E51">
        <w:rPr>
          <w:szCs w:val="24"/>
        </w:rPr>
        <w:t xml:space="preserve">. After the Green Party won this seat—its first in Haringey—the four councillors banded together to form a new Green Socialist Alliance. One Independent Socialist has since joined the Greens </w:t>
      </w:r>
      <w:r w:rsidRPr="00662E51">
        <w:rPr>
          <w:szCs w:val="24"/>
        </w:rPr>
        <w:fldChar w:fldCharType="begin"/>
      </w:r>
      <w:r w:rsidRPr="00662E51">
        <w:rPr>
          <w:szCs w:val="24"/>
        </w:rPr>
        <w:instrText xml:space="preserve"> ADDIN ZOTERO_ITEM CSL_CITATION {"citationID":"UUcV7VVK","properties":{"formattedCitation":"({\\i{}Morning Star} 2024; Steen 2025)","plainCitation":"(Morning Star 2024; Steen 2025)","noteIndex":0},"citationItems":[{"id":6925,"uris":["http://zotero.org/users/8977980/items/ZJAJFV92"],"itemData":{"id":6925,"type":"article-newspaper","abstract":"THE leader of Haringey Independent Socialist councillors has said the group was right to quit Labour&amp;nbsp;on the first anniversary of its establishment.Lotte Collet said that Labour’s conduct both locally and nationally vindicated their decision to strike out independently, a move finally triggered by Keir Starmer’s support for Israel’s Gaza genocide.","container-title":"Morning Star","language":"en","publisher-place":"London (UK), United Kingdom","title":"We were right to quit Labour, say Haringey socialists","URL":"https://morningstaronline.co.uk/article/b/h-150-we-were-right-quit-labour-haringey-socialists","accessed":{"date-parts":[["2025",9,11]]},"issued":{"date-parts":[["2024",11,3]]}}},{"id":6923,"uris":["http://zotero.org/users/8977980/items/IYU9WT9K"],"itemData":{"id":6923,"type":"article-newspaper","abstract":"Haringey Council’s Green and Independent Socialist groups have come together to form an alliance.","container-title":"Ham &amp; High","language":"en","title":"Green and Independent Socialist councillors form new alliance on Haringey Council","URL":"https://www.hamhigh.co.uk/news/25312820.haringey-council-green-independent-socialist-alliance/","author":[{"family":"Steen","given":"Josef"}],"accessed":{"date-parts":[["2025",9,11]]},"issued":{"date-parts":[["2025",7,14]]}}}],"schema":"https://github.com/citation-style-language/schema/raw/master/csl-citation.json"} </w:instrText>
      </w:r>
      <w:r w:rsidRPr="00662E51">
        <w:rPr>
          <w:szCs w:val="24"/>
        </w:rPr>
        <w:fldChar w:fldCharType="separate"/>
      </w:r>
      <w:r w:rsidRPr="00662E51">
        <w:rPr>
          <w:rFonts w:cs="Times New Roman"/>
          <w:kern w:val="0"/>
          <w:szCs w:val="24"/>
        </w:rPr>
        <w:t>(</w:t>
      </w:r>
      <w:r w:rsidRPr="00662E51">
        <w:rPr>
          <w:rFonts w:cs="Times New Roman"/>
          <w:i/>
          <w:iCs/>
          <w:kern w:val="0"/>
          <w:szCs w:val="24"/>
        </w:rPr>
        <w:t>Morning Star</w:t>
      </w:r>
      <w:r w:rsidRPr="00662E51">
        <w:rPr>
          <w:rFonts w:cs="Times New Roman"/>
          <w:kern w:val="0"/>
          <w:szCs w:val="24"/>
        </w:rPr>
        <w:t xml:space="preserve"> 2024; Steen 2025)</w:t>
      </w:r>
      <w:r w:rsidRPr="00662E51">
        <w:rPr>
          <w:szCs w:val="24"/>
        </w:rPr>
        <w:fldChar w:fldCharType="end"/>
      </w:r>
      <w:r w:rsidRPr="00662E51">
        <w:rPr>
          <w:szCs w:val="24"/>
        </w:rPr>
        <w:t xml:space="preserve">. As of writing, ongoing cleavages within the Labour Party due to Starmer’s </w:t>
      </w:r>
      <w:r w:rsidR="000E5652">
        <w:rPr>
          <w:szCs w:val="24"/>
        </w:rPr>
        <w:t xml:space="preserve">failings on the genocide in </w:t>
      </w:r>
      <w:r w:rsidRPr="00662E51">
        <w:rPr>
          <w:szCs w:val="24"/>
        </w:rPr>
        <w:t xml:space="preserve">Gaza and rightward lurch threaten to bring further internal division </w:t>
      </w:r>
      <w:r w:rsidRPr="00662E51">
        <w:rPr>
          <w:szCs w:val="24"/>
        </w:rPr>
        <w:fldChar w:fldCharType="begin"/>
      </w:r>
      <w:r w:rsidR="00213B80">
        <w:rPr>
          <w:szCs w:val="24"/>
        </w:rPr>
        <w:instrText xml:space="preserve"> ADDIN ZOTERO_ITEM CSL_CITATION {"citationID":"c66Je3Ty","properties":{"formattedCitation":"(E. Webber 2025)","plainCitation":"(E. Webber 2025)","noteIndex":0},"citationItems":[{"id":6929,"uris":["http://zotero.org/users/8977980/items/VKIGCFEP"],"itemData":{"id":6929,"type":"webpage","abstract":"The PM instinctively rejects “gesture politics,” but his backbenchers fear voters will not forgive Labour for failing to recognize a Palestinian state.","container-title":"POLITICO","language":"en-GB","title":"Keir Starmer’s cautious approach on Gaza is leaving him isolated","URL":"https://www.politico.eu/article/keir-starmer-war-in-gaza-israel-palestinian-statehood-uk-labour-party/","author":[{"family":"Webber","given":"Ester"}],"accessed":{"date-parts":[["2025",9,11]]},"issued":{"date-parts":[["2025",7,29]]}}}],"schema":"https://github.com/citation-style-language/schema/raw/master/csl-citation.json"} </w:instrText>
      </w:r>
      <w:r w:rsidRPr="00662E51">
        <w:rPr>
          <w:szCs w:val="24"/>
        </w:rPr>
        <w:fldChar w:fldCharType="separate"/>
      </w:r>
      <w:r w:rsidR="00213B80" w:rsidRPr="00213B80">
        <w:t>(E. Webber 2025)</w:t>
      </w:r>
      <w:r w:rsidRPr="00662E51">
        <w:rPr>
          <w:szCs w:val="24"/>
        </w:rPr>
        <w:fldChar w:fldCharType="end"/>
      </w:r>
      <w:r w:rsidRPr="00662E51">
        <w:rPr>
          <w:szCs w:val="24"/>
        </w:rPr>
        <w:t xml:space="preserve">. </w:t>
      </w:r>
    </w:p>
    <w:p w14:paraId="629ACBE1" w14:textId="0A3F841B" w:rsidR="00527AFB" w:rsidRPr="00662E51" w:rsidRDefault="00527AFB" w:rsidP="00527AFB">
      <w:pPr>
        <w:spacing w:line="360" w:lineRule="auto"/>
        <w:ind w:left="0"/>
        <w:rPr>
          <w:szCs w:val="24"/>
        </w:rPr>
      </w:pPr>
      <w:r w:rsidRPr="00662E51">
        <w:rPr>
          <w:szCs w:val="24"/>
        </w:rPr>
        <w:tab/>
        <w:t xml:space="preserve">The history of local politics in Haringey, then, is chiefly that of the Labour Party. As this truncated review demonstrates, the party’s internal shifts—from the rise and fall of the New Left to the lasting impact of Blairite logics—have significant impact on local life in the borough. This historical summary reveals the </w:t>
      </w:r>
      <w:r w:rsidRPr="00662E51">
        <w:rPr>
          <w:szCs w:val="24"/>
        </w:rPr>
        <w:lastRenderedPageBreak/>
        <w:t>importance of the party and its relationship to the state. I build on this fact across the subsequent empirical chapters. I next discuss the 2011 riots,</w:t>
      </w:r>
      <w:r w:rsidR="006E4C42">
        <w:rPr>
          <w:szCs w:val="24"/>
        </w:rPr>
        <w:t xml:space="preserve"> an event that</w:t>
      </w:r>
      <w:r w:rsidR="00734FFD">
        <w:rPr>
          <w:szCs w:val="24"/>
        </w:rPr>
        <w:t xml:space="preserve"> ultimately sharpened the hard edge of neoliberal political economy in Haringey.  </w:t>
      </w:r>
    </w:p>
    <w:p w14:paraId="678C681A" w14:textId="77777777" w:rsidR="00527AFB" w:rsidRPr="00662E51" w:rsidRDefault="00527AFB" w:rsidP="00527AFB">
      <w:pPr>
        <w:spacing w:line="360" w:lineRule="auto"/>
        <w:ind w:left="0"/>
        <w:rPr>
          <w:szCs w:val="24"/>
        </w:rPr>
      </w:pPr>
    </w:p>
    <w:p w14:paraId="1082A6D5" w14:textId="43898557" w:rsidR="00527AFB" w:rsidRPr="00662E51" w:rsidRDefault="00527AFB" w:rsidP="00527AFB">
      <w:pPr>
        <w:pStyle w:val="Heading3"/>
      </w:pPr>
      <w:bookmarkStart w:id="48" w:name="_Toc221184299"/>
      <w:bookmarkStart w:id="49" w:name="_Toc231215222"/>
      <w:r w:rsidRPr="00662E51">
        <w:t>The 2011 Uprising</w:t>
      </w:r>
      <w:bookmarkEnd w:id="48"/>
      <w:r w:rsidR="00836748">
        <w:t>:</w:t>
      </w:r>
      <w:bookmarkEnd w:id="49"/>
    </w:p>
    <w:p w14:paraId="7F46F6BE" w14:textId="6B9FA479" w:rsidR="00527AFB" w:rsidRPr="00662E51" w:rsidRDefault="00527AFB" w:rsidP="00527AFB">
      <w:pPr>
        <w:spacing w:line="360" w:lineRule="auto"/>
        <w:ind w:left="0" w:firstLine="720"/>
        <w:rPr>
          <w:szCs w:val="24"/>
        </w:rPr>
      </w:pPr>
      <w:r w:rsidRPr="00662E51">
        <w:rPr>
          <w:szCs w:val="24"/>
        </w:rPr>
        <w:t>Mark Duggan, a Tottenham resident, was murdered in August 2011 by the police after a car chase through the</w:t>
      </w:r>
      <w:r w:rsidR="00CE0EC9">
        <w:rPr>
          <w:szCs w:val="24"/>
        </w:rPr>
        <w:t xml:space="preserve"> southeastern part of the</w:t>
      </w:r>
      <w:r w:rsidRPr="00662E51">
        <w:rPr>
          <w:szCs w:val="24"/>
        </w:rPr>
        <w:t xml:space="preserve"> borough. Police officers were attempting to arrest Duggan for possessing a handgun and for potentially planning a retaliatory attack. Officers allege that Duggan fired on them first, and that they killed Duggan in defence. Duggan allegedly had connections with organised crime in London—but these are not clear </w:t>
      </w:r>
      <w:r w:rsidRPr="00662E51">
        <w:rPr>
          <w:szCs w:val="24"/>
        </w:rPr>
        <w:fldChar w:fldCharType="begin"/>
      </w:r>
      <w:r w:rsidR="00213B80">
        <w:rPr>
          <w:szCs w:val="24"/>
        </w:rPr>
        <w:instrText xml:space="preserve"> ADDIN ZOTERO_ITEM CSL_CITATION {"citationID":"WJmHyfoQ","properties":{"formattedCitation":"(Simon Harding 2014)","plainCitation":"(Simon Harding 2014)","noteIndex":0},"citationItems":[{"id":6943,"uris":["http://zotero.org/users/8977980/items/52DSILW4"],"itemData":{"id":6943,"type":"article-magazine","abstract":"The shooting of Mark Duggan and his involvement – or not – in a north London gang has become increasingly mired in controversy, with myths and half-truths circulating freely alongside uncomfortable realities…","container-title":"The Conversation","DOI":"10.64628/AB.jqt3964kk","language":"en-GB","title":"As fight for Mark Duggan’s memory rages online, the streets remain in the grip of gangs","URL":"http://theconversation.com/as-fight-for-mark-duggans-memory-rages-online-the-streets-remain-in-the-grip-of-gangs-21898","author":[{"family":"Harding","given":"Simon"}],"accessed":{"date-parts":[["2025",9,12]]},"issued":{"date-parts":[["2014",1,10]]}}}],"schema":"https://github.com/citation-style-language/schema/raw/master/csl-citation.json"} </w:instrText>
      </w:r>
      <w:r w:rsidRPr="00662E51">
        <w:rPr>
          <w:szCs w:val="24"/>
        </w:rPr>
        <w:fldChar w:fldCharType="separate"/>
      </w:r>
      <w:r w:rsidR="00213B80" w:rsidRPr="00213B80">
        <w:t>(Simon Harding 2014)</w:t>
      </w:r>
      <w:r w:rsidRPr="00662E51">
        <w:rPr>
          <w:szCs w:val="24"/>
        </w:rPr>
        <w:fldChar w:fldCharType="end"/>
      </w:r>
      <w:r w:rsidRPr="00662E51">
        <w:rPr>
          <w:szCs w:val="24"/>
        </w:rPr>
        <w:t xml:space="preserve">. Indeed, the testimony of the police has been cast in doubt </w:t>
      </w:r>
      <w:r w:rsidRPr="00662E51">
        <w:rPr>
          <w:szCs w:val="24"/>
        </w:rPr>
        <w:fldChar w:fldCharType="begin"/>
      </w:r>
      <w:r w:rsidRPr="00662E51">
        <w:rPr>
          <w:szCs w:val="24"/>
        </w:rPr>
        <w:instrText xml:space="preserve"> ADDIN ZOTERO_ITEM CSL_CITATION {"citationID":"oRlb3IuH","properties":{"formattedCitation":"(Forensic Architecture 2021)","plainCitation":"(Forensic Architecture 2021)","noteIndex":0},"citationItems":[{"id":6942,"uris":["http://zotero.org/users/8977980/items/CCQ5Y489"],"itemData":{"id":6942,"type":"book","abstract":"The Institute of Contemporary Arts (ICA) is London’s leading space for contemporary culture. We commission, produce and present new work in film, music, performance and the visual arts by today’s most progressive artists. In our landmark home on The Mall in central London, we invite artists and audiences to interrogate what it means to live in our world today, with a genre-fluid programme that challenges the past, questions the present and confronts the future.","ISBN":"978-1-932698-85-5","publisher":"Cabinet Books","publisher-place":"London","title":"Forensic Architecture Reports #1: The Police Shooting of Mark Duggan","title-short":"ICA | Forensic Architecture Reports #1","URL":"https://www.ica.art","author":[{"literal":"Forensic Architecture"}],"accessed":{"date-parts":[["2025",9,12]]},"issued":{"date-parts":[["2021"]]}}}],"schema":"https://github.com/citation-style-language/schema/raw/master/csl-citation.json"} </w:instrText>
      </w:r>
      <w:r w:rsidRPr="00662E51">
        <w:rPr>
          <w:szCs w:val="24"/>
        </w:rPr>
        <w:fldChar w:fldCharType="separate"/>
      </w:r>
      <w:r w:rsidRPr="00662E51">
        <w:rPr>
          <w:szCs w:val="24"/>
        </w:rPr>
        <w:t>(Forensic Architecture 2021)</w:t>
      </w:r>
      <w:r w:rsidRPr="00662E51">
        <w:rPr>
          <w:szCs w:val="24"/>
        </w:rPr>
        <w:fldChar w:fldCharType="end"/>
      </w:r>
      <w:r w:rsidRPr="00662E51">
        <w:rPr>
          <w:szCs w:val="24"/>
        </w:rPr>
        <w:t xml:space="preserve">. Campaigners subsequently protested the killing at the Tottenham Police Station, which soon escalated when the police took no further action. Eventually, it ballooned into an extensive crisis of national disorder over the subsequent four days. Thousands of young people across the country took part in rioting across England, with significant looting and property damaging occurring in Tottenham </w:t>
      </w:r>
      <w:r w:rsidRPr="00662E51">
        <w:rPr>
          <w:szCs w:val="24"/>
        </w:rPr>
        <w:fldChar w:fldCharType="begin"/>
      </w:r>
      <w:r w:rsidRPr="00662E51">
        <w:rPr>
          <w:szCs w:val="24"/>
        </w:rPr>
        <w:instrText xml:space="preserve"> ADDIN ZOTERO_ITEM CSL_CITATION {"citationID":"IEtuVDwT","properties":{"formattedCitation":"(Lewis et al. 2011)","plainCitation":"(Lewis et al. 2011)","noteIndex":0},"citationItems":[{"id":3068,"uris":["http://zotero.org/users/8977980/items/IC3TXSJ6"],"itemData":{"id":3068,"type":"report","abstract":"The riots in early August 2011 were arguably the worst bout of civil unrest in a generation. However, unlike in the early 1980s there was to be no Scarman-style inquiry into the causes. Meanwhile, politicians and others rushed to pronounce on what had happened, and why, and to offer an array of policy solutions. While several reviews and investigations were subsequently established, a number of very significant gaps in public understanding of the events remained. Most visible among these was what drew people out on to the streets for four nights in August and what motivated them? We’d had riots, but we knew little about the rioters. The Guardian had been at the forefront of the reporting of the riots, both in a traditional journalistic sense and much more broadly through the collection and analysis of data from the courts as arrests and prosecutions mounted up. The opportunity was there to expand this work and to embark on something truly ambitious: a full-scale study of the riots and their aftermath. It was this that led to the partnership with the LSE’s Social Policy Department and, with the generous support of the Joseph Rowntree Foundation and Open Society Foundations, to Reading the Riots. We believe this will prove to be a landmark study. It is a unique collaboration between a national newspaper and a leading university. Its overarching aim has been to conduct high-quality social research at a speed and in a way that maximises its likelihood of affecting public and political debate without sacrificing any of its rigour. This report brings together the outcome of the first phase of the study, focusing in a way that has not previously been possible on the nature, motivations, attitudes and experiences of those who rioted across London and in Birmingham, Manchester, Salford, Nottingham and Liverpool.","genre":"Monograph","language":"en","note":"number-of-pages: 36\npublisher-place: London, UK","publisher":"The London School of Economics and Political Science and The Guardian","title":"Reading the riots: investigating England's summer of disorder","title-short":"Reading the riots","URL":"http://www.guardian.co.uk/uk/series/reading-the-riots","author":[{"family":"Lewis","given":"Paul"},{"family":"Newburn","given":"Tim"},{"family":"Taylor","given":"Matthew"},{"family":"Mcgillivray","given":"Catriona"},{"family":"Greenhill","given":"Aster"},{"family":"Frayman","given":"Harold"},{"family":"Proctor","given":"Rob"}],"accessed":{"date-parts":[["2023",1,4]]},"issued":{"date-parts":[["2011",12]]}}}],"schema":"https://github.com/citation-style-language/schema/raw/master/csl-citation.json"} </w:instrText>
      </w:r>
      <w:r w:rsidRPr="00662E51">
        <w:rPr>
          <w:szCs w:val="24"/>
        </w:rPr>
        <w:fldChar w:fldCharType="separate"/>
      </w:r>
      <w:r w:rsidRPr="00662E51">
        <w:rPr>
          <w:szCs w:val="24"/>
        </w:rPr>
        <w:t>(Lewis et al. 2011)</w:t>
      </w:r>
      <w:r w:rsidRPr="00662E51">
        <w:rPr>
          <w:szCs w:val="24"/>
        </w:rPr>
        <w:fldChar w:fldCharType="end"/>
      </w:r>
      <w:r w:rsidRPr="00662E51">
        <w:rPr>
          <w:szCs w:val="24"/>
        </w:rPr>
        <w:t xml:space="preserve">. Reactions across the political spectrum tended to emphasise the supposedly consumerist </w:t>
      </w:r>
      <w:r w:rsidRPr="00662E51">
        <w:rPr>
          <w:szCs w:val="24"/>
        </w:rPr>
        <w:fldChar w:fldCharType="begin"/>
      </w:r>
      <w:r w:rsidRPr="00662E51">
        <w:rPr>
          <w:szCs w:val="24"/>
        </w:rPr>
        <w:instrText xml:space="preserve"> ADDIN ZOTERO_ITEM CSL_CITATION {"citationID":"tibrK7hU","properties":{"formattedCitation":"(Bauman 2011)","plainCitation":"(Bauman 2011)","noteIndex":0},"citationItems":[{"id":5757,"uris":["http://zotero.org/users/8977980/items/UQZC8A6U"],"itemData":{"id":5757,"type":"interview","title":"Interview: Zygmunt Bauman on the UK Riots","URL":"http://www.social-europe.eu/2011/08/interview-zygmunt-bauman-on-the-uk-riots/","author":[{"family":"Bauman","given":"Zygmunt"}],"accessed":{"date-parts":[["2011",9,16]]},"issued":{"date-parts":[["2011",8,15]]}}}],"schema":"https://github.com/citation-style-language/schema/raw/master/csl-citation.json"} </w:instrText>
      </w:r>
      <w:r w:rsidRPr="00662E51">
        <w:rPr>
          <w:szCs w:val="24"/>
        </w:rPr>
        <w:fldChar w:fldCharType="separate"/>
      </w:r>
      <w:r w:rsidRPr="00662E51">
        <w:rPr>
          <w:szCs w:val="24"/>
        </w:rPr>
        <w:t>(Bauman 2011)</w:t>
      </w:r>
      <w:r w:rsidRPr="00662E51">
        <w:rPr>
          <w:szCs w:val="24"/>
        </w:rPr>
        <w:fldChar w:fldCharType="end"/>
      </w:r>
      <w:r w:rsidRPr="00662E51">
        <w:rPr>
          <w:szCs w:val="24"/>
        </w:rPr>
        <w:t xml:space="preserve">, mindless </w:t>
      </w:r>
      <w:r w:rsidRPr="00662E51">
        <w:rPr>
          <w:szCs w:val="24"/>
        </w:rPr>
        <w:fldChar w:fldCharType="begin"/>
      </w:r>
      <w:r w:rsidR="00213B80">
        <w:rPr>
          <w:szCs w:val="24"/>
        </w:rPr>
        <w:instrText xml:space="preserve"> ADDIN ZOTERO_ITEM CSL_CITATION {"citationID":"TPeZPqa6","properties":{"formattedCitation":"(C. Cooper 2012; Murer 2015)","plainCitation":"(C. Cooper 2012; Murer 2015)","noteIndex":0},"citationItems":[{"id":6945,"uris":["http://zotero.org/users/8977980/items/D39Q3Z9M"],"itemData":{"id":6945,"type":"article-journal","abstract":"The mainstream view permeating media and political discourses following the 2011 ‘riots'in England is that the disturbances are evidence of a moral decline and mindless criminality,implying that the nation's more settled traditions have been corroded. As a consequence, the policyresponse emerging in the aftermath of the troubles prioritises punitive welfare and criminal justicesanctions aimed at restoring ‘decent' traditional values and ways of behaving. This article arguesthat these mainstream responses are not only based on a flawed understanding of England's pasttraditions but that they also fail to acknowledge the deteriorating socio-cultural context of life inpost-industrial, austerity Britain, particularly as it affects young people marginalised by ‘race'and class. Thus the policies currently pursued are unlikely to address the deep-rooted underlyingstructural causes of the widespread discontent and outrage expressed, however inchoately, duringthe disorder.","container-title":"Youth &amp; Policy","ISSN":"0262-9798","issue":"September","language":"en","publisher":"Youth and Policy","source":"hull-repository.worktribe.com","title":"Understanding the English ‘riots’ of 2011: ‘mindless criminality’ or youth ‘Mekin Histri’ in austerity Britain?","title-short":"Understanding the English ‘riots’ of 2011","URL":"https://hull-repository.worktribe.com/output/471549/understanding-the-english-riots-of-2011-mindless-criminality-or-youth-mekin-histri-in-austerity-britain","volume":"109","author":[{"family":"Cooper","given":"Charlie"}],"accessed":{"date-parts":[["2025",9,12]]},"issued":{"date-parts":[["2012",9,1]]}}},{"id":3101,"uris":["http://zotero.org/users/8977980/items/5BFDNI2U"],"itemData":{"id":3101,"type":"article-journal","abstract":"Within hours of the outset of unrest in the August 2011 English Riots, the government asserted that they were the doings of “criminal gangs”. In doing so, government officials and journalistic commentators cited television images of rioting and plundering youths. Although this assertion was subsequently abandoned, it reflected an on-going process: the criminalization of youth in Britain. The recycled images of flames and hooded teenagers came to serve as the proof of youth “gone bad”. This paper explores both the actions supposedly captured in the images depicting the riots and the discourses surrounding the reproduction of those images. It seeks to connect the youth politics of the everyday—especially the problems of being ignored as political subjects—to the formal political structures that rely on youth to be socially unruly on one hand and disciplined consumers on the other. Segments of British youth are cast out, seen as unneeded or unwanted in this disciplinary project and constitute what I call here a “lumpen-consumerate”. The paper concludes with a comparative analysis of the consumer images that both discipline young people and serve as a model for framing the unrest. The paper builds upon Deleuze, Badiou, Bourdieu, Bauman and others in order to examine how spontaneous, uncoordinated action came to be read through mass media spectacle as dismissible and intolerable images of “criminal gangs” to be policed.","container-title":"International Journal of Politics, Culture, and Society","DOI":"10.1007/s10767-014-9187-6","ISSN":"1573-3416","issue":"2","journalAbbreviation":"Int J Polit Cult Soc","language":"en","page":"161-178","source":"Springer Link","title":"The Emergence of a Lumpen-Consumerate: the Aesthetics of Consumption and Violence in the English Riots of 2011","title-short":"The Emergence of a Lumpen-Consumerate","volume":"28","author":[{"family":"Murer","given":"Jeffrey Stevenson"}],"issued":{"date-parts":[["2015",6,1]]}}}],"schema":"https://github.com/citation-style-language/schema/raw/master/csl-citation.json"} </w:instrText>
      </w:r>
      <w:r w:rsidRPr="00662E51">
        <w:rPr>
          <w:szCs w:val="24"/>
        </w:rPr>
        <w:fldChar w:fldCharType="separate"/>
      </w:r>
      <w:r w:rsidR="00213B80" w:rsidRPr="00213B80">
        <w:t>(C. Cooper 2012; Murer 2015)</w:t>
      </w:r>
      <w:r w:rsidRPr="00662E51">
        <w:rPr>
          <w:szCs w:val="24"/>
        </w:rPr>
        <w:fldChar w:fldCharType="end"/>
      </w:r>
      <w:r w:rsidRPr="00662E51">
        <w:rPr>
          <w:szCs w:val="24"/>
        </w:rPr>
        <w:t xml:space="preserve">, and depolitical </w:t>
      </w:r>
      <w:r w:rsidRPr="00662E51">
        <w:rPr>
          <w:szCs w:val="24"/>
        </w:rPr>
        <w:fldChar w:fldCharType="begin"/>
      </w:r>
      <w:r w:rsidRPr="00662E51">
        <w:rPr>
          <w:szCs w:val="24"/>
        </w:rPr>
        <w:instrText xml:space="preserve"> ADDIN ZOTERO_ITEM CSL_CITATION {"citationID":"gkNhoYV8","properties":{"formattedCitation":"(\\uc0\\u381{}i\\uc0\\u382{}ek 2011)","plainCitation":"(Žižek 2011)","noteIndex":0},"citationItems":[{"id":6947,"uris":["http://zotero.org/users/8977980/items/IZYSMZQY"],"itemData":{"id":6947,"type":"article-magazine","container-title":"London Review of Books","ISSN":"0260-9592","issue":"16","language":"en","note":"section: Politics &amp; Economics","source":"www.lrb.co.uk","title":"Shoplifters of the World Unite","URL":"https://www.lrb.co.uk/the-paper/v33/n16/slavoj-zizek/shoplifters-of-the-world-unite","volume":"33","author":[{"family":"Žižek","given":"Slavoj"}],"accessed":{"date-parts":[["2025",9,12]]},"issued":{"date-parts":[["2011",8,19]]}}}],"schema":"https://github.com/citation-style-language/schema/raw/master/csl-citation.json"} </w:instrText>
      </w:r>
      <w:r w:rsidRPr="00662E51">
        <w:rPr>
          <w:szCs w:val="24"/>
        </w:rPr>
        <w:fldChar w:fldCharType="separate"/>
      </w:r>
      <w:r w:rsidRPr="00662E51">
        <w:rPr>
          <w:rFonts w:cs="Times New Roman"/>
          <w:kern w:val="0"/>
          <w:szCs w:val="24"/>
        </w:rPr>
        <w:t>(Žižek 2011)</w:t>
      </w:r>
      <w:r w:rsidRPr="00662E51">
        <w:rPr>
          <w:szCs w:val="24"/>
        </w:rPr>
        <w:fldChar w:fldCharType="end"/>
      </w:r>
      <w:r w:rsidRPr="00662E51">
        <w:rPr>
          <w:szCs w:val="24"/>
        </w:rPr>
        <w:t xml:space="preserve"> outlook of the rioters. The then-Prime Minister, David Cameron </w:t>
      </w:r>
      <w:r w:rsidRPr="00662E51">
        <w:rPr>
          <w:szCs w:val="24"/>
        </w:rPr>
        <w:fldChar w:fldCharType="begin"/>
      </w:r>
      <w:r w:rsidRPr="00662E51">
        <w:rPr>
          <w:szCs w:val="24"/>
        </w:rPr>
        <w:instrText xml:space="preserve"> ADDIN ZOTERO_ITEM CSL_CITATION {"citationID":"PFQTLJ23","properties":{"formattedCitation":"(2011)","plainCitation":"(2011)","noteIndex":0},"citationItems":[{"id":6949,"uris":["http://zotero.org/users/8977980/items/HW88ZAGG"],"itemData":{"id":6949,"type":"article-newspaper","abstract":"David Cameron's opening Commons statement as MPs are recalled to debate","container-title":"BBC News","language":"en-GB","section":"UK Politics","source":"www.bbc.co.uk","title":"Riots: David Cameron's Commons statement in full","title-short":"Riots","URL":"https://www.bbc.com/news/uk-politics-14492789","author":[{"family":"Cameron","given":"David"}],"accessed":{"date-parts":[["2025",9,12]]},"issued":{"date-parts":[["2011",8,11]]}},"suppress-author":true}],"schema":"https://github.com/citation-style-language/schema/raw/master/csl-citation.json"} </w:instrText>
      </w:r>
      <w:r w:rsidRPr="00662E51">
        <w:rPr>
          <w:szCs w:val="24"/>
        </w:rPr>
        <w:fldChar w:fldCharType="separate"/>
      </w:r>
      <w:r w:rsidRPr="00662E51">
        <w:rPr>
          <w:szCs w:val="24"/>
        </w:rPr>
        <w:t>(2011)</w:t>
      </w:r>
      <w:r w:rsidRPr="00662E51">
        <w:rPr>
          <w:szCs w:val="24"/>
        </w:rPr>
        <w:fldChar w:fldCharType="end"/>
      </w:r>
      <w:r w:rsidRPr="00662E51">
        <w:rPr>
          <w:szCs w:val="24"/>
        </w:rPr>
        <w:t>,</w:t>
      </w:r>
      <w:r w:rsidRPr="00BD17AF">
        <w:rPr>
          <w:rStyle w:val="FootnoteReference"/>
        </w:rPr>
        <w:footnoteReference w:id="19"/>
      </w:r>
      <w:r w:rsidRPr="00662E51">
        <w:rPr>
          <w:szCs w:val="24"/>
        </w:rPr>
        <w:t xml:space="preserve"> called the uprising “criminality, pure and simple.” Several government-commissioned reports reflected these discourses, finding that underlying social problems did matter but ultimately the uprising was the fault of consumerism and greed—rather than social ills </w:t>
      </w:r>
      <w:r w:rsidRPr="00662E51">
        <w:rPr>
          <w:szCs w:val="24"/>
        </w:rPr>
        <w:fldChar w:fldCharType="begin"/>
      </w:r>
      <w:r w:rsidRPr="00662E51">
        <w:rPr>
          <w:szCs w:val="24"/>
        </w:rPr>
        <w:instrText xml:space="preserve"> ADDIN ZOTERO_ITEM CSL_CITATION {"citationID":"ucQzThCI","properties":{"formattedCitation":"(Levett 2012; RCVP 2012)","plainCitation":"(Levett 2012; RCVP 2012)","noteIndex":0},"citationItems":[{"id":5070,"uris":["http://zotero.org/users/8977980/items/W57USM36"],"itemData":{"id":5070,"type":"report","publisher":"Mayor of London’s Office","publisher-place":"London","title":"It Took Another Riot: The concluding report of the Mayor of London’s Independent Panel on Tottenham","title-short":"It Took Another Riot","URL":"https://www.london.gov.uk/sites/default/files/it_took_another_riot.pdf","author":[{"family":"Levett","given":"Don"}],"accessed":{"date-parts":[["2023",9,12]]},"issued":{"date-parts":[["2012",12,11]]}}},{"id":5665,"uris":["http://zotero.org/users/8977980/items/V96QDTZ9"],"itemData":{"id":5665,"type":"report","publisher":"Riots, Communities and Victims Panel","publisher-place":"London","title":"After the Riots: the final report of the Riots Communities and Victims Panel","URL":"https://www.salfordcvs.co.uk/sites/salfordcvs.co.uk/files/Riots-Panel-Final-Report.pdf","author":[{"literal":"RCVP"}],"accessed":{"date-parts":[["2024",1,30]]},"issued":{"date-parts":[["2012"]]}}}],"schema":"https://github.com/citation-style-language/schema/raw/master/csl-citation.json"} </w:instrText>
      </w:r>
      <w:r w:rsidRPr="00662E51">
        <w:rPr>
          <w:szCs w:val="24"/>
        </w:rPr>
        <w:fldChar w:fldCharType="separate"/>
      </w:r>
      <w:r w:rsidRPr="00662E51">
        <w:rPr>
          <w:szCs w:val="24"/>
        </w:rPr>
        <w:t>(Levett 2012; RCVP 2012)</w:t>
      </w:r>
      <w:r w:rsidRPr="00662E51">
        <w:rPr>
          <w:szCs w:val="24"/>
        </w:rPr>
        <w:fldChar w:fldCharType="end"/>
      </w:r>
      <w:r w:rsidRPr="00662E51">
        <w:rPr>
          <w:szCs w:val="24"/>
        </w:rPr>
        <w:t xml:space="preserve">. I discuss one report, </w:t>
      </w:r>
      <w:r w:rsidRPr="00662E51">
        <w:rPr>
          <w:i/>
          <w:iCs/>
          <w:szCs w:val="24"/>
        </w:rPr>
        <w:t>It Took Another Riot</w:t>
      </w:r>
      <w:r w:rsidRPr="00662E51">
        <w:rPr>
          <w:szCs w:val="24"/>
        </w:rPr>
        <w:t>, the product of a taskforce set up by the then-Mayor of London, Boris Johnson,</w:t>
      </w:r>
      <w:r w:rsidRPr="00BD17AF">
        <w:rPr>
          <w:rStyle w:val="FootnoteReference"/>
        </w:rPr>
        <w:footnoteReference w:id="20"/>
      </w:r>
      <w:r w:rsidRPr="00662E51">
        <w:rPr>
          <w:szCs w:val="24"/>
        </w:rPr>
        <w:t xml:space="preserve"> in detail in Section 1.3.2. These reactions tapped into underlying assumptions about the relationship between consumerism, worklessness, the ‘undeserving poor’ </w:t>
      </w:r>
      <w:r w:rsidRPr="00662E51">
        <w:rPr>
          <w:szCs w:val="24"/>
        </w:rPr>
        <w:fldChar w:fldCharType="begin"/>
      </w:r>
      <w:r w:rsidRPr="00662E51">
        <w:rPr>
          <w:szCs w:val="24"/>
        </w:rPr>
        <w:instrText xml:space="preserve"> ADDIN ZOTERO_ITEM CSL_CITATION {"citationID":"KEoBxBQD","properties":{"formattedCitation":"(Katz [1989] 2013; Tyler 2013)","plainCitation":"(Katz [1989] 2013; Tyler 2013)","noteIndex":0},"citationItems":[{"id":7087,"uris":["http://zotero.org/users/8977980/items/HET4FXWX"],"itemData":{"id":7087,"type":"book","abstract":"First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light.\n               \n               \n                \n              ,  \n               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light.","edition":"Second Edition","ISBN":"978-0-19-993395-2","number-of-pages":"368","publisher":"Oxford University Press","publisher-place":"Oxford, New York","source":"Oxford University Press","title":"The Undeserving Poor: America's Enduring Confrontation with Poverty: Fully Updated and Revised","title-short":"The Undeserving Poor","author":[{"family":"Katz","given":"Michael B."}],"issued":{"date-parts":[["2013",11,28]]},"original-date":{"date-parts":[["1989"]]}}},{"id":249,"uris":["http://zotero.org/users/8977980/items/DMEF6VBW"],"itemData":{"id":249,"type":"book","edition":"1st edition","ISBN":"978-1-84813-851-3","language":"English","number-of-pages":"224","publisher":"Zed Books Ltd","publisher-place":"London, UK","source":"Amazon","title":"Revolting Subjects: Social Abjection and Resistance in Neoliberal Britain","title-short":"Revolting Subjects","author":[{"family":"Tyler","given":"Imogen"}],"issued":{"date-parts":[["2013",4,11]]}}}],"schema":"https://github.com/citation-style-language/schema/raw/master/csl-citation.json"} </w:instrText>
      </w:r>
      <w:r w:rsidRPr="00662E51">
        <w:rPr>
          <w:szCs w:val="24"/>
        </w:rPr>
        <w:fldChar w:fldCharType="separate"/>
      </w:r>
      <w:r w:rsidRPr="00662E51">
        <w:t>(Katz [1989] 2013; Tyler 2013)</w:t>
      </w:r>
      <w:r w:rsidRPr="00662E51">
        <w:rPr>
          <w:szCs w:val="24"/>
        </w:rPr>
        <w:fldChar w:fldCharType="end"/>
      </w:r>
      <w:r w:rsidRPr="00662E51">
        <w:rPr>
          <w:szCs w:val="24"/>
        </w:rPr>
        <w:t xml:space="preserve">, and long-standing punitive social policy. This discourse—which was already heavily racialised—constituted “broad brush strokes” that “were applied </w:t>
      </w:r>
      <w:r w:rsidRPr="00662E51">
        <w:rPr>
          <w:szCs w:val="24"/>
        </w:rPr>
        <w:lastRenderedPageBreak/>
        <w:t xml:space="preserve">to portray all of Tottenham’s young people with the same negative representations, reducing them to a single social category” of criminal </w:t>
      </w:r>
      <w:r w:rsidRPr="00662E51">
        <w:rPr>
          <w:szCs w:val="24"/>
        </w:rPr>
        <w:fldChar w:fldCharType="begin"/>
      </w:r>
      <w:r w:rsidRPr="00662E51">
        <w:rPr>
          <w:szCs w:val="24"/>
        </w:rPr>
        <w:instrText xml:space="preserve"> ADDIN ZOTERO_ITEM CSL_CITATION {"citationID":"0I2FqDsy","properties":{"formattedCitation":"(Elster 2020, 1389)","plainCitation":"(Elster 2020, 1389)","noteIndex":0},"citationItems":[{"id":45,"uris":["http://zotero.org/users/8977980/items/M6J3CXWJ"],"itemData":{"id":45,"type":"article-journal","abstract":"Numerous negative representations of youth emerged in the aftermath of the 2011 English riots. This article intends to fill a gap in the literature on the ‘riot-affected’ areas by looking at how youths from Tottenham (the North London constituency where a peaceful demonstration escalated into the English riots of 2011) deal with stereotypical and homogeneous portrayals put forward by the British mainstream news media and many government ministers. In drawing on an alternative conceptualisation of reflexivity that spells out how reflexive orientations relate to lived experiences, the article aims to open up novel pathways for understanding youth reflexivity in the context of being regularly subjected to negative representations. This is achieved by tying reflexive activity more closely to Alfred Schütz’s notion of ‘stock of knowledge’. The study applies qualitative methods to empirically address how a group of eighteen 15- to 25-year-olds from Tottenham reflexively negotiate the harmful consequences of stigmatised identities. The most striking conclusion to emerge from the data is that Tottenham’s young people embody a diverse range of youth identities and reflexive attitudes; a conclusion that flies in the face of the way in which much of the media depicted youths after the riots.","container-title":"The Sociological Review","DOI":"10.1177/0038026120915706","ISSN":"0038-0261","issue":"6","journalAbbreviation":"The Sociological Review","language":"en","page":"1386-1402","publisher":"SAGE Publications Ltd","source":"SAGE Journals","title":"Youth voices in post-English riots Tottenham: The role of reflexivity in negotiating negative representations","title-short":"Youth voices in post-English riots Tottenham","volume":"68","author":[{"family":"Elster","given":"Julius"}],"issued":{"date-parts":[["2020",11,1]]}},"locator":"1389","label":"page"}],"schema":"https://github.com/citation-style-language/schema/raw/master/csl-citation.json"} </w:instrText>
      </w:r>
      <w:r w:rsidRPr="00662E51">
        <w:rPr>
          <w:szCs w:val="24"/>
        </w:rPr>
        <w:fldChar w:fldCharType="separate"/>
      </w:r>
      <w:r w:rsidRPr="00662E51">
        <w:rPr>
          <w:szCs w:val="24"/>
        </w:rPr>
        <w:t>(Elster 2020, 1389)</w:t>
      </w:r>
      <w:r w:rsidRPr="00662E51">
        <w:rPr>
          <w:szCs w:val="24"/>
        </w:rPr>
        <w:fldChar w:fldCharType="end"/>
      </w:r>
      <w:r w:rsidRPr="00662E51">
        <w:rPr>
          <w:szCs w:val="24"/>
        </w:rPr>
        <w:t xml:space="preserve">. Discourses about consumerism and criminality work to obfuscate the true meaning of the 2011 uprising, framing it as driven by greed rather than true, politically related grievances. As I develop below and in Chapter 6, such framing supported plans to gentrify and reshape Tottenham in the post-riot era. </w:t>
      </w:r>
    </w:p>
    <w:p w14:paraId="6074CE28" w14:textId="4400088A" w:rsidR="00527AFB" w:rsidRPr="00662E51" w:rsidRDefault="00527AFB" w:rsidP="00527AFB">
      <w:pPr>
        <w:spacing w:line="360" w:lineRule="auto"/>
        <w:ind w:left="0" w:firstLine="720"/>
        <w:rPr>
          <w:szCs w:val="24"/>
        </w:rPr>
      </w:pPr>
      <w:r w:rsidRPr="00662E51">
        <w:rPr>
          <w:szCs w:val="24"/>
        </w:rPr>
        <w:t xml:space="preserve">The discourses of criminality and subsequent harsh legal response underestimated the political nature of the riot. That is because few, if any, commentators and politicians actually spoke to someone involved in the uprisings; the perspectives of those involved were left out. Since 2011, there have been various attempts at discovering underlying causes of the uprisings through direct engagement with riot participants </w:t>
      </w:r>
      <w:r w:rsidRPr="00662E51">
        <w:rPr>
          <w:szCs w:val="24"/>
        </w:rPr>
        <w:fldChar w:fldCharType="begin"/>
      </w:r>
      <w:r w:rsidRPr="00662E51">
        <w:rPr>
          <w:szCs w:val="24"/>
        </w:rPr>
        <w:instrText xml:space="preserve"> ADDIN ZOTERO_ITEM CSL_CITATION {"citationID":"9MdSkYiM","properties":{"formattedCitation":"(Lewis et al. 2011; Newburn et al. 2015; Treadwell et al. 2013)","plainCitation":"(Lewis et al. 2011; Newburn et al. 2015; Treadwell et al. 2013)","noteIndex":0},"citationItems":[{"id":3068,"uris":["http://zotero.org/users/8977980/items/IC3TXSJ6"],"itemData":{"id":3068,"type":"report","abstract":"The riots in early August 2011 were arguably the worst bout of civil unrest in a generation. However, unlike in the early 1980s there was to be no Scarman-style inquiry into the causes. Meanwhile, politicians and others rushed to pronounce on what had happened, and why, and to offer an array of policy solutions. While several reviews and investigations were subsequently established, a number of very significant gaps in public understanding of the events remained. Most visible among these was what drew people out on to the streets for four nights in August and what motivated them? We’d had riots, but we knew little about the rioters. The Guardian had been at the forefront of the reporting of the riots, both in a traditional journalistic sense and much more broadly through the collection and analysis of data from the courts as arrests and prosecutions mounted up. The opportunity was there to expand this work and to embark on something truly ambitious: a full-scale study of the riots and their aftermath. It was this that led to the partnership with the LSE’s Social Policy Department and, with the generous support of the Joseph Rowntree Foundation and Open Society Foundations, to Reading the Riots. We believe this will prove to be a landmark study. It is a unique collaboration between a national newspaper and a leading university. Its overarching aim has been to conduct high-quality social research at a speed and in a way that maximises its likelihood of affecting public and political debate without sacrificing any of its rigour. This report brings together the outcome of the first phase of the study, focusing in a way that has not previously been possible on the nature, motivations, attitudes and experiences of those who rioted across London and in Birmingham, Manchester, Salford, Nottingham and Liverpool.","genre":"Monograph","language":"en","note":"number-of-pages: 36\npublisher-place: London, UK","publisher":"The London School of Economics and Political Science and The Guardian","title":"Reading the riots: investigating England's summer of disorder","title-short":"Reading the riots","URL":"http://www.guardian.co.uk/uk/series/reading-the-riots","author":[{"family":"Lewis","given":"Paul"},{"family":"Newburn","given":"Tim"},{"family":"Taylor","given":"Matthew"},{"family":"Mcgillivray","given":"Catriona"},{"family":"Greenhill","given":"Aster"},{"family":"Frayman","given":"Harold"},{"family":"Proctor","given":"Rob"}],"accessed":{"date-parts":[["2023",1,4]]},"issued":{"date-parts":[["2011",12]]}}},{"id":6956,"uris":["http://zotero.org/users/8977980/items/W857I5L7"],"itemData":{"id":6956,"type":"article-journal","abstract":"A number of commentators have suggested that the riots in England in August 2011 were distinctive because of the character and extent of the looting that took place. In doing so, they have argued that the nature of modern consumer capitalism should be placed front and centre of any explanation of the disorder. While concurring with elements of such arguments, we depart from such analyses in three ways. First, we argue that it is important not to overstate the extent to which the 2011 riots were a departure from previous outbreaks of civil disorder — violent consumerism having a quite lengthy history. Second, using testimony from those involved, we argue that a focus on looting risks ignoring both the political character and the violence involved in the riots. Finally, and relatedly, we suggest that the focus on consumption potentially simplifies the nature of the looting itself by underestimating its political and expressive characteristics.","container-title":"The British Journal of Criminology","ISSN":"0007-0955","issue":"5","page":"987-1004","publisher":"Oxford University Press","source":"JSTOR","title":"Shopping for Free? Looting, Consumerism and the 2011 Riots","title-short":"Shopping for Free?","volume":"55","author":[{"family":"Newburn","given":"Tim"},{"family":"Cooper","given":"Kerris"},{"family":"Deacon","given":"Rachel"},{"family":"Diski","given":"Rebekah"}],"issued":{"date-parts":[["2015"]]}}},{"id":6957,"uris":["http://zotero.org/users/8977980/items/J3JER5LV"],"itemData":{"id":6957,"type":"article-journal","abstract":"This article is an initial analysis and theorization of original ethnographic data gathered from young men who participated in the English riots of August 2011. The data consistently suggest that consumer culture supplied these young men with a compelling motivation to join the rioting after the initial localized response to the original incident had died down. The data are analysed in a way that builds a theory of the rioting as a product of objectless dissatisfaction. Drawing upon the resources of contemporary cultural and critical criminological theory, it argues that, in the current post-political vacuum, the rioters could not locate or articulate the objective structural and processual causes of their marginalization. Neither could they clearly recognize or ethically censure their structural antagonists. Thus, in the entire absence of truthful, comprehensible and unifying political symbolism, they had nowhere to go but the shops.","container-title":"The British Journal of Criminology","DOI":"10.1093/bjc/azs054","ISSN":"0007-0955","issue":"1","journalAbbreviation":"Br J Criminol","page":"1-17","source":"Silverchair","title":"Shopocalypse Now: Consumer Culture and the English Riots of 2011","title-short":"Shopocalypse Now","volume":"53","author":[{"family":"Treadwell","given":"James"},{"family":"Briggs","given":"Daniel"},{"family":"Winlow","given":"Simon"},{"family":"Hall","given":"Steve"}],"issued":{"date-parts":[["2013",1,1]]}}}],"schema":"https://github.com/citation-style-language/schema/raw/master/csl-citation.json"} </w:instrText>
      </w:r>
      <w:r w:rsidRPr="00662E51">
        <w:rPr>
          <w:szCs w:val="24"/>
        </w:rPr>
        <w:fldChar w:fldCharType="separate"/>
      </w:r>
      <w:r w:rsidRPr="00662E51">
        <w:rPr>
          <w:szCs w:val="24"/>
        </w:rPr>
        <w:t>(Lewis et al. 2011; Newburn et al. 2015; Treadwell et al. 2013)</w:t>
      </w:r>
      <w:r w:rsidRPr="00662E51">
        <w:rPr>
          <w:szCs w:val="24"/>
        </w:rPr>
        <w:fldChar w:fldCharType="end"/>
      </w:r>
      <w:r w:rsidRPr="00662E51">
        <w:rPr>
          <w:szCs w:val="24"/>
        </w:rPr>
        <w:t xml:space="preserve">. These have generally found widespread anger among participants about racist overpolicing—but also about austerity, worklessness, and the end of the education maintenance grant. These reasons are deeply political and reflect the violent nature of austerity. Although such post hoc accounts have sometimes been dismissed on epistemological grounds, they offer important windows into understanding </w:t>
      </w:r>
      <w:r w:rsidRPr="00662E51">
        <w:rPr>
          <w:i/>
          <w:iCs/>
          <w:szCs w:val="24"/>
        </w:rPr>
        <w:t>why</w:t>
      </w:r>
      <w:r w:rsidRPr="00662E51">
        <w:rPr>
          <w:szCs w:val="24"/>
        </w:rPr>
        <w:t xml:space="preserve"> a riot took place, as well as into the mindset of those involved</w:t>
      </w:r>
      <w:r w:rsidR="00AF355C">
        <w:rPr>
          <w:szCs w:val="24"/>
        </w:rPr>
        <w:t>.</w:t>
      </w:r>
      <w:r w:rsidRPr="00662E51">
        <w:rPr>
          <w:szCs w:val="24"/>
        </w:rPr>
        <w:t xml:space="preserve"> Stott</w:t>
      </w:r>
      <w:r w:rsidRPr="00662E51">
        <w:rPr>
          <w:i/>
          <w:iCs/>
          <w:szCs w:val="24"/>
        </w:rPr>
        <w:t xml:space="preserve"> </w:t>
      </w:r>
      <w:r w:rsidRPr="00CD567A">
        <w:rPr>
          <w:szCs w:val="24"/>
        </w:rPr>
        <w:t>et al.</w:t>
      </w:r>
      <w:r w:rsidRPr="00662E51">
        <w:rPr>
          <w:szCs w:val="24"/>
        </w:rPr>
        <w:t xml:space="preserve"> </w:t>
      </w:r>
      <w:r w:rsidRPr="00662E51">
        <w:rPr>
          <w:szCs w:val="24"/>
        </w:rPr>
        <w:fldChar w:fldCharType="begin"/>
      </w:r>
      <w:r w:rsidRPr="00662E51">
        <w:rPr>
          <w:szCs w:val="24"/>
        </w:rPr>
        <w:instrText xml:space="preserve"> ADDIN ZOTERO_ITEM CSL_CITATION {"citationID":"k1vOcQsc","properties":{"formattedCitation":"(2017)","plainCitation":"(2017)","noteIndex":0},"citationItems":[{"id":6955,"uris":["http://zotero.org/users/8977980/items/2996G2V4"],"itemData":{"id":6955,"type":"article-journal","container-title":"The British Journal of Criminology","DOI":"10.1093/bjc/azw036","ISSN":"0007-0955, 1464-3529","issue":"4","language":"en","page":"964-981","source":"DOI.org (Crossref)","title":"On the Role of a Social Identity Analysis in Articulating Structure and Collective Action: The 2011 Riots in Tottenham and Hackney","title-short":"On the Role of a Social Identity Analysis in Articulating Structure and Collective Action","volume":"57","author":[{"family":"Stott","given":"Clifford"},{"family":"Drury","given":"John"},{"family":"Reicher","given":"Steve"}],"issued":{"date-parts":[["2017",7]]}},"suppress-author":true}],"schema":"https://github.com/citation-style-language/schema/raw/master/csl-citation.json"} </w:instrText>
      </w:r>
      <w:r w:rsidRPr="00662E51">
        <w:rPr>
          <w:szCs w:val="24"/>
        </w:rPr>
        <w:fldChar w:fldCharType="separate"/>
      </w:r>
      <w:r w:rsidRPr="00662E51">
        <w:rPr>
          <w:szCs w:val="24"/>
        </w:rPr>
        <w:t>(2017)</w:t>
      </w:r>
      <w:r w:rsidRPr="00662E51">
        <w:rPr>
          <w:szCs w:val="24"/>
        </w:rPr>
        <w:fldChar w:fldCharType="end"/>
      </w:r>
      <w:r w:rsidR="00E00246">
        <w:rPr>
          <w:szCs w:val="24"/>
        </w:rPr>
        <w:t>, for instance,</w:t>
      </w:r>
      <w:r w:rsidRPr="00662E51">
        <w:rPr>
          <w:szCs w:val="24"/>
        </w:rPr>
        <w:t xml:space="preserve"> challenge further discourses that claim that the riot in Tottenham was politically motivated (i.e., </w:t>
      </w:r>
      <w:r w:rsidR="00AD0744">
        <w:rPr>
          <w:szCs w:val="24"/>
        </w:rPr>
        <w:t>in response to</w:t>
      </w:r>
      <w:r w:rsidRPr="00662E51">
        <w:rPr>
          <w:szCs w:val="24"/>
        </w:rPr>
        <w:t xml:space="preserve"> Duggan’s killing) but that later uprisings were simply driven by consumerism. Thus, the uprisings were rooted in legitimate grievances about the state of the country, rather than pure consumerism. </w:t>
      </w:r>
    </w:p>
    <w:p w14:paraId="7C15CD89" w14:textId="3C2CBE32" w:rsidR="00527AFB" w:rsidRPr="00662E51" w:rsidRDefault="00527AFB" w:rsidP="00527AFB">
      <w:pPr>
        <w:spacing w:line="360" w:lineRule="auto"/>
        <w:ind w:left="0" w:firstLine="720"/>
        <w:rPr>
          <w:szCs w:val="24"/>
        </w:rPr>
      </w:pPr>
      <w:r w:rsidRPr="00662E51">
        <w:rPr>
          <w:szCs w:val="24"/>
        </w:rPr>
        <w:t xml:space="preserve">Policy responses were stringent. 3,102 </w:t>
      </w:r>
      <w:r w:rsidR="00D47C0C">
        <w:rPr>
          <w:szCs w:val="24"/>
        </w:rPr>
        <w:t xml:space="preserve">individuals </w:t>
      </w:r>
      <w:r w:rsidRPr="00662E51">
        <w:rPr>
          <w:szCs w:val="24"/>
        </w:rPr>
        <w:t xml:space="preserve">were arrested in the subsequent three months, with two-thirds arrested in the first week after the revolt. A total of 88 percent of arrestees were male; 29 percent are of White European appearance while 56 percent were of Black ethnic appearance. The average age was 23. Although dominant discourses depicted participants as the ‘usual suspects,’ 29 percent of arrestees were first time offenders </w:t>
      </w:r>
      <w:r w:rsidRPr="00662E51">
        <w:rPr>
          <w:szCs w:val="24"/>
        </w:rPr>
        <w:fldChar w:fldCharType="begin"/>
      </w:r>
      <w:r w:rsidRPr="00662E51">
        <w:rPr>
          <w:szCs w:val="24"/>
        </w:rPr>
        <w:instrText xml:space="preserve"> ADDIN ZOTERO_ITEM CSL_CITATION {"citationID":"5vYDGLxH","properties":{"formattedCitation":"(Stanko and Dawson 2013)","plainCitation":"(Stanko and Dawson 2013)","noteIndex":0},"citationItems":[{"id":6959,"uris":["http://zotero.org/users/8977980/items/JA387RAH"],"itemData":{"id":6959,"type":"article-journal","container-title":"Policing","DOI":"10.1093/police/pas054","ISSN":"1752-4512, 1752-4520","issue":"1","journalAbbreviation":"Policing","language":"en","page":"3-11","source":"DOI.org (Crossref)","title":"Reflections on the Offending Histories of those Arrested during the Disorder","volume":"7","author":[{"family":"Stanko","given":"Betsy"},{"family":"Dawson","given":"Paul"}],"issued":{"date-parts":[["2013",3,1]]}}}],"schema":"https://github.com/citation-style-language/schema/raw/master/csl-citation.json"} </w:instrText>
      </w:r>
      <w:r w:rsidRPr="00662E51">
        <w:rPr>
          <w:szCs w:val="24"/>
        </w:rPr>
        <w:fldChar w:fldCharType="separate"/>
      </w:r>
      <w:r w:rsidRPr="00662E51">
        <w:rPr>
          <w:szCs w:val="24"/>
        </w:rPr>
        <w:t>(Stanko and Dawson 2013)</w:t>
      </w:r>
      <w:r w:rsidRPr="00662E51">
        <w:rPr>
          <w:szCs w:val="24"/>
        </w:rPr>
        <w:fldChar w:fldCharType="end"/>
      </w:r>
      <w:r w:rsidRPr="00662E51">
        <w:rPr>
          <w:szCs w:val="24"/>
        </w:rPr>
        <w:t xml:space="preserve">. I emphasise these demographics to draw attention to a history of overpolicing both across the country and in Tottenham specifically. Keir Starmer, who was Director of Public Prosecutions at the time, pushed for a tough </w:t>
      </w:r>
      <w:r w:rsidRPr="00662E51">
        <w:rPr>
          <w:szCs w:val="24"/>
        </w:rPr>
        <w:lastRenderedPageBreak/>
        <w:t xml:space="preserve">combination of a weaker threshold to pursue prosecutions and longer sentences. Some of these sentences bordered on extremely disproportionate, with one man imprisoned for six months for stealing a few bottles of water </w:t>
      </w:r>
      <w:r w:rsidRPr="00662E51">
        <w:rPr>
          <w:szCs w:val="24"/>
        </w:rPr>
        <w:fldChar w:fldCharType="begin"/>
      </w:r>
      <w:r w:rsidRPr="00662E51">
        <w:rPr>
          <w:szCs w:val="24"/>
        </w:rPr>
        <w:instrText xml:space="preserve"> ADDIN ZOTERO_ITEM CSL_CITATION {"citationID":"RyqlEfiB","properties":{"formattedCitation":"(Newkey-Burden 2024)","plainCitation":"(Newkey-Burden 2024)","noteIndex":0},"citationItems":[{"id":6951,"uris":["http://zotero.org/users/8977980/items/ZNHC8SIY"],"itemData":{"id":6951,"type":"webpage","abstract":"PM's 'brutal' response 13 years ago when director of public prosecutions sent a 'very powerful message'","container-title":"The Week UK","language":"en","title":"Keir Starmer and the 2011 London riots: the lessons for today's unrest","title-short":"Keir Starmer and the 2011 London riots","URL":"https://theweek.com/crime/keir-starmer-2011-london-riots-the-lessons","author":[{"family":"Newkey-Burden","given":"Charles"}],"accessed":{"date-parts":[["2025",9,12]]},"issued":{"date-parts":[["2024",8,6]]}}}],"schema":"https://github.com/citation-style-language/schema/raw/master/csl-citation.json"} </w:instrText>
      </w:r>
      <w:r w:rsidRPr="00662E51">
        <w:rPr>
          <w:szCs w:val="24"/>
        </w:rPr>
        <w:fldChar w:fldCharType="separate"/>
      </w:r>
      <w:r w:rsidRPr="00662E51">
        <w:rPr>
          <w:szCs w:val="24"/>
        </w:rPr>
        <w:t>(Newkey-Burden 2024)</w:t>
      </w:r>
      <w:r w:rsidRPr="00662E51">
        <w:rPr>
          <w:szCs w:val="24"/>
        </w:rPr>
        <w:fldChar w:fldCharType="end"/>
      </w:r>
      <w:r w:rsidRPr="00662E51">
        <w:rPr>
          <w:szCs w:val="24"/>
        </w:rPr>
        <w:t xml:space="preserve">. </w:t>
      </w:r>
    </w:p>
    <w:p w14:paraId="6B7B0E62" w14:textId="2A1309B5" w:rsidR="00527AFB" w:rsidRPr="00662E51" w:rsidRDefault="00527AFB" w:rsidP="00527AFB">
      <w:pPr>
        <w:spacing w:line="360" w:lineRule="auto"/>
        <w:ind w:left="0"/>
        <w:rPr>
          <w:szCs w:val="24"/>
        </w:rPr>
      </w:pPr>
      <w:r w:rsidRPr="00662E51">
        <w:rPr>
          <w:szCs w:val="24"/>
        </w:rPr>
        <w:tab/>
        <w:t xml:space="preserve">In addition to punishment meted out through the justice system, the uprising spawned a set of policies designed to transform sites of the uprising. As Enright </w:t>
      </w:r>
      <w:r w:rsidRPr="00662E51">
        <w:rPr>
          <w:szCs w:val="24"/>
        </w:rPr>
        <w:fldChar w:fldCharType="begin"/>
      </w:r>
      <w:r w:rsidRPr="00662E51">
        <w:rPr>
          <w:szCs w:val="24"/>
        </w:rPr>
        <w:instrText xml:space="preserve"> ADDIN ZOTERO_ITEM CSL_CITATION {"citationID":"O0SRzvh8","properties":{"formattedCitation":"(2017)","plainCitation":"(2017)","noteIndex":0},"citationItems":[{"id":6960,"uris":["http://zotero.org/users/8977980/items/85HPMRA8"],"itemData":{"id":6960,"type":"article-journal","abstract":"This article examines the relationship between political uprising and megaproject-based global city reform in Paris and London. On the one hand, it considers the banlieue uprisings in Paris in November 2005 as an impetus for the Grand Paris renewal initiative launched in April 2007. This is compared with the large-scale reformations of space across London in advance of the 2012 Olympics as a contributing factor in the riots of August 2011. In both of these cases there is an integral though indirect link between urban planning and resistance. Engaging with Marxist political theory and critical urban geography, I argue that uprisings and global city developments relate in a mutually constitutive fashion. I also locate the suburbs, broadly defined, as an important site of contemporary political antagonism. I use the concept of “political topology” to suggest that global city pursuits present a new mode of uneven development that has not yet been adequately met in thought or practice. The two cases are thus used to open up to a more general analysis of twenty-first-century urban politics.","container-title":"Urban Geography","DOI":"10.1080/02723638.2016.1168568","ISSN":"0272-3638","issue":"4","note":"_eprint: https://doi.org/10.1080/02723638.2016.1168568","page":"557-577","publisher":"Routledge","source":"Taylor and Francis+NEJM","title":"The political topology of urban uprisings","volume":"38","author":[{"family":"Enright","given":"Theresa"}],"issued":{"date-parts":[["2017",4,21]]}},"suppress-author":true}],"schema":"https://github.com/citation-style-language/schema/raw/master/csl-citation.json"} </w:instrText>
      </w:r>
      <w:r w:rsidRPr="00662E51">
        <w:rPr>
          <w:szCs w:val="24"/>
        </w:rPr>
        <w:fldChar w:fldCharType="separate"/>
      </w:r>
      <w:r w:rsidRPr="00662E51">
        <w:rPr>
          <w:szCs w:val="24"/>
        </w:rPr>
        <w:t>(2017)</w:t>
      </w:r>
      <w:r w:rsidRPr="00662E51">
        <w:rPr>
          <w:szCs w:val="24"/>
        </w:rPr>
        <w:fldChar w:fldCharType="end"/>
      </w:r>
      <w:r w:rsidRPr="00662E51">
        <w:rPr>
          <w:szCs w:val="24"/>
        </w:rPr>
        <w:t xml:space="preserve"> claims, the 2011 uprising was deeply related to urban projects in the run up to the 2012 Olympics held in Stratford, London </w:t>
      </w:r>
      <w:r w:rsidRPr="00662E51">
        <w:rPr>
          <w:szCs w:val="24"/>
        </w:rPr>
        <w:fldChar w:fldCharType="begin"/>
      </w:r>
      <w:r w:rsidR="001B2CAA">
        <w:rPr>
          <w:szCs w:val="24"/>
        </w:rPr>
        <w:instrText xml:space="preserve"> ADDIN ZOTERO_ITEM CSL_CITATION {"citationID":"NS6j3ymT","properties":{"formattedCitation":"(see also Humphry 2020; Watt 2021b)","plainCitation":"(see also Humphry 2020; Watt 2021b)","noteIndex":0},"citationItems":[{"id":3642,"uris":["http://zotero.org/users/8977980/items/9QIYJHKP"],"itemData":{"id":3642,"type":"article-journal","abstract":"This paper provides an insight into social tenants’ lived experiences in post-Olympics East Village, exploring how they are shaped by new forms of neoliberalism embedded into housing provision. Focusing on allocations policy reform and housing providers’ management strategies in East Village, this paper identifies a shift from patterns of residualisation to individualization, as self-reliant tenants are sought above those most in housing need. The housing provider’s financial responsibilisation and contractual strategies work to construct tenants with enhanced consumer identities, which shift risks from landlord to tenants, at a time when housing providers themselves are facing increased financial risks. The paper considers to what extent social housing discourse is shifting from notions of need to concerns with affordability, and how this exacerbates inequalities between working-class fractions. It is argued that it is not sufficient to simply call for more social rented housing, as social housing providers’ allocation and management practices must also be closely examined.","container-title":"Housing, Theory and Society","DOI":"10.1080/14036096.2019.1633400","ISSN":"1403-6096","issue":"4","note":"_eprint: https://doi.org/10.1080/14036096.2019.1633400","page":"458-480","publisher":"Routledge","source":"Taylor and Francis+NEJM","title":"From Residualisation to Individualization? Social Tenants’ Experiences in Post-Olympics East Village","title-short":"From Residualisation to Individualization?","volume":"37","author":[{"family":"Humphry","given":"Debbie"}],"issued":{"date-parts":[["2020",8,7]]}},"prefix":"see also"},{"id":"n0Saldgp/r7qNchtf","uris":["http://zotero.org/users/8977980/items/BHKUJBH9"],"itemData":{"id":"49l3rcBd/voLJXLrO","type":"book","abstract":"Public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Pr="00662E51">
        <w:rPr>
          <w:szCs w:val="24"/>
        </w:rPr>
        <w:fldChar w:fldCharType="separate"/>
      </w:r>
      <w:r w:rsidRPr="00662E51">
        <w:t>(see also Humphry 2020; Watt 2021b)</w:t>
      </w:r>
      <w:r w:rsidRPr="00662E51">
        <w:rPr>
          <w:szCs w:val="24"/>
        </w:rPr>
        <w:fldChar w:fldCharType="end"/>
      </w:r>
      <w:r w:rsidRPr="00662E51">
        <w:rPr>
          <w:szCs w:val="24"/>
        </w:rPr>
        <w:t xml:space="preserve">. Though the siting and development of Olympic infrastructure was not a direct reply to the 2011 uprising (as it was already decided before 2011), the urban restructuring associated with it spawned new processes of securitisation and segregation throughout London </w:t>
      </w:r>
      <w:r w:rsidRPr="00662E51">
        <w:rPr>
          <w:szCs w:val="24"/>
        </w:rPr>
        <w:fldChar w:fldCharType="begin"/>
      </w:r>
      <w:r w:rsidRPr="00662E51">
        <w:rPr>
          <w:szCs w:val="24"/>
        </w:rPr>
        <w:instrText xml:space="preserve"> ADDIN ZOTERO_ITEM CSL_CITATION {"citationID":"TzA0KxWe","properties":{"formattedCitation":"(Boykoff and Fussey 2014)","plainCitation":"(Boykoff and Fussey 2014)","noteIndex":0},"citationItems":[{"id":6961,"uris":["http://zotero.org/users/8977980/items/UELUQWNU"],"itemData":{"id":6961,"type":"article-journal","abstract":"When London organisers bid on the 2012 Summer Olympics, they promised an array of legacies, from economic and environmental to cultural and sport-related. In bid materials, Lord Sebastian Coe and his colleagues put forth a four-pronged vision for the Games: providing an unforgettable experience for athletes; forging a British sport legacy; regenerating East London economically and socially; and championing the Olympic Movement and the International Olympic Committee. But the 2012 London Olympics tendered a legacy not touted in bid materials: a revamped security state and riled-up activist communities. This article examines the dialectics of restriction and resistance: the ever-present dance between security forces and activists as they jockey for position and advantage in the public sphere. Drawing from government documents, media accounts, ethnographies and interviews with activists and security practitioners, we analyse these dialectics as played out in London in the run-up to, during and after the Olympics. First, we analyse literatures on repressive and coercive state policies and on the dissent and activism they inspire, giving special attention to specific Olympic processes. We then consider the urban setting that not only stages the Games, but also animates specific tensions on which security agencies and activists converge. This discussion is developed in the following section where we consider the measures adopted by state and private security forces for the London Games and examine the activist response to the Olympic juggernaut and how campaigners were replying to – sometimes tacitly and at other times explicitly – the state's actions. The paper concludes by considering how security practices, activism and their interrelationships contribute towards a range of less-visible legacies.","container-title":"Contemporary Social Science","DOI":"10.1080/21582041.2013.838292","ISSN":"2158-2041","issue":"2","note":"_eprint: https://doi.org/10.1080/21582041.2013.838292","page":"253-270","publisher":"RSA Website","source":"Taylor and Francis+NEJM","title":"London's shadow legacies: security and activism at the 2012 Olympics","title-short":"London's shadow legacies","volume":"9","author":[{"family":"Boykoff","given":"Jules"},{"family":"Fussey","given":"Pete"}],"issued":{"date-parts":[["2014",4,3]]}}}],"schema":"https://github.com/citation-style-language/schema/raw/master/csl-citation.json"} </w:instrText>
      </w:r>
      <w:r w:rsidRPr="00662E51">
        <w:rPr>
          <w:szCs w:val="24"/>
        </w:rPr>
        <w:fldChar w:fldCharType="separate"/>
      </w:r>
      <w:r w:rsidRPr="00662E51">
        <w:rPr>
          <w:szCs w:val="24"/>
        </w:rPr>
        <w:t>(Boykoff and Fussey 2014)</w:t>
      </w:r>
      <w:r w:rsidRPr="00662E51">
        <w:rPr>
          <w:szCs w:val="24"/>
        </w:rPr>
        <w:fldChar w:fldCharType="end"/>
      </w:r>
      <w:r w:rsidRPr="00662E51">
        <w:rPr>
          <w:szCs w:val="24"/>
        </w:rPr>
        <w:t>. The response for Tottenham was large-scale urban regeneration. As described in Section 1.</w:t>
      </w:r>
      <w:r w:rsidR="00AD5E67">
        <w:rPr>
          <w:szCs w:val="24"/>
        </w:rPr>
        <w:t>4</w:t>
      </w:r>
      <w:r w:rsidRPr="00662E51">
        <w:rPr>
          <w:szCs w:val="24"/>
        </w:rPr>
        <w:t xml:space="preserve">.2., this would culminate in the Haringey Development Vehicle, one of the main cases of this thesis. </w:t>
      </w:r>
    </w:p>
    <w:p w14:paraId="6AE3AB21" w14:textId="77777777" w:rsidR="00527AFB" w:rsidRPr="00662E51" w:rsidRDefault="00527AFB" w:rsidP="00527AFB">
      <w:pPr>
        <w:spacing w:line="360" w:lineRule="auto"/>
        <w:ind w:left="0"/>
        <w:rPr>
          <w:szCs w:val="24"/>
        </w:rPr>
      </w:pPr>
    </w:p>
    <w:p w14:paraId="3B28EFA0" w14:textId="0DCD3DE4" w:rsidR="00527AFB" w:rsidRPr="00662E51" w:rsidRDefault="00527AFB" w:rsidP="00527AFB">
      <w:pPr>
        <w:pStyle w:val="Heading2"/>
      </w:pPr>
      <w:bookmarkStart w:id="50" w:name="_Toc216096140"/>
      <w:bookmarkStart w:id="51" w:name="_Toc221184300"/>
      <w:bookmarkStart w:id="52" w:name="_Toc231215223"/>
      <w:r w:rsidRPr="00662E51">
        <w:t>Case Studies</w:t>
      </w:r>
      <w:bookmarkEnd w:id="50"/>
      <w:bookmarkEnd w:id="51"/>
      <w:r w:rsidR="00836748">
        <w:t>:</w:t>
      </w:r>
      <w:bookmarkEnd w:id="52"/>
    </w:p>
    <w:p w14:paraId="2C7D907D" w14:textId="77777777" w:rsidR="00527AFB" w:rsidRPr="00662E51" w:rsidRDefault="00527AFB" w:rsidP="00527AFB">
      <w:pPr>
        <w:spacing w:line="360" w:lineRule="auto"/>
        <w:ind w:left="0"/>
        <w:rPr>
          <w:szCs w:val="24"/>
        </w:rPr>
      </w:pPr>
      <w:r w:rsidRPr="00662E51">
        <w:rPr>
          <w:szCs w:val="24"/>
        </w:rPr>
        <w:t>Here, I provide an overview of thesis’s case studies: the Broadwater Farm Youth Association, the Haringey Development Vehicle, and High Road West. The latter two are regeneration schemes while the first is a now defunct pressure group founded on the eponymous estate. This portion not only provides context and background for each, but also conceptually ties the three case studies together in the final subsection.</w:t>
      </w:r>
      <w:bookmarkStart w:id="53" w:name="_Broadwater_Farm"/>
      <w:bookmarkEnd w:id="53"/>
    </w:p>
    <w:p w14:paraId="681CCA33" w14:textId="4D61029B" w:rsidR="00527AFB" w:rsidRPr="00662E51" w:rsidRDefault="00527AFB" w:rsidP="00527AFB">
      <w:pPr>
        <w:spacing w:line="360" w:lineRule="auto"/>
        <w:ind w:left="0"/>
        <w:rPr>
          <w:szCs w:val="24"/>
        </w:rPr>
      </w:pPr>
    </w:p>
    <w:p w14:paraId="3385E89C" w14:textId="1DADCB61" w:rsidR="00527AFB" w:rsidRPr="00662E51" w:rsidRDefault="00527AFB" w:rsidP="00527AFB">
      <w:pPr>
        <w:pStyle w:val="Heading3"/>
      </w:pPr>
      <w:bookmarkStart w:id="54" w:name="_Toc221184301"/>
      <w:bookmarkStart w:id="55" w:name="_Toc231215224"/>
      <w:r w:rsidRPr="00662E51">
        <w:rPr>
          <w:rStyle w:val="Heading3Char"/>
          <w:i/>
          <w:iCs/>
        </w:rPr>
        <w:t>Broadwater</w:t>
      </w:r>
      <w:r w:rsidRPr="00662E51">
        <w:t xml:space="preserve"> Farm Estate and Youth Association</w:t>
      </w:r>
      <w:bookmarkEnd w:id="54"/>
      <w:r w:rsidR="00836748">
        <w:t>:</w:t>
      </w:r>
      <w:bookmarkEnd w:id="55"/>
    </w:p>
    <w:p w14:paraId="33397998" w14:textId="102756DE" w:rsidR="00527AFB" w:rsidRDefault="00527AFB" w:rsidP="00527AFB">
      <w:pPr>
        <w:spacing w:line="360" w:lineRule="auto"/>
        <w:ind w:left="0" w:firstLine="720"/>
        <w:rPr>
          <w:szCs w:val="24"/>
        </w:rPr>
      </w:pPr>
      <w:r w:rsidRPr="00662E51">
        <w:rPr>
          <w:szCs w:val="24"/>
        </w:rPr>
        <w:t xml:space="preserve">My first case study is the Broadwater Farm (BF) Estate, which was opened in 1973 after five years of construction. Built by Haringey Council, BF was part of an ongoing slum clearance programs and high targets for new council homes (up to 1,000 a year) that characterised the 1960s </w:t>
      </w:r>
      <w:r w:rsidRPr="00662E51">
        <w:rPr>
          <w:szCs w:val="24"/>
        </w:rPr>
        <w:fldChar w:fldCharType="begin"/>
      </w:r>
      <w:r w:rsidRPr="00662E51">
        <w:rPr>
          <w:szCs w:val="24"/>
        </w:rPr>
        <w:instrText xml:space="preserve"> ADDIN ZOTERO_ITEM CSL_CITATION {"citationID":"JacYA7bh","properties":{"formattedCitation":"(Yelling 2000)","plainCitation":"(Yelling 2000)","noteIndex":0},"citationItems":[{"id":6895,"uris":["http://zotero.org/users/8977980/items/JJEPZXD5"],"itemData":{"id":6895,"type":"article-journal","abstract":"The article begins by showing the differential impact of slum clearance on regions, conurbations and major cities through the three decades of the slum clearance campaign which began in 1955. It discusses the main methods of clearance procedure, the nature of compensation and the relation of clearance to ‘unfit’ housing. House condition surveys revealed an increasing mismatch between patterns of unfit housing and those of slum clearance and this began, it is argued, in the 1960s. Factors such as the development of property markets, and the rise of owner occupation, had differential economic and political effects which in turn reacted on the incidence of clearance.","container-title":"Urban History","DOI":"10.1017/S0963926800000249","ISSN":"1469-8706, 0963-9268","issue":"2","language":"en","page":"234-254","source":"Cambridge University Press","title":"The incidence of slum clearance in England and Wales, 1955–85","volume":"27","author":[{"family":"Yelling","given":"Jim"}],"issued":{"date-parts":[["2000",8]]}}}],"schema":"https://github.com/citation-style-language/schema/raw/master/csl-citation.json"} </w:instrText>
      </w:r>
      <w:r w:rsidRPr="00662E51">
        <w:rPr>
          <w:szCs w:val="24"/>
        </w:rPr>
        <w:fldChar w:fldCharType="separate"/>
      </w:r>
      <w:r w:rsidRPr="00662E51">
        <w:rPr>
          <w:szCs w:val="24"/>
        </w:rPr>
        <w:t>(Yelling 2000)</w:t>
      </w:r>
      <w:r w:rsidRPr="00662E51">
        <w:rPr>
          <w:szCs w:val="24"/>
        </w:rPr>
        <w:fldChar w:fldCharType="end"/>
      </w:r>
      <w:r w:rsidRPr="00662E51">
        <w:rPr>
          <w:szCs w:val="24"/>
        </w:rPr>
        <w:t xml:space="preserve">. Home to over 1,000 households and 3,000 people, BF’s brutalist architecture has been described as a “depressing,” bleak “concrete barracks” </w:t>
      </w:r>
      <w:r w:rsidRPr="00662E51">
        <w:rPr>
          <w:szCs w:val="24"/>
        </w:rPr>
        <w:fldChar w:fldCharType="begin"/>
      </w:r>
      <w:r w:rsidRPr="00662E51">
        <w:rPr>
          <w:szCs w:val="24"/>
        </w:rPr>
        <w:instrText xml:space="preserve"> ADDIN ZOTERO_ITEM CSL_CITATION {"citationID":"EIcRBdMC","properties":{"formattedCitation":"(Williams 1994, 10)","plainCitation":"(Williams 1994, 10)","noteIndex":0},"citationItems":[{"id":5315,"uris":["http://zotero.org/users/8977980/items/Q3WDKSWW"],"itemData":{"id":5315,"type":"book","abstract":"KEEPER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DREAM","author":[{"family":"Williams","given":"Paul"}],"accessed":{"date-parts":[["2023",10,12]]},"issued":{"date-parts":[["1994"]]}},"locator":"10"}],"schema":"https://github.com/citation-style-language/schema/raw/master/csl-citation.json"} </w:instrText>
      </w:r>
      <w:r w:rsidRPr="00662E51">
        <w:rPr>
          <w:szCs w:val="24"/>
        </w:rPr>
        <w:fldChar w:fldCharType="separate"/>
      </w:r>
      <w:r w:rsidRPr="00662E51">
        <w:rPr>
          <w:szCs w:val="24"/>
        </w:rPr>
        <w:t>(Williams 1994, 10)</w:t>
      </w:r>
      <w:r w:rsidRPr="00662E51">
        <w:rPr>
          <w:szCs w:val="24"/>
        </w:rPr>
        <w:fldChar w:fldCharType="end"/>
      </w:r>
      <w:r w:rsidRPr="00662E51">
        <w:rPr>
          <w:szCs w:val="24"/>
        </w:rPr>
        <w:t xml:space="preserve">. As seen in Figure 4, there are a few high-rises, some lower-rise blocks, and a ziggurat shaped building </w:t>
      </w:r>
      <w:r w:rsidRPr="00662E51">
        <w:rPr>
          <w:szCs w:val="24"/>
        </w:rPr>
        <w:lastRenderedPageBreak/>
        <w:t xml:space="preserve">called Tangmere (in black square). The estate was built on poorly drained, former allotments next to an area of brick, terraced homes that typify outer London (though the estate did include some terraced homes). As such, BF was built on stilts with raised decks for access to dwellings. The ground floors were reserved </w:t>
      </w:r>
      <w:r w:rsidR="00940552" w:rsidRPr="00662E51">
        <w:rPr>
          <w:noProof/>
          <w:szCs w:val="24"/>
        </w:rPr>
        <mc:AlternateContent>
          <mc:Choice Requires="wps">
            <w:drawing>
              <wp:anchor distT="0" distB="0" distL="114300" distR="114300" simplePos="0" relativeHeight="251665427" behindDoc="0" locked="0" layoutInCell="1" allowOverlap="1" wp14:anchorId="21541DE4" wp14:editId="0533E947">
                <wp:simplePos x="0" y="0"/>
                <wp:positionH relativeFrom="column">
                  <wp:posOffset>3256915</wp:posOffset>
                </wp:positionH>
                <wp:positionV relativeFrom="paragraph">
                  <wp:posOffset>1708785</wp:posOffset>
                </wp:positionV>
                <wp:extent cx="1646555" cy="977900"/>
                <wp:effectExtent l="19050" t="19050" r="29845" b="31750"/>
                <wp:wrapNone/>
                <wp:docPr id="251270426" name="Rectangle 4"/>
                <wp:cNvGraphicFramePr/>
                <a:graphic xmlns:a="http://schemas.openxmlformats.org/drawingml/2006/main">
                  <a:graphicData uri="http://schemas.microsoft.com/office/word/2010/wordprocessingShape">
                    <wps:wsp>
                      <wps:cNvSpPr/>
                      <wps:spPr>
                        <a:xfrm>
                          <a:off x="0" y="0"/>
                          <a:ext cx="1646555" cy="977900"/>
                        </a:xfrm>
                        <a:prstGeom prst="rect">
                          <a:avLst/>
                        </a:prstGeom>
                        <a:noFill/>
                        <a:ln w="508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376AEDF">
              <v:rect id="Rectangle 4" style="position:absolute;margin-left:256.45pt;margin-top:134.55pt;width:129.65pt;height:77pt;z-index:251665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4pt" w14:anchorId="172320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"/>
            </w:pict>
          </mc:Fallback>
        </mc:AlternateContent>
      </w:r>
      <w:r w:rsidR="00940552" w:rsidRPr="00662E51">
        <w:rPr>
          <w:noProof/>
          <w:szCs w:val="24"/>
        </w:rPr>
        <w:drawing>
          <wp:anchor distT="0" distB="0" distL="114300" distR="114300" simplePos="0" relativeHeight="251664403" behindDoc="1" locked="0" layoutInCell="1" allowOverlap="1" wp14:anchorId="304CDA43" wp14:editId="5D43983B">
            <wp:simplePos x="0" y="0"/>
            <wp:positionH relativeFrom="column">
              <wp:posOffset>180340</wp:posOffset>
            </wp:positionH>
            <wp:positionV relativeFrom="paragraph">
              <wp:posOffset>0</wp:posOffset>
            </wp:positionV>
            <wp:extent cx="5285740" cy="3972560"/>
            <wp:effectExtent l="0" t="0" r="0" b="8890"/>
            <wp:wrapTight wrapText="bothSides">
              <wp:wrapPolygon edited="0">
                <wp:start x="0" y="311"/>
                <wp:lineTo x="0" y="21545"/>
                <wp:lineTo x="21486" y="21545"/>
                <wp:lineTo x="21486" y="311"/>
                <wp:lineTo x="0" y="311"/>
              </wp:wrapPolygon>
            </wp:wrapTight>
            <wp:docPr id="941658977" name="Picture 3" descr="A large group of buildings in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58977" name="Picture 3" descr="A large group of buildings in a city&#10;&#10;AI-generated content may be incorrect."/>
                    <pic:cNvPicPr>
                      <a:picLocks noChangeAspect="1" noChangeArrowheads="1"/>
                    </pic:cNvPicPr>
                  </pic:nvPicPr>
                  <pic:blipFill rotWithShape="1">
                    <a:blip r:embed="rId11">
                      <a:extLst>
                        <a:ext uri="{28A0092B-C50C-407E-A947-70E740481C1C}">
                          <a14:useLocalDpi xmlns:a14="http://schemas.microsoft.com/office/drawing/2010/main" val="0"/>
                        </a:ext>
                      </a:extLst>
                    </a:blip>
                    <a:srcRect l="3786" t="-2081" r="9507" b="10811"/>
                    <a:stretch>
                      <a:fillRect/>
                    </a:stretch>
                  </pic:blipFill>
                  <pic:spPr bwMode="auto">
                    <a:xfrm>
                      <a:off x="0" y="0"/>
                      <a:ext cx="5285740" cy="3972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2E51">
        <w:rPr>
          <w:szCs w:val="24"/>
        </w:rPr>
        <w:t xml:space="preserve">for parking. Initially, blocks were connected to each other with walkways, though these will be later removed after the 1985 uprising as detailed in Chapter 5. The estate’s stark design (Figure 5) discursively and metaphorically positioned it as Other from its surroundings. Severs </w:t>
      </w:r>
      <w:r w:rsidRPr="00662E51">
        <w:rPr>
          <w:szCs w:val="24"/>
        </w:rPr>
        <w:fldChar w:fldCharType="begin"/>
      </w:r>
      <w:r w:rsidRPr="00662E51">
        <w:rPr>
          <w:szCs w:val="24"/>
        </w:rPr>
        <w:instrText xml:space="preserve"> ADDIN ZOTERO_ITEM CSL_CITATION {"citationID":"bZn2s0qi","properties":{"formattedCitation":"(2010)","plainCitation":"(2010)","noteIndex":0},"citationItems":[{"id":3021,"uris":["http://zotero.org/users/8977980/items/UW5RG3EA"],"itemData":{"id":3021,"type":"article-journal","container-title":"The Journal of Architecture","DOI":"10.1080/13602365.2010.507526","ISSN":"1360-2365, 1466-4410","issue":"4","journalAbbreviation":"The Journal of Architecture","language":"en","page":"449-497","source":"DOI.org (Crossref)","title":"Rookeries and no-go estates: St. Giles and Broadwater Farm, &lt;i&gt;or&lt;/i&gt; middle-class fear of ‘non-street’ housing","title-short":"Rookeries and no-go estates","volume":"15","author":[{"family":"Severs","given":"Dominic"}],"issued":{"date-parts":[["2010",8]]}},"suppress-author":true}],"schema":"https://github.com/citation-style-language/schema/raw/master/csl-citation.json"} </w:instrText>
      </w:r>
      <w:r w:rsidRPr="00662E51">
        <w:rPr>
          <w:szCs w:val="24"/>
        </w:rPr>
        <w:fldChar w:fldCharType="separate"/>
      </w:r>
      <w:r w:rsidRPr="00662E51">
        <w:rPr>
          <w:szCs w:val="24"/>
        </w:rPr>
        <w:t>(2010)</w:t>
      </w:r>
      <w:r w:rsidRPr="00662E51">
        <w:rPr>
          <w:szCs w:val="24"/>
        </w:rPr>
        <w:fldChar w:fldCharType="end"/>
      </w:r>
      <w:r w:rsidRPr="00662E51">
        <w:rPr>
          <w:szCs w:val="24"/>
        </w:rPr>
        <w:t xml:space="preserve"> writes, not only was the estate behind a </w:t>
      </w:r>
      <w:r w:rsidRPr="00662E51">
        <w:rPr>
          <w:i/>
          <w:iCs/>
          <w:szCs w:val="24"/>
        </w:rPr>
        <w:t xml:space="preserve">cordon sanitaire </w:t>
      </w:r>
      <w:r w:rsidRPr="00662E51">
        <w:rPr>
          <w:szCs w:val="24"/>
        </w:rPr>
        <w:t xml:space="preserve">of turf, but also its closed nature distanced it from the </w:t>
      </w:r>
      <w:r w:rsidR="00CB33AB" w:rsidRPr="00662E51">
        <w:rPr>
          <w:noProof/>
        </w:rPr>
        <mc:AlternateContent>
          <mc:Choice Requires="wps">
            <w:drawing>
              <wp:anchor distT="0" distB="0" distL="114300" distR="114300" simplePos="0" relativeHeight="251666451" behindDoc="1" locked="0" layoutInCell="1" allowOverlap="1" wp14:anchorId="5816A68A" wp14:editId="3388F41A">
                <wp:simplePos x="0" y="0"/>
                <wp:positionH relativeFrom="column">
                  <wp:posOffset>182880</wp:posOffset>
                </wp:positionH>
                <wp:positionV relativeFrom="paragraph">
                  <wp:posOffset>4044315</wp:posOffset>
                </wp:positionV>
                <wp:extent cx="5285105" cy="400685"/>
                <wp:effectExtent l="0" t="0" r="0" b="0"/>
                <wp:wrapTight wrapText="bothSides">
                  <wp:wrapPolygon edited="0">
                    <wp:start x="0" y="0"/>
                    <wp:lineTo x="0" y="20539"/>
                    <wp:lineTo x="21488" y="20539"/>
                    <wp:lineTo x="21488" y="0"/>
                    <wp:lineTo x="0" y="0"/>
                  </wp:wrapPolygon>
                </wp:wrapTight>
                <wp:docPr id="1860867471" name="Text Box 1"/>
                <wp:cNvGraphicFramePr/>
                <a:graphic xmlns:a="http://schemas.openxmlformats.org/drawingml/2006/main">
                  <a:graphicData uri="http://schemas.microsoft.com/office/word/2010/wordprocessingShape">
                    <wps:wsp>
                      <wps:cNvSpPr txBox="1"/>
                      <wps:spPr>
                        <a:xfrm>
                          <a:off x="0" y="0"/>
                          <a:ext cx="5285105" cy="400685"/>
                        </a:xfrm>
                        <a:prstGeom prst="rect">
                          <a:avLst/>
                        </a:prstGeom>
                        <a:solidFill>
                          <a:prstClr val="white"/>
                        </a:solidFill>
                        <a:ln>
                          <a:noFill/>
                        </a:ln>
                      </wps:spPr>
                      <wps:txbx>
                        <w:txbxContent>
                          <w:p w14:paraId="3424801F" w14:textId="69547818" w:rsidR="00527AFB" w:rsidRPr="00662E51" w:rsidRDefault="00527AFB" w:rsidP="00140CC3">
                            <w:pPr>
                              <w:pStyle w:val="Caption"/>
                            </w:pPr>
                            <w:bookmarkStart w:id="56" w:name="_Toc216875896"/>
                            <w:r w:rsidRPr="00662E51">
                              <w:t xml:space="preserve">Figure </w:t>
                            </w:r>
                            <w:r>
                              <w:fldChar w:fldCharType="begin"/>
                            </w:r>
                            <w:r>
                              <w:instrText>SEQ Figure \* ARABIC</w:instrText>
                            </w:r>
                            <w:r>
                              <w:fldChar w:fldCharType="separate"/>
                            </w:r>
                            <w:r w:rsidRPr="00662E51">
                              <w:t>4</w:t>
                            </w:r>
                            <w:r>
                              <w:fldChar w:fldCharType="end"/>
                            </w:r>
                            <w:r w:rsidRPr="00662E51">
                              <w:t xml:space="preserve"> - Broadwater Farm Estate (Karakusevic Carson Architects, 2019). Tangmere block in black.</w:t>
                            </w:r>
                          </w:p>
                          <w:p w14:paraId="7753FFC6" w14:textId="77777777" w:rsidR="00527AFB" w:rsidRDefault="00527AFB"/>
                          <w:p w14:paraId="129C9151" w14:textId="6C8838F3" w:rsidR="00527AFB" w:rsidRPr="00662E51" w:rsidRDefault="00527AFB" w:rsidP="00140CC3">
                            <w:pPr>
                              <w:pStyle w:val="Caption"/>
                            </w:pPr>
                            <w:r w:rsidRPr="00662E51">
                              <w:t xml:space="preserve">Figure </w:t>
                            </w:r>
                            <w:r>
                              <w:fldChar w:fldCharType="begin"/>
                            </w:r>
                            <w:r>
                              <w:instrText>SEQ Figure \* ARABIC</w:instrText>
                            </w:r>
                            <w:r>
                              <w:fldChar w:fldCharType="separate"/>
                            </w:r>
                            <w:r w:rsidRPr="00662E51">
                              <w:t>5</w:t>
                            </w:r>
                            <w:r>
                              <w:fldChar w:fldCharType="end"/>
                            </w:r>
                            <w:r w:rsidRPr="00662E51">
                              <w:t xml:space="preserve"> - Broadwater Farm Estate, taken by author. The estate is in the background while a typical, brick terraced home is in foreground on right.Figure </w:t>
                            </w:r>
                            <w:r>
                              <w:fldChar w:fldCharType="begin"/>
                            </w:r>
                            <w:r>
                              <w:instrText>SEQ Figure \* ARABIC</w:instrText>
                            </w:r>
                            <w:r>
                              <w:fldChar w:fldCharType="separate"/>
                            </w:r>
                            <w:r w:rsidRPr="00662E51">
                              <w:t>4</w:t>
                            </w:r>
                            <w:r>
                              <w:fldChar w:fldCharType="end"/>
                            </w:r>
                            <w:r w:rsidRPr="00662E51">
                              <w:t xml:space="preserve"> - Broadwater Farm Estate (Karakusevic Carson Architects, 2019). Tangmere block in black.</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6A68A" id="_x0000_s1028" type="#_x0000_t202" style="position:absolute;left:0;text-align:left;margin-left:14.4pt;margin-top:318.45pt;width:416.15pt;height:31.55pt;z-index:-2516500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" stroked="f">
                <v:textbox inset="0,0,0,0">
                  <w:txbxContent>
                    <w:p w14:paraId="3424801F" w14:textId="69547818" w:rsidR="00527AFB" w:rsidRPr="00662E51" w:rsidRDefault="00527AFB" w:rsidP="00140CC3">
                      <w:pPr>
                        <w:pStyle w:val="Caption"/>
                      </w:pPr>
                      <w:bookmarkStart w:id="57" w:name="_Toc216875896"/>
                      <w:r w:rsidRPr="00662E51">
                        <w:t xml:space="preserve">Figure </w:t>
                      </w:r>
                      <w:r>
                        <w:fldChar w:fldCharType="begin"/>
                      </w:r>
                      <w:r>
                        <w:instrText>SEQ Figure \* ARABIC</w:instrText>
                      </w:r>
                      <w:r>
                        <w:fldChar w:fldCharType="separate"/>
                      </w:r>
                      <w:r w:rsidRPr="00662E51">
                        <w:t>4</w:t>
                      </w:r>
                      <w:r>
                        <w:fldChar w:fldCharType="end"/>
                      </w:r>
                      <w:r w:rsidRPr="00662E51">
                        <w:t xml:space="preserve"> - Broadwater Farm Estate (Karakusevic Carson Architects, 2019). Tangmere block in black.</w:t>
                      </w:r>
                    </w:p>
                    <w:p w14:paraId="7753FFC6" w14:textId="77777777" w:rsidR="00527AFB" w:rsidRDefault="00527AFB"/>
                    <w:p w14:paraId="129C9151" w14:textId="6C8838F3" w:rsidR="00527AFB" w:rsidRPr="00662E51" w:rsidRDefault="00527AFB" w:rsidP="00140CC3">
                      <w:pPr>
                        <w:pStyle w:val="Caption"/>
                      </w:pPr>
                      <w:r w:rsidRPr="00662E51">
                        <w:t xml:space="preserve">Figure </w:t>
                      </w:r>
                      <w:r>
                        <w:fldChar w:fldCharType="begin"/>
                      </w:r>
                      <w:r>
                        <w:instrText>SEQ Figure \* ARABIC</w:instrText>
                      </w:r>
                      <w:r>
                        <w:fldChar w:fldCharType="separate"/>
                      </w:r>
                      <w:r w:rsidRPr="00662E51">
                        <w:t>5</w:t>
                      </w:r>
                      <w:r>
                        <w:fldChar w:fldCharType="end"/>
                      </w:r>
                      <w:r w:rsidRPr="00662E51">
                        <w:t xml:space="preserve"> - Broadwater Farm Estate, taken by author. The estate is in the background while a typical, brick terraced home is in foreground on right.Figure </w:t>
                      </w:r>
                      <w:r>
                        <w:fldChar w:fldCharType="begin"/>
                      </w:r>
                      <w:r>
                        <w:instrText>SEQ Figure \* ARABIC</w:instrText>
                      </w:r>
                      <w:r>
                        <w:fldChar w:fldCharType="separate"/>
                      </w:r>
                      <w:r w:rsidRPr="00662E51">
                        <w:t>4</w:t>
                      </w:r>
                      <w:r>
                        <w:fldChar w:fldCharType="end"/>
                      </w:r>
                      <w:r w:rsidRPr="00662E51">
                        <w:t xml:space="preserve"> - Broadwater Farm Estate (Karakusevic Carson Architects, 2019). Tangmere block in black.</w:t>
                      </w:r>
                      <w:bookmarkEnd w:id="57"/>
                    </w:p>
                  </w:txbxContent>
                </v:textbox>
                <w10:wrap type="tight"/>
              </v:shape>
            </w:pict>
          </mc:Fallback>
        </mc:AlternateContent>
      </w:r>
      <w:r w:rsidRPr="00662E51">
        <w:rPr>
          <w:szCs w:val="24"/>
        </w:rPr>
        <w:t xml:space="preserve">surrounding homes. The estate saw significant problems very soon after it opened: initial construction was poor, and leaks and pests were common. Common too was a fear of crime, considering the ground floors were often poorly lit. The estate was also cut off from the wider community, with no shops and minimal, infrequent bus services </w:t>
      </w:r>
      <w:r w:rsidRPr="00662E51">
        <w:rPr>
          <w:szCs w:val="24"/>
        </w:rPr>
        <w:fldChar w:fldCharType="begin"/>
      </w:r>
      <w:r w:rsidRPr="00662E51">
        <w:rPr>
          <w:szCs w:val="24"/>
        </w:rPr>
        <w:instrText xml:space="preserve"> ADDIN ZOTERO_ITEM CSL_CITATION {"citationID":"7lfKVt3R","properties":{"formattedCitation":"(Gifford 1986)","plainCitation":"(Gifford 1986)","noteIndex":0},"citationItems":[{"id":5214,"uris":["http://zotero.org/users/8977980/items/QT5S27DM"],"itemData":{"id":5214,"type":"book","edition":"First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Tottenham","URL":"https://berniegrantarchive.org.uk/bg-303-623-bro/","author":[{"family":"Gifford","given":"Lord"}],"issued":{"date-parts":[["1986",1,1]]}}}],"schema":"https://github.com/citation-style-language/schema/raw/master/csl-citation.json"} </w:instrText>
      </w:r>
      <w:r w:rsidRPr="00662E51">
        <w:rPr>
          <w:szCs w:val="24"/>
        </w:rPr>
        <w:fldChar w:fldCharType="separate"/>
      </w:r>
      <w:r w:rsidRPr="00662E51">
        <w:rPr>
          <w:szCs w:val="24"/>
        </w:rPr>
        <w:t>(Gifford 1986)</w:t>
      </w:r>
      <w:r w:rsidRPr="00662E51">
        <w:rPr>
          <w:szCs w:val="24"/>
        </w:rPr>
        <w:fldChar w:fldCharType="end"/>
      </w:r>
      <w:r w:rsidRPr="00662E51">
        <w:rPr>
          <w:szCs w:val="24"/>
        </w:rPr>
        <w:t xml:space="preserve">. Due its quickly established reputation as an undesirable place to live, residents offered a place to live on BF began turning it down, with </w:t>
      </w:r>
      <w:r w:rsidRPr="00662E51">
        <w:rPr>
          <w:szCs w:val="24"/>
        </w:rPr>
        <w:lastRenderedPageBreak/>
        <w:t xml:space="preserve">more than half declining to move to the estate in 1976 </w:t>
      </w:r>
      <w:r w:rsidRPr="00662E51">
        <w:rPr>
          <w:szCs w:val="24"/>
        </w:rPr>
        <w:fldChar w:fldCharType="begin"/>
      </w:r>
      <w:r w:rsidRPr="00662E51">
        <w:rPr>
          <w:szCs w:val="24"/>
        </w:rPr>
        <w:instrText xml:space="preserve"> ADDIN ZOTERO_ITEM CSL_CITATION {"citationID":"mhxODyXr","properties":{"formattedCitation":"(Severs 2010)","plainCitation":"(Severs 2010)","noteIndex":0},"citationItems":[{"id":3021,"uris":["http://zotero.org/users/8977980/items/UW5RG3EA"],"itemData":{"id":3021,"type":"article-journal","container-title":"The Journal of Architecture","DOI":"10.1080/13602365.2010.507526","ISSN":"1360-2365, 1466-4410","issue":"4","journalAbbreviation":"The Journal of Architecture","language":"en","page":"449-497","source":"DOI.org (Crossref)","title":"Rookeries and no-go estates: St. Giles and Broadwater Farm, &lt;i&gt;or&lt;/i&gt; middle-class fear of ‘non-street’ housing","title-short":"Rookeries and no-go estates","volume":"15","author":[{"family":"Severs","given":"Dominic"}],"issued":{"date-parts":[["2010",8]]}}}],"schema":"https://github.com/citation-style-language/schema/raw/master/csl-citation.json"} </w:instrText>
      </w:r>
      <w:r w:rsidRPr="00662E51">
        <w:rPr>
          <w:szCs w:val="24"/>
        </w:rPr>
        <w:fldChar w:fldCharType="separate"/>
      </w:r>
      <w:r w:rsidRPr="00662E51">
        <w:rPr>
          <w:szCs w:val="24"/>
        </w:rPr>
        <w:t>(Severs 2010)</w:t>
      </w:r>
      <w:r w:rsidRPr="00662E51">
        <w:rPr>
          <w:szCs w:val="24"/>
        </w:rPr>
        <w:fldChar w:fldCharType="end"/>
      </w:r>
      <w:r w:rsidRPr="00662E51">
        <w:rPr>
          <w:szCs w:val="24"/>
        </w:rPr>
        <w:t xml:space="preserve">. The Council subsequently moved many formerly homeless and unwaged families to BWF (up to 75 percent of new lettings in 1975) through the 1970s, most of whom were from minoritised ethnicities and/or were recent migrants to the UK. White residents became increasingly hostile to minoritised ethnic inhabitants as more were ‘warehoused’ there </w:t>
      </w:r>
      <w:r w:rsidRPr="00662E51">
        <w:rPr>
          <w:szCs w:val="24"/>
        </w:rPr>
        <w:fldChar w:fldCharType="begin"/>
      </w:r>
      <w:r w:rsidRPr="00662E51">
        <w:rPr>
          <w:szCs w:val="24"/>
        </w:rPr>
        <w:instrText xml:space="preserve"> ADDIN ZOTERO_ITEM CSL_CITATION {"citationID":"Q9ZfhmBR","properties":{"formattedCitation":"(Dillon and Fanning 2011, 43)","plainCitation":"(Dillon and Fanning 2011, 43)","noteIndex":0},"citationItems":[{"id":254,"uris":["http://zotero.org/users/8977980/items/4A2LKAH2"],"itemData":{"id":254,"type":"book","collection-title":"Urban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locator":"43"}],"schema":"https://github.com/citation-style-language/schema/raw/master/csl-citation.json"} </w:instrText>
      </w:r>
      <w:r w:rsidRPr="00662E51">
        <w:rPr>
          <w:szCs w:val="24"/>
        </w:rPr>
        <w:fldChar w:fldCharType="separate"/>
      </w:r>
      <w:r w:rsidRPr="00662E51">
        <w:rPr>
          <w:szCs w:val="24"/>
        </w:rPr>
        <w:t>(Dillon and Fanning 2011, 43)</w:t>
      </w:r>
      <w:r w:rsidRPr="00662E51">
        <w:rPr>
          <w:szCs w:val="24"/>
        </w:rPr>
        <w:fldChar w:fldCharType="end"/>
      </w:r>
      <w:r w:rsidRPr="00662E51">
        <w:rPr>
          <w:szCs w:val="24"/>
        </w:rPr>
        <w:t xml:space="preserve">. The estate subsequently became racialised and stigmatised, even though longstanding white tenants controlled the Tenants’ Association </w:t>
      </w:r>
      <w:r w:rsidRPr="00662E51">
        <w:rPr>
          <w:szCs w:val="24"/>
        </w:rPr>
        <w:fldChar w:fldCharType="begin"/>
      </w:r>
      <w:r w:rsidR="001B2CAA">
        <w:rPr>
          <w:szCs w:val="24"/>
        </w:rPr>
        <w:instrText xml:space="preserve"> ADDIN ZOTERO_ITEM CSL_CITATION {"citationID":"zFizBRC0","properties":{"formattedCitation":"(Levidow 1987; Slater 2018b; Wacquant et al. 2014)","plainCitation":"(Levidow 1987; Slater 2018b; Wacquant et al. 2014)","noteIndex":0},"citationItems":[{"id":5216,"uris":["http://zotero.org/users/8977980/items/D64KFDTJ"],"itemData":{"id":5216,"type":"article-journal","container-title":"Race &amp; Class","DOI":"10.1177/030639688702900106","ISSN":"0306-3968","issue":"1","language":"en","page":"77-85","publisher":"SAGE Publications Ltd","source":"SAGE Journals","title":"Broadwater Farm: a 'criminal estate'? An interview with Dolly Kiffin","title-short":"Broadwater Farm","volume":"29","author":[{"family":"Levidow","given":"Les"}],"issued":{"date-parts":[["1987",7,1]]}}},{"id":"n0Saldgp/lTrFgxr9","uris":["http://zotero.org/users/8977980/items/G54SJBAX"],"itemData":{"id":"N4Cl3uMw/gEtXOiRv","type":"article-journal","abstract":"This article explores the history and traces the realisation of a category that was invented by journalists, amplified by free market think tanks and converted into policy doxa (common sense) by politicians in the United Kingdom: the ‘sink estate’. This derogatory designator, signifying social housing estates that supposedly create poverty, family breakdown, worklessness, welfare dependency, antisocial behaviour and personal irresponsibility, has become the symbolic frame justifying current policies towards social housing that have resulted in considerable social suffering and intensified dislocation. The article deploys a conceptual articulation of agnotology (the intentional production of ignorance) with Bourdieu’s theory of symbolic power to understand the institutional arrangements and cognitive systems structuring deeply unequal social relations. Specifically, the highly influential publications on housing by a free market think tank, Policy Exchange, are dissected in order to demonstrate how the activation of territorial stigma has become an instrument of urban politics. The ‘sink estate’, it is argued, is the semantic battering ram in the ideological assault on social housing, deflecting attention away from social housing not only as urgent necessity during a serious crisis of affordability, but as incubator of community, solidarity, shelter and home.","container-title":"The Sociological Review","DOI":"10.1177/0038026118777451","ISSN":"0038-0261","issue":"4","journalAbbreviation":"The Sociological Review","language":"en","note":"publisher: SAGE Publications Ltd","page":"877-897","source":"SAGE Journals","title":"The invention of the ‘sink estate’: Consequential categorisation and the UK housing crisis","title-short":"The invention of the ‘sink estate’","volume":"66","author":[{"family":"Slater","given":"Tom"}],"issued":{"date-parts":[["2018",7,1]]}}},{"id":4557,"uris":["http://zotero.org/users/8977980/items/QNSJUP9M"],"itemData":{"id":4557,"type":"article-journal","abstract":"This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Borges"}],"issued":{"date-parts":[["2014",6,1]]}}}],"schema":"https://github.com/citation-style-language/schema/raw/master/csl-citation.json"} </w:instrText>
      </w:r>
      <w:r w:rsidRPr="00662E51">
        <w:rPr>
          <w:szCs w:val="24"/>
        </w:rPr>
        <w:fldChar w:fldCharType="separate"/>
      </w:r>
      <w:r w:rsidRPr="00662E51">
        <w:t>(Levidow 1987; Slater 2018b; Wacquant et al. 2014)</w:t>
      </w:r>
      <w:r w:rsidRPr="00662E51">
        <w:rPr>
          <w:szCs w:val="24"/>
        </w:rPr>
        <w:fldChar w:fldCharType="end"/>
      </w:r>
      <w:r w:rsidRPr="00662E51">
        <w:rPr>
          <w:szCs w:val="24"/>
        </w:rPr>
        <w:t>. Severs</w:t>
      </w:r>
      <w:r w:rsidR="005A1207">
        <w:rPr>
          <w:szCs w:val="24"/>
        </w:rPr>
        <w:t xml:space="preserve">, </w:t>
      </w:r>
      <w:r w:rsidRPr="00662E51">
        <w:rPr>
          <w:szCs w:val="24"/>
        </w:rPr>
        <w:t>describing a report on the estate’s conditions and population from 1973, states that it combines</w:t>
      </w:r>
    </w:p>
    <w:p w14:paraId="42BA3905" w14:textId="77777777" w:rsidR="00663B67" w:rsidRPr="00662E51" w:rsidRDefault="00663B67" w:rsidP="006B6C07">
      <w:pPr>
        <w:ind w:left="0" w:firstLine="720"/>
        <w:rPr>
          <w:szCs w:val="24"/>
        </w:rPr>
      </w:pPr>
    </w:p>
    <w:p w14:paraId="3EFA9CA7" w14:textId="23C3B734" w:rsidR="00527AFB" w:rsidRDefault="00527AFB" w:rsidP="006B6C07">
      <w:pPr>
        <w:ind w:left="720"/>
        <w:rPr>
          <w:szCs w:val="24"/>
        </w:rPr>
      </w:pPr>
      <w:r w:rsidRPr="00662E51">
        <w:rPr>
          <w:szCs w:val="24"/>
        </w:rPr>
        <w:t>matters of morality (unmarried mothers), crime (gangs, assaults, etc.), dangers to the ‘respectable’ (the elderly), and the evil inﬂuence on the young, and associating all of these with a building/spatial form (high rise). It adds to this the novelty of racism…</w:t>
      </w:r>
      <w:r w:rsidR="005A1207">
        <w:rPr>
          <w:szCs w:val="24"/>
        </w:rPr>
        <w:t xml:space="preserve"> </w:t>
      </w:r>
      <w:r w:rsidR="005A1207" w:rsidRPr="00662E51">
        <w:rPr>
          <w:szCs w:val="24"/>
        </w:rPr>
        <w:fldChar w:fldCharType="begin"/>
      </w:r>
      <w:r w:rsidR="00213B80">
        <w:rPr>
          <w:szCs w:val="24"/>
        </w:rPr>
        <w:instrText xml:space="preserve"> ADDIN ZOTERO_ITEM CSL_CITATION {"citationID":"LfnwslP8","properties":{"formattedCitation":"(Severs 2010, 479)","plainCitation":"(Severs 2010, 479)","noteIndex":0},"citationItems":[{"id":3021,"uris":["http://zotero.org/users/8977980/items/UW5RG3EA"],"itemData":{"id":3021,"type":"article-journal","container-title":"The Journal of Architecture","DOI":"10.1080/13602365.2010.507526","ISSN":"1360-2365, 1466-4410","issue":"4","journalAbbreviation":"The Journal of Architecture","language":"en","page":"449-497","source":"DOI.org (Crossref)","title":"Rookeries and no-go estates: St. Giles and Broadwater Farm, &lt;i&gt;or&lt;/i&gt; middle-class fear of ‘non-street’ housing","title-short":"Rookeries and no-go estates","volume":"15","author":[{"family":"Severs","given":"Dominic"}],"issued":{"date-parts":[["2010",8]]}},"locator":"479","label":"page"}],"schema":"https://github.com/citation-style-language/schema/raw/master/csl-citation.json"} </w:instrText>
      </w:r>
      <w:r w:rsidR="005A1207" w:rsidRPr="00662E51">
        <w:rPr>
          <w:szCs w:val="24"/>
        </w:rPr>
        <w:fldChar w:fldCharType="separate"/>
      </w:r>
      <w:r w:rsidR="00213B80" w:rsidRPr="00213B80">
        <w:t>(Severs 2010, 479)</w:t>
      </w:r>
      <w:r w:rsidR="005A1207" w:rsidRPr="00662E51">
        <w:rPr>
          <w:szCs w:val="24"/>
        </w:rPr>
        <w:fldChar w:fldCharType="end"/>
      </w:r>
      <w:r w:rsidR="005A1207">
        <w:rPr>
          <w:szCs w:val="24"/>
        </w:rPr>
        <w:t>.</w:t>
      </w:r>
    </w:p>
    <w:p w14:paraId="03582A11" w14:textId="77777777" w:rsidR="00663B67" w:rsidRPr="00662E51" w:rsidRDefault="00663B67" w:rsidP="006B6C07">
      <w:pPr>
        <w:ind w:left="720"/>
        <w:rPr>
          <w:szCs w:val="24"/>
        </w:rPr>
      </w:pPr>
    </w:p>
    <w:p w14:paraId="2F5883BE" w14:textId="2F2A723C" w:rsidR="00527AFB" w:rsidRPr="00662E51" w:rsidRDefault="00EE71E9" w:rsidP="00527AFB">
      <w:pPr>
        <w:spacing w:line="360" w:lineRule="auto"/>
        <w:ind w:left="0"/>
        <w:rPr>
          <w:szCs w:val="24"/>
        </w:rPr>
      </w:pPr>
      <w:r w:rsidRPr="00662E51">
        <w:rPr>
          <w:noProof/>
          <w:szCs w:val="24"/>
        </w:rPr>
        <w:lastRenderedPageBreak/>
        <w:drawing>
          <wp:anchor distT="114935" distB="114935" distL="114300" distR="114300" simplePos="0" relativeHeight="251660307" behindDoc="0" locked="0" layoutInCell="1" allowOverlap="1" wp14:anchorId="27CAB148" wp14:editId="0FEE6772">
            <wp:simplePos x="0" y="0"/>
            <wp:positionH relativeFrom="column">
              <wp:posOffset>5715</wp:posOffset>
            </wp:positionH>
            <wp:positionV relativeFrom="paragraph">
              <wp:posOffset>1362661</wp:posOffset>
            </wp:positionV>
            <wp:extent cx="3822700" cy="5215890"/>
            <wp:effectExtent l="0" t="0" r="6350" b="3810"/>
            <wp:wrapSquare wrapText="bothSides"/>
            <wp:docPr id="498836725" name="Picture 2" descr="A street with building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36725" name="Picture 2" descr="A street with buildings in the background&#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22700" cy="5215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7AFB" w:rsidRPr="00662E51">
        <w:rPr>
          <w:szCs w:val="24"/>
        </w:rPr>
        <w:t xml:space="preserve">As this excerpt reveals, social ills are both moralised and implied to be the fault of the built environment </w:t>
      </w:r>
      <w:r w:rsidR="00527AFB" w:rsidRPr="00662E51">
        <w:rPr>
          <w:szCs w:val="24"/>
        </w:rPr>
        <w:fldChar w:fldCharType="begin"/>
      </w:r>
      <w:r w:rsidR="00213B80">
        <w:rPr>
          <w:szCs w:val="24"/>
        </w:rPr>
        <w:instrText xml:space="preserve"> ADDIN ZOTERO_ITEM CSL_CITATION {"citationID":"qkCSSOHJ","properties":{"formattedCitation":"(C. Johnston and Mooney 2007)","plainCitation":"(C. Johnston and Mooney 2007)","noteIndex":0},"citationItems":[{"id":4027,"uris":["http://zotero.org/users/8977980/items/8HIRKD7J"],"itemData":{"id":4027,"type":"chapter","container-title":"Securing an Urban Renaissance","ISBN":"978-1-84742-247-7","publisher":"Policy Press","publisher-place":"Bristol, UNITED KINGDOM","source":"ProQuest Ebook Central","title":"‘Problem’ people, ‘problem’ places? New Labour and council estates","URL":"http://ebookcentral.proquest.com/lib/durham/detail.action?docID=419289","editor":[{"family":"Atkinson","given":"Rowland"},{"family":"Helms","given":"Gesma"}],"author":[{"family":"Johnston","given":"Charlie"},{"family":"Mooney","given":"Gerry"}],"accessed":{"date-parts":[["2023",3,15]]},"issued":{"date-parts":[["2007"]]}}}],"schema":"https://github.com/citation-style-language/schema/raw/master/csl-citation.json"} </w:instrText>
      </w:r>
      <w:r w:rsidR="00527AFB" w:rsidRPr="00662E51">
        <w:rPr>
          <w:szCs w:val="24"/>
        </w:rPr>
        <w:fldChar w:fldCharType="separate"/>
      </w:r>
      <w:r w:rsidR="00213B80" w:rsidRPr="00213B80">
        <w:t>(C. Johnston and Mooney 2007)</w:t>
      </w:r>
      <w:r w:rsidR="00527AFB" w:rsidRPr="00662E51">
        <w:rPr>
          <w:szCs w:val="24"/>
        </w:rPr>
        <w:fldChar w:fldCharType="end"/>
      </w:r>
      <w:r w:rsidR="00527AFB" w:rsidRPr="00662E51">
        <w:rPr>
          <w:szCs w:val="24"/>
        </w:rPr>
        <w:t>. It is in this milieu of institutional neglect, racism, stigmatisation that the 1985 uprising erupted. Residents contested the oppressive milieu, chiefly through the Broadwater Farm Youth Association (BFYA), which was a multiethnic group led by Mrs Dolly Kiffin. I discuss their activities in depth in Chapter 5.</w:t>
      </w:r>
    </w:p>
    <w:p w14:paraId="71C2D807" w14:textId="24BA1BC9" w:rsidR="00527AFB" w:rsidRPr="00662E51" w:rsidRDefault="00EE71E9" w:rsidP="00527AFB">
      <w:pPr>
        <w:spacing w:line="360" w:lineRule="auto"/>
        <w:ind w:left="0" w:firstLine="720"/>
        <w:rPr>
          <w:szCs w:val="24"/>
        </w:rPr>
      </w:pPr>
      <w:r w:rsidRPr="00662E51">
        <w:rPr>
          <w:noProof/>
        </w:rPr>
        <mc:AlternateContent>
          <mc:Choice Requires="wps">
            <w:drawing>
              <wp:anchor distT="0" distB="0" distL="114300" distR="114300" simplePos="0" relativeHeight="251668499" behindDoc="0" locked="0" layoutInCell="1" allowOverlap="1" wp14:anchorId="63691F5D" wp14:editId="209605A5">
                <wp:simplePos x="0" y="0"/>
                <wp:positionH relativeFrom="margin">
                  <wp:align>left</wp:align>
                </wp:positionH>
                <wp:positionV relativeFrom="paragraph">
                  <wp:posOffset>1356360</wp:posOffset>
                </wp:positionV>
                <wp:extent cx="3833495" cy="579120"/>
                <wp:effectExtent l="0" t="0" r="0" b="0"/>
                <wp:wrapSquare wrapText="bothSides"/>
                <wp:docPr id="1314701363" name="Text Box 1"/>
                <wp:cNvGraphicFramePr/>
                <a:graphic xmlns:a="http://schemas.openxmlformats.org/drawingml/2006/main">
                  <a:graphicData uri="http://schemas.microsoft.com/office/word/2010/wordprocessingShape">
                    <wps:wsp>
                      <wps:cNvSpPr txBox="1"/>
                      <wps:spPr>
                        <a:xfrm>
                          <a:off x="0" y="0"/>
                          <a:ext cx="3833495" cy="579120"/>
                        </a:xfrm>
                        <a:prstGeom prst="rect">
                          <a:avLst/>
                        </a:prstGeom>
                        <a:solidFill>
                          <a:prstClr val="white"/>
                        </a:solidFill>
                        <a:ln>
                          <a:noFill/>
                        </a:ln>
                      </wps:spPr>
                      <wps:txbx>
                        <w:txbxContent>
                          <w:p w14:paraId="31321C87" w14:textId="37D1F61B" w:rsidR="00527AFB" w:rsidRPr="00662E51" w:rsidRDefault="00527AFB" w:rsidP="00021B3C">
                            <w:pPr>
                              <w:pStyle w:val="Caption"/>
                              <w:ind w:left="720"/>
                            </w:pPr>
                            <w:bookmarkStart w:id="58" w:name="_Toc216875897"/>
                            <w:r w:rsidRPr="00662E51">
                              <w:t xml:space="preserve">Figure </w:t>
                            </w:r>
                            <w:r>
                              <w:fldChar w:fldCharType="begin"/>
                            </w:r>
                            <w:r>
                              <w:instrText>SEQ Figure \* ARABIC</w:instrText>
                            </w:r>
                            <w:r>
                              <w:fldChar w:fldCharType="separate"/>
                            </w:r>
                            <w:r w:rsidRPr="00662E51">
                              <w:t>5</w:t>
                            </w:r>
                            <w:r>
                              <w:fldChar w:fldCharType="end"/>
                            </w:r>
                            <w:r w:rsidRPr="00662E51">
                              <w:t xml:space="preserve"> - Broadwater Farm Estate, taken by author. The estate is in the background while a typical, brick terraced home is in foreground on right.</w:t>
                            </w:r>
                          </w:p>
                          <w:p w14:paraId="6A7D3019" w14:textId="77777777" w:rsidR="00527AFB" w:rsidRDefault="00527AFB"/>
                          <w:p w14:paraId="1B7F9E81" w14:textId="5FAB0CBE" w:rsidR="00527AFB" w:rsidRPr="00662E51" w:rsidRDefault="00D109A7" w:rsidP="00021B3C">
                            <w:pPr>
                              <w:pStyle w:val="Caption"/>
                              <w:ind w:left="720"/>
                            </w:pPr>
                            <w:r w:rsidRPr="00662E51">
                              <w:t xml:space="preserve">Figure </w:t>
                            </w:r>
                            <w:r>
                              <w:fldChar w:fldCharType="begin"/>
                            </w:r>
                            <w:r>
                              <w:instrText>SEQ Figure \* ARABIC</w:instrText>
                            </w:r>
                            <w:r>
                              <w:fldChar w:fldCharType="separate"/>
                            </w:r>
                            <w:r w:rsidRPr="00662E51">
                              <w:t>6</w:t>
                            </w:r>
                            <w:r>
                              <w:fldChar w:fldCharType="end"/>
                            </w:r>
                            <w:r w:rsidRPr="00662E51">
                              <w:t xml:space="preserve"> - Haringey Development Vehicle’s proposed structure (Turnberry Real Estate et al. 2015, 46</w:t>
                            </w:r>
                            <w:r w:rsidR="00527AFB" w:rsidRPr="00662E51">
                              <w:t xml:space="preserve">Figure </w:t>
                            </w:r>
                            <w:r w:rsidR="00527AFB">
                              <w:fldChar w:fldCharType="begin"/>
                            </w:r>
                            <w:r w:rsidR="00527AFB">
                              <w:instrText>SEQ Figure \* ARABIC</w:instrText>
                            </w:r>
                            <w:r w:rsidR="00527AFB">
                              <w:fldChar w:fldCharType="separate"/>
                            </w:r>
                            <w:r w:rsidR="00527AFB" w:rsidRPr="00662E51">
                              <w:t>5</w:t>
                            </w:r>
                            <w:r w:rsidR="00527AFB">
                              <w:fldChar w:fldCharType="end"/>
                            </w:r>
                            <w:r w:rsidR="00527AFB" w:rsidRPr="00662E51">
                              <w:t xml:space="preserve"> - Broadwater Farm Estate, taken by author. The estate is in the background while a typical, brick terraced home is in foreground on right.</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91F5D" id="_x0000_s1029" type="#_x0000_t202" style="position:absolute;left:0;text-align:left;margin-left:0;margin-top:106.8pt;width:301.85pt;height:45.6pt;z-index:25166849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" stroked="f">
                <v:textbox inset="0,0,0,0">
                  <w:txbxContent>
                    <w:p w14:paraId="31321C87" w14:textId="37D1F61B" w:rsidR="00527AFB" w:rsidRPr="00662E51" w:rsidRDefault="00527AFB" w:rsidP="00021B3C">
                      <w:pPr>
                        <w:pStyle w:val="Caption"/>
                        <w:ind w:left="720"/>
                      </w:pPr>
                      <w:bookmarkStart w:id="59" w:name="_Toc216875897"/>
                      <w:r w:rsidRPr="00662E51">
                        <w:t xml:space="preserve">Figure </w:t>
                      </w:r>
                      <w:r>
                        <w:fldChar w:fldCharType="begin"/>
                      </w:r>
                      <w:r>
                        <w:instrText>SEQ Figure \* ARABIC</w:instrText>
                      </w:r>
                      <w:r>
                        <w:fldChar w:fldCharType="separate"/>
                      </w:r>
                      <w:r w:rsidRPr="00662E51">
                        <w:t>5</w:t>
                      </w:r>
                      <w:r>
                        <w:fldChar w:fldCharType="end"/>
                      </w:r>
                      <w:r w:rsidRPr="00662E51">
                        <w:t xml:space="preserve"> - Broadwater Farm Estate, taken by author. The estate is in the background while a typical, brick terraced home is in foreground on right.</w:t>
                      </w:r>
                    </w:p>
                    <w:p w14:paraId="6A7D3019" w14:textId="77777777" w:rsidR="00527AFB" w:rsidRDefault="00527AFB"/>
                    <w:p w14:paraId="1B7F9E81" w14:textId="5FAB0CBE" w:rsidR="00527AFB" w:rsidRPr="00662E51" w:rsidRDefault="00D109A7" w:rsidP="00021B3C">
                      <w:pPr>
                        <w:pStyle w:val="Caption"/>
                        <w:ind w:left="720"/>
                      </w:pPr>
                      <w:r w:rsidRPr="00662E51">
                        <w:t xml:space="preserve">Figure </w:t>
                      </w:r>
                      <w:r>
                        <w:fldChar w:fldCharType="begin"/>
                      </w:r>
                      <w:r>
                        <w:instrText>SEQ Figure \* ARABIC</w:instrText>
                      </w:r>
                      <w:r>
                        <w:fldChar w:fldCharType="separate"/>
                      </w:r>
                      <w:r w:rsidRPr="00662E51">
                        <w:t>6</w:t>
                      </w:r>
                      <w:r>
                        <w:fldChar w:fldCharType="end"/>
                      </w:r>
                      <w:r w:rsidRPr="00662E51">
                        <w:t xml:space="preserve"> - Haringey Development Vehicle’s proposed structure (Turnberry Real Estate et al. 2015, 46</w:t>
                      </w:r>
                      <w:r w:rsidR="00527AFB" w:rsidRPr="00662E51">
                        <w:t xml:space="preserve">Figure </w:t>
                      </w:r>
                      <w:r w:rsidR="00527AFB">
                        <w:fldChar w:fldCharType="begin"/>
                      </w:r>
                      <w:r w:rsidR="00527AFB">
                        <w:instrText>SEQ Figure \* ARABIC</w:instrText>
                      </w:r>
                      <w:r w:rsidR="00527AFB">
                        <w:fldChar w:fldCharType="separate"/>
                      </w:r>
                      <w:r w:rsidR="00527AFB" w:rsidRPr="00662E51">
                        <w:t>5</w:t>
                      </w:r>
                      <w:r w:rsidR="00527AFB">
                        <w:fldChar w:fldCharType="end"/>
                      </w:r>
                      <w:r w:rsidR="00527AFB" w:rsidRPr="00662E51">
                        <w:t xml:space="preserve"> - Broadwater Farm Estate, taken by author. The estate is in the background while a typical, brick terraced home is in foreground on right.</w:t>
                      </w:r>
                      <w:bookmarkEnd w:id="59"/>
                    </w:p>
                  </w:txbxContent>
                </v:textbox>
                <w10:wrap type="square" anchorx="margin"/>
              </v:shape>
            </w:pict>
          </mc:Fallback>
        </mc:AlternateContent>
      </w:r>
      <w:r w:rsidR="00527AFB" w:rsidRPr="00662E51">
        <w:rPr>
          <w:szCs w:val="24"/>
        </w:rPr>
        <w:t xml:space="preserve">The BF uprising was sparked by the police-involved death of Mrs Cynthia Jarrett, a Black Haringey resident. Protests against racist policing spiralled out of control, with Broadwater Farm estate becoming the epicentre of rioting in Haringey. Violence continued for several days and one police officer, PC Keith Blakelock, was killed. The police subsequently arrested a group of innocent young men, further perpetuating a heavy police presence in Tottenham. These men, two of whom are Black and one white, were called the Tottenham Three; they were wrongly convicted in 1987 </w:t>
      </w:r>
      <w:r w:rsidR="00527AFB" w:rsidRPr="00662E51">
        <w:rPr>
          <w:szCs w:val="24"/>
        </w:rPr>
        <w:fldChar w:fldCharType="begin"/>
      </w:r>
      <w:r w:rsidR="00527AFB" w:rsidRPr="00662E51">
        <w:rPr>
          <w:szCs w:val="24"/>
        </w:rPr>
        <w:instrText xml:space="preserve"> ADDIN ZOTERO_ITEM CSL_CITATION {"citationID":"TwQZeJ5u","properties":{"formattedCitation":"(Moore 2015)","plainCitation":"(Moore 2015)","noteIndex":0},"citationItems":[{"id":6933,"uris":["http://zotero.org/users/8977980/items/YK65NRJV"],"itemData":{"id":6933,"type":"book","abstract":"A closely observed account by someone working at senior level in the Met at the time. Deals with the biggest breakdown in community relations and law and order in modern English social and policing history. Looks at the entire sequence of events from their first rumblings to their aftermath and legacy. Published to coincide with the 30th anniversary of the tragic death of PC Blakelock. October 2015 marks the 30th anniversary of the murder of PC Keith Blakelock during rioting on the Broadwater Farm Estate, Tottenham, against a backdrop of unrest in major UK cities and nadir in relations between police and black communities. After becoming detached from Serial 502 Keith Blakelock was kicked and hacked to death by a mob using clubs, iron bars, knives and a machete or similar weapon. His killers have never been brought to justice. This minutely researched book from former Metropolitan Police commander Tony Moore is based on new materials, private communications and matchless sources. It looks at both sides of the story of a breakdown in law and order at this 'symbolic location', its history, background, influences, causes and who was most to blame. Tony Moore's book examines the stark policing choices and dilemmas as well as the 350 arrests of mainly black people, the wall of silence, fear, trials, appeals and campaign for the release of Winston Silcott, Engin Raghip and Mark Braithwaite (The Tottenham Three) and later jury acquittal of Nicky Jacobs. It looks at the calamitous legacy, questionable strategies and the acquittal of two members of the Met's CID charged with perverting the course of justice. From petrol bombs, burning barricades and unfathomable violence to the backdrop of immigration, recriminations and lessons of hindsight, this is a powerful book that should be read by anyone concerned with police community relations. 'A well-researched and intelligent assessment... will remain as excellent source material for the applied criminologist for years to come... will help both professionals and the general public understand how far we still have to travel to achieve a social contract consensus between the state and its local diverse communities as the UK's population continues to expand': Phillip Taylor MBE and Elizabeth Taylor of Richmond Green Chambers.","ISBN":"978-1-908162-94-6","language":"eng","publisher":"Waterside Press","publisher-place":"Hampshire, England","source":"discover.durham.ac.uk","title":"The Killing of Constable Keith Blakelock: the Broadwater Farm riot","title-short":"The killing of constable Keith Blakelock","author":[{"family":"Moore","given":"Tony"}],"contributor":[{"family":"Emsley","given":"Clive"}],"issued":{"date-parts":[["2015"]]}}}],"schema":"https://github.com/citation-style-language/schema/raw/master/csl-citation.json"} </w:instrText>
      </w:r>
      <w:r w:rsidR="00527AFB" w:rsidRPr="00662E51">
        <w:rPr>
          <w:szCs w:val="24"/>
        </w:rPr>
        <w:fldChar w:fldCharType="separate"/>
      </w:r>
      <w:r w:rsidR="00527AFB" w:rsidRPr="00662E51">
        <w:rPr>
          <w:szCs w:val="24"/>
        </w:rPr>
        <w:t>(Moore 2015)</w:t>
      </w:r>
      <w:r w:rsidR="00527AFB" w:rsidRPr="00662E51">
        <w:rPr>
          <w:szCs w:val="24"/>
        </w:rPr>
        <w:fldChar w:fldCharType="end"/>
      </w:r>
      <w:r w:rsidR="00527AFB" w:rsidRPr="00662E51">
        <w:rPr>
          <w:szCs w:val="24"/>
        </w:rPr>
        <w:t xml:space="preserve">. Their sentences were later overturned on appeal in 1991. Another man was charged with PC Blakelock’s death but again he was cleared of wrongdoing </w:t>
      </w:r>
      <w:r w:rsidR="00527AFB" w:rsidRPr="00662E51">
        <w:rPr>
          <w:szCs w:val="24"/>
        </w:rPr>
        <w:fldChar w:fldCharType="begin"/>
      </w:r>
      <w:r w:rsidR="00527AFB" w:rsidRPr="00662E51">
        <w:rPr>
          <w:szCs w:val="24"/>
        </w:rPr>
        <w:instrText xml:space="preserve"> ADDIN ZOTERO_ITEM CSL_CITATION {"citationID":"2MF0eCzJ","properties":{"formattedCitation":"({\\i{}BBC News} 2015)","plainCitation":"(BBC News 2015)","noteIndex":0},"citationItems":[{"id":6934,"uris":["http://zotero.org/users/8977980/items/ZYF4Q78N"],"itemData":{"id":6934,"type":"article-newspaper","abstract":"Three decades after the Broadwater Farm riots in London, the BBC looks back at the disturbances that led to PC Keith Blakelock's murder.","container-title":"BBC News","language":"en-GB","section":"London","source":"www.bbc.co.uk","title":"Broadwater Farm riots: PC Keith Blakelock's 1985 murder recalled","title-short":"Broadwater Farm riots","URL":"https://www.bbc.com/news/uk-england-london-34433752","accessed":{"date-parts":[["2025",9,12]]},"issued":{"date-parts":[["2015",10,5]]}}}],"schema":"https://github.com/citation-style-language/schema/raw/master/csl-citation.json"} </w:instrText>
      </w:r>
      <w:r w:rsidR="00527AFB" w:rsidRPr="00662E51">
        <w:rPr>
          <w:szCs w:val="24"/>
        </w:rPr>
        <w:fldChar w:fldCharType="separate"/>
      </w:r>
      <w:r w:rsidR="00527AFB" w:rsidRPr="00662E51">
        <w:rPr>
          <w:rFonts w:cs="Times New Roman"/>
          <w:kern w:val="0"/>
          <w:szCs w:val="24"/>
        </w:rPr>
        <w:t>(</w:t>
      </w:r>
      <w:r w:rsidR="00527AFB" w:rsidRPr="00662E51">
        <w:rPr>
          <w:rFonts w:cs="Times New Roman"/>
          <w:i/>
          <w:iCs/>
          <w:kern w:val="0"/>
          <w:szCs w:val="24"/>
        </w:rPr>
        <w:t>BBC News</w:t>
      </w:r>
      <w:r w:rsidR="00527AFB" w:rsidRPr="00662E51">
        <w:rPr>
          <w:rFonts w:cs="Times New Roman"/>
          <w:kern w:val="0"/>
          <w:szCs w:val="24"/>
        </w:rPr>
        <w:t xml:space="preserve"> 2015)</w:t>
      </w:r>
      <w:r w:rsidR="00527AFB" w:rsidRPr="00662E51">
        <w:rPr>
          <w:szCs w:val="24"/>
        </w:rPr>
        <w:fldChar w:fldCharType="end"/>
      </w:r>
      <w:r w:rsidR="00527AFB" w:rsidRPr="00662E51">
        <w:rPr>
          <w:szCs w:val="24"/>
        </w:rPr>
        <w:t xml:space="preserve">. 1985’s uprising in Broadwater Farm </w:t>
      </w:r>
      <w:r w:rsidR="00527AFB" w:rsidRPr="00662E51">
        <w:rPr>
          <w:szCs w:val="24"/>
        </w:rPr>
        <w:lastRenderedPageBreak/>
        <w:t xml:space="preserve">continues to circulate in discourses of race, policing, and housing </w:t>
      </w:r>
      <w:r w:rsidR="00527AFB" w:rsidRPr="00662E51">
        <w:rPr>
          <w:szCs w:val="24"/>
        </w:rPr>
        <w:fldChar w:fldCharType="begin"/>
      </w:r>
      <w:r w:rsidR="00527AFB" w:rsidRPr="00662E51">
        <w:rPr>
          <w:szCs w:val="24"/>
        </w:rPr>
        <w:instrText xml:space="preserve"> ADDIN ZOTERO_ITEM CSL_CITATION {"citationID":"IZpI1juW","properties":{"formattedCitation":"(Perera 2019a; Elliott-Cooper 2018)","plainCitation":"(Perera 2019a; Elliott-Cooper 2018)","noteIndex":0},"citationItems":[{"id":3141,"uris":["http://zotero.org/users/8977980/items/CB3BBSPP"],"itemData":{"id":3141,"type":"report","language":"en","number":"12","publisher":"Institute of Race Relations","publisher-place":"London","source":"Zotero","title":"The London Clearances: Race, Housing and Policing","URL":"https://irr.org.uk/wp-content/uploads/2020/09/The-London-Clearances-Race-Housing-and-Policing-1.pdf","author":[{"family":"Perera","given":"Jessica"}],"issued":{"date-parts":[["2019"]]}}},{"id":3154,"uris":["http://zotero.org/users/8977980/items/VX6QAMWU"],"itemData":{"id":3154,"type":"article-journal","abstract":"The history of black struggles in Britain has often centred on spaces of violence and resistance. While there has been significant attention paid to how racism is articulated through particular places, less has been said about anti-racism being communicated through its associations with space and place. Using Tottenham (north London) as a case study, I draw on ethnographic observations at demonstrations and public meetings, in addition to semi-structured interviews with anti-racist activists resisting policing in post-2011 London. This paper argues that, over time, racist metonyms describing places racialised as black have led to the rise of a metonymic anti-racism. Metonymic anti-racism is used alongside more overt anti-racist language, and has profound implications for understanding struggles against police racism in Britain. The paper analyses these implications, contextualizing them historically, in light of neoliberalised racial discourses and how anti-racist metonyms shape articulations of black struggle against policing in post-2011 Tottenham.","container-title":"Ethnic and Racial Studies","DOI":"10.1080/01419870.2017.1367020","ISSN":"0141-9870, 1466-4356","issue":"14","journalAbbreviation":"Ethnic and Racial Studies","language":"en","page":"2445-2463","source":"DOI.org (Crossref)","title":"The struggle that cannot be named: violence, space and the re-articulation of anti-racism in post-Duggan Britain","title-short":"The struggle that cannot be named","volume":"41","author":[{"family":"Elliott-Cooper","given":"Adam"}],"issued":{"date-parts":[["2018",11,14]]}}}],"schema":"https://github.com/citation-style-language/schema/raw/master/csl-citation.json"} </w:instrText>
      </w:r>
      <w:r w:rsidR="00527AFB" w:rsidRPr="00662E51">
        <w:rPr>
          <w:szCs w:val="24"/>
        </w:rPr>
        <w:fldChar w:fldCharType="separate"/>
      </w:r>
      <w:r w:rsidR="00527AFB" w:rsidRPr="00662E51">
        <w:t>(Perera 2019a; Elliott-Cooper 2018)</w:t>
      </w:r>
      <w:r w:rsidR="00527AFB" w:rsidRPr="00662E51">
        <w:rPr>
          <w:szCs w:val="24"/>
        </w:rPr>
        <w:fldChar w:fldCharType="end"/>
      </w:r>
      <w:r w:rsidR="00527AFB" w:rsidRPr="00662E51">
        <w:rPr>
          <w:szCs w:val="24"/>
        </w:rPr>
        <w:t xml:space="preserve">. </w:t>
      </w:r>
    </w:p>
    <w:p w14:paraId="5AE673BC" w14:textId="16C6D522" w:rsidR="00527AFB" w:rsidRPr="00662E51" w:rsidRDefault="00527AFB" w:rsidP="00527AFB">
      <w:pPr>
        <w:spacing w:line="360" w:lineRule="auto"/>
        <w:ind w:left="0" w:firstLine="720"/>
        <w:rPr>
          <w:szCs w:val="24"/>
        </w:rPr>
      </w:pPr>
      <w:r w:rsidRPr="00662E51">
        <w:rPr>
          <w:szCs w:val="24"/>
        </w:rPr>
        <w:t xml:space="preserve">The Broadwater Farm estate is presently in a state of transition. In 2019, Haringey Borough Council commissioned a suite of firms to begin a process of regenerating the area. Tangmere block (the ziggurat) has already been demolished, and other buildings will be coming down in the next few years. Construction is planned to continue until 2031 </w:t>
      </w:r>
      <w:r w:rsidRPr="00662E51">
        <w:rPr>
          <w:szCs w:val="24"/>
        </w:rPr>
        <w:fldChar w:fldCharType="begin"/>
      </w:r>
      <w:r w:rsidRPr="00662E51">
        <w:rPr>
          <w:szCs w:val="24"/>
        </w:rPr>
        <w:instrText xml:space="preserve"> ADDIN ZOTERO_ITEM CSL_CITATION {"citationID":"rUXPzey2","properties":{"formattedCitation":"(\\uc0\\u8216{}Let\\uc0\\u8217{}s Talk about Broadwater Farm Estate\\uc0\\u8217{}, n.d.)","plainCitation":"(‘Let’s Talk about Broadwater Farm Estate’, n.d.)","noteIndex":0},"citationItems":[{"id":6940,"uris":["http://zotero.org/users/8977980/items/Y9D3MHVI"],"itemData":{"id":6940,"type":"webpage","abstract":"We are working with residents and the wider Broadwater Farm community to design and deliver new homes and improvements across the estate.","language":"en","title":"Let's Talk about Broadwater Farm Estate","URL":"https://broadwaterfarmestate.commonplace.is/en-GB/timeline","accessed":{"date-parts":[["2025",9,12]]}}}],"schema":"https://github.com/citation-style-language/schema/raw/master/csl-citation.json"} </w:instrText>
      </w:r>
      <w:r w:rsidRPr="00662E51">
        <w:rPr>
          <w:szCs w:val="24"/>
        </w:rPr>
        <w:fldChar w:fldCharType="separate"/>
      </w:r>
      <w:r w:rsidRPr="00662E51">
        <w:rPr>
          <w:rFonts w:cs="Times New Roman"/>
          <w:kern w:val="0"/>
          <w:szCs w:val="24"/>
        </w:rPr>
        <w:t>(‘Let’s Talk about Broadwater Farm Estate’, n.d.)</w:t>
      </w:r>
      <w:r w:rsidRPr="00662E51">
        <w:rPr>
          <w:szCs w:val="24"/>
        </w:rPr>
        <w:fldChar w:fldCharType="end"/>
      </w:r>
      <w:r w:rsidRPr="00662E51">
        <w:rPr>
          <w:szCs w:val="24"/>
        </w:rPr>
        <w:t xml:space="preserve">. The longer term impacts of this regeneration scheme are still yet to be seen but a total of 300 to 350 new homes are slated for the estate </w:t>
      </w:r>
      <w:r w:rsidRPr="00662E51">
        <w:rPr>
          <w:szCs w:val="24"/>
        </w:rPr>
        <w:fldChar w:fldCharType="begin"/>
      </w:r>
      <w:r w:rsidRPr="00662E51">
        <w:rPr>
          <w:szCs w:val="24"/>
        </w:rPr>
        <w:instrText xml:space="preserve"> ADDIN ZOTERO_ITEM CSL_CITATION {"citationID":"VDiJYzKW","properties":{"formattedCitation":"(Karakusevic Carson Architects 2019)","plainCitation":"(Karakusevic Carson Architects 2019)","noteIndex":0},"citationItems":[{"id":6936,"uris":["http://zotero.org/users/8977980/items/ANNVJNAZ"],"itemData":{"id":6936,"type":"webpage","container-title":"Karakusevic Carson Architects","title":"Broadwater Farm Estate | Projects","URL":"http://karakusevic-carson.com/","author":[{"literal":"Karakusevic Carson Architects"}],"accessed":{"date-parts":[["2025",9,12]]},"issued":{"date-parts":[["2019"]]}}}],"schema":"https://github.com/citation-style-language/schema/raw/master/csl-citation.json"} </w:instrText>
      </w:r>
      <w:r w:rsidRPr="00662E51">
        <w:rPr>
          <w:szCs w:val="24"/>
        </w:rPr>
        <w:fldChar w:fldCharType="separate"/>
      </w:r>
      <w:r w:rsidRPr="00662E51">
        <w:rPr>
          <w:szCs w:val="24"/>
        </w:rPr>
        <w:t>(Karakusevic Carson Architects 2019)</w:t>
      </w:r>
      <w:r w:rsidRPr="00662E51">
        <w:rPr>
          <w:szCs w:val="24"/>
        </w:rPr>
        <w:fldChar w:fldCharType="end"/>
      </w:r>
      <w:r w:rsidRPr="00662E51">
        <w:rPr>
          <w:szCs w:val="24"/>
        </w:rPr>
        <w:t xml:space="preserve">. The estate has thus undergone significant and rapid change since its construction five decades ago. It remains one of Haringey’s largest and most recognisable estates. Thus, the Association’s activities offer an illustration through which I can explore the resistance of marginalised groups of citizens under Thatcher’s authoritarian governance.  </w:t>
      </w:r>
    </w:p>
    <w:p w14:paraId="55F2E26A" w14:textId="6912DF9F" w:rsidR="00527AFB" w:rsidRPr="00662E51" w:rsidRDefault="00527AFB" w:rsidP="00527AFB">
      <w:pPr>
        <w:spacing w:line="360" w:lineRule="auto"/>
        <w:ind w:left="0" w:firstLine="720"/>
        <w:rPr>
          <w:szCs w:val="24"/>
        </w:rPr>
      </w:pPr>
    </w:p>
    <w:p w14:paraId="61E4E4A8" w14:textId="2F5FFE43" w:rsidR="00527AFB" w:rsidRPr="00662E51" w:rsidRDefault="00527AFB" w:rsidP="00527AFB">
      <w:pPr>
        <w:pStyle w:val="Heading3"/>
      </w:pPr>
      <w:bookmarkStart w:id="60" w:name="_Toc221184302"/>
      <w:bookmarkStart w:id="61" w:name="_Toc231215225"/>
      <w:r w:rsidRPr="00662E51">
        <w:t>Haringey Development Vehicle</w:t>
      </w:r>
      <w:bookmarkEnd w:id="60"/>
      <w:r w:rsidR="00836748">
        <w:t>:</w:t>
      </w:r>
      <w:bookmarkEnd w:id="61"/>
    </w:p>
    <w:p w14:paraId="2524ED4E" w14:textId="1AC4ADF9" w:rsidR="00527AFB" w:rsidRPr="00662E51" w:rsidRDefault="00527AFB" w:rsidP="00527AFB">
      <w:pPr>
        <w:spacing w:line="360" w:lineRule="auto"/>
        <w:ind w:left="0" w:firstLine="720"/>
        <w:rPr>
          <w:szCs w:val="24"/>
        </w:rPr>
      </w:pPr>
      <w:r w:rsidRPr="00662E51">
        <w:rPr>
          <w:szCs w:val="24"/>
        </w:rPr>
        <w:t>As considered in Section 1.</w:t>
      </w:r>
      <w:r w:rsidR="00C3385B">
        <w:rPr>
          <w:szCs w:val="24"/>
        </w:rPr>
        <w:t>3</w:t>
      </w:r>
      <w:r w:rsidRPr="00662E51">
        <w:rPr>
          <w:szCs w:val="24"/>
        </w:rPr>
        <w:t xml:space="preserve">.2, the 2011 uprising was a turning point for the borough and the country at large. Haringey Borough Council’s response was the Haringey Development Vehicle (HDV), my second case study. Its initial proponents—the council and then-Mayor of London Boris Johnson’s independent panel on Tottenham, which was meant to advise on policy options after the riot </w:t>
      </w:r>
      <w:r w:rsidRPr="00662E51">
        <w:rPr>
          <w:szCs w:val="24"/>
        </w:rPr>
        <w:fldChar w:fldCharType="begin"/>
      </w:r>
      <w:r w:rsidRPr="00662E51">
        <w:rPr>
          <w:szCs w:val="24"/>
        </w:rPr>
        <w:instrText xml:space="preserve"> ADDIN ZOTERO_ITEM CSL_CITATION {"citationID":"t71MFFmb","properties":{"formattedCitation":"(Levett 2012)","plainCitation":"(Levett 2012)","noteIndex":0},"citationItems":[{"id":5070,"uris":["http://zotero.org/users/8977980/items/W57USM36"],"itemData":{"id":5070,"type":"report","publisher":"Mayor of London’s Office","publisher-place":"London","title":"It Took Another Riot: The concluding report of the Mayor of London’s Independent Panel on Tottenham","title-short":"It Took Another Riot","URL":"https://www.london.gov.uk/sites/default/files/it_took_another_riot.pdf","author":[{"family":"Levett","given":"Don"}],"accessed":{"date-parts":[["2023",9,12]]},"issued":{"date-parts":[["2012",12,11]]}}}],"schema":"https://github.com/citation-style-language/schema/raw/master/csl-citation.json"} </w:instrText>
      </w:r>
      <w:r w:rsidRPr="00662E51">
        <w:rPr>
          <w:szCs w:val="24"/>
        </w:rPr>
        <w:fldChar w:fldCharType="separate"/>
      </w:r>
      <w:r w:rsidRPr="00662E51">
        <w:rPr>
          <w:szCs w:val="24"/>
        </w:rPr>
        <w:t>(Levett 2012)</w:t>
      </w:r>
      <w:r w:rsidRPr="00662E51">
        <w:rPr>
          <w:szCs w:val="24"/>
        </w:rPr>
        <w:fldChar w:fldCharType="end"/>
      </w:r>
      <w:r w:rsidRPr="00662E51">
        <w:rPr>
          <w:szCs w:val="24"/>
        </w:rPr>
        <w:t xml:space="preserve">—argued that the Vehicle was necessary to revitalise an underinvested neighbourhood through regeneration. Yet, Horton and Penny </w:t>
      </w:r>
      <w:r w:rsidRPr="00662E51">
        <w:rPr>
          <w:szCs w:val="24"/>
        </w:rPr>
        <w:fldChar w:fldCharType="begin"/>
      </w:r>
      <w:r w:rsidRPr="00662E51">
        <w:rPr>
          <w:szCs w:val="24"/>
        </w:rPr>
        <w:instrText xml:space="preserve"> ADDIN ZOTERO_ITEM CSL_CITATION {"citationID":"c3DL6UHI","properties":{"formattedCitation":"(2024)","plainCitation":"(2024)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uppress-author":true}],"schema":"https://github.com/citation-style-language/schema/raw/master/csl-citation.json"} </w:instrText>
      </w:r>
      <w:r w:rsidRPr="00662E51">
        <w:rPr>
          <w:szCs w:val="24"/>
        </w:rPr>
        <w:fldChar w:fldCharType="separate"/>
      </w:r>
      <w:r w:rsidRPr="00662E51">
        <w:rPr>
          <w:szCs w:val="24"/>
        </w:rPr>
        <w:t>(2024)</w:t>
      </w:r>
      <w:r w:rsidRPr="00662E51">
        <w:rPr>
          <w:szCs w:val="24"/>
        </w:rPr>
        <w:fldChar w:fldCharType="end"/>
      </w:r>
      <w:r w:rsidRPr="00662E51">
        <w:rPr>
          <w:szCs w:val="24"/>
        </w:rPr>
        <w:t xml:space="preserve"> contend that, in fact, the HDV was a tool of urban revanchism </w:t>
      </w:r>
      <w:r w:rsidRPr="00662E51">
        <w:rPr>
          <w:szCs w:val="24"/>
        </w:rPr>
        <w:fldChar w:fldCharType="begin"/>
      </w:r>
      <w:r w:rsidR="00213B80">
        <w:rPr>
          <w:szCs w:val="24"/>
        </w:rPr>
        <w:instrText xml:space="preserve"> ADDIN ZOTERO_ITEM CSL_CITATION {"citationID":"QeKcl5lb","properties":{"formattedCitation":"(N. Smith 2005)","plainCitation":"(N. Smith 2005)","noteIndex":0},"citationItems":[{"id":6626,"uris":["http://zotero.org/users/8977980/items/Z4PVAQFD"],"itemData":{"id":6626,"type":"book","abstract":"Why have so many central and inner cities in Europe, North America and Australia been so radically revamped in the last three decades, converting urban decay into new chic? Will the process continue in the twenty-first century or has it ended? What does this mean for the people who live there? Can they do anything about it? This book challenges conventional wisdom, which holds gentrification to be the simple outcome of new middle-class tastes and a demand for urban living. It reveals gentrification as part of a much larger shift in the political economy and culture of the late twentieth century. Documenting in gritty detail the conflicts that gentrification brings to the new urban 'frontiers', the author explores the interconnections of urban policy, patterns of investment, eviction, and homelessness. The failure of liberal urban policy and the end of the 1980s financial boom have made the end-of-the-century city a darker and more dangerous place. Public policy and the private market are conspiring against minorities, working people, the poor, and the homeless as never before. In the emerging revanchist city, gentrification has become part of this policy of revenge.","DOI":"10.4324/9780203975640","ISBN":"978-0-203-97564-0","number-of-pages":"288","publisher":"Routledge","publisher-place":"London","title":"The New Urban Frontier: Gentrification and the Revanchist City","title-short":"The New Urban Frontier","author":[{"family":"Smith","given":"Neil"}],"issued":{"date-parts":[["2005",10,26]]}}}],"schema":"https://github.com/citation-style-language/schema/raw/master/csl-citation.json"} </w:instrText>
      </w:r>
      <w:r w:rsidRPr="00662E51">
        <w:rPr>
          <w:szCs w:val="24"/>
        </w:rPr>
        <w:fldChar w:fldCharType="separate"/>
      </w:r>
      <w:r w:rsidR="00213B80" w:rsidRPr="00213B80">
        <w:t>(N. Smith 2005)</w:t>
      </w:r>
      <w:r w:rsidRPr="00662E51">
        <w:rPr>
          <w:szCs w:val="24"/>
        </w:rPr>
        <w:fldChar w:fldCharType="end"/>
      </w:r>
      <w:r w:rsidRPr="00662E51">
        <w:rPr>
          <w:szCs w:val="24"/>
        </w:rPr>
        <w:t xml:space="preserve">, intended to punish the neighbourhood for its acts of resistance against overpolicing, austerity, and the British state. As such, this section tells the Vehicle’s structure and political history as well as recounts the links between revanchism and the 2011 uprising. </w:t>
      </w:r>
    </w:p>
    <w:p w14:paraId="5FC782E6" w14:textId="58C477E1" w:rsidR="00663B67" w:rsidRDefault="00527AFB" w:rsidP="00527AFB">
      <w:pPr>
        <w:spacing w:line="360" w:lineRule="auto"/>
        <w:ind w:left="0" w:firstLine="720"/>
        <w:rPr>
          <w:szCs w:val="24"/>
        </w:rPr>
      </w:pPr>
      <w:r w:rsidRPr="00662E51">
        <w:rPr>
          <w:szCs w:val="24"/>
        </w:rPr>
        <w:lastRenderedPageBreak/>
        <w:t>The Haringey Development Vehicle was a proposed £2 billion public-private partnership between Haringey Council and a developer (eventually LendLease</w:t>
      </w:r>
      <w:r w:rsidRPr="00BD17AF">
        <w:rPr>
          <w:rStyle w:val="FootnoteReference"/>
        </w:rPr>
        <w:footnoteReference w:id="21"/>
      </w:r>
      <w:r w:rsidRPr="00662E51">
        <w:rPr>
          <w:szCs w:val="24"/>
        </w:rPr>
        <w:t xml:space="preserve">). It was designed as a special purpose vehicle, a legal entity created to fulfil a specific and temporary objective. Vehicles are increasingly becoming tools that local councils use to develop and regenerate their housing and commercial properties </w:t>
      </w:r>
      <w:r w:rsidRPr="00662E51">
        <w:rPr>
          <w:szCs w:val="24"/>
        </w:rPr>
        <w:fldChar w:fldCharType="begin"/>
      </w:r>
      <w:r w:rsidR="00213B80">
        <w:rPr>
          <w:szCs w:val="24"/>
        </w:rPr>
        <w:instrText xml:space="preserve"> ADDIN ZOTERO_ITEM CSL_CITATION {"citationID":"peWzBLNR","properties":{"formattedCitation":"(J. Beswick and Penny 2018; Christophers 2019b)","plainCitation":"(J. Beswick and Penny 2018; Christophers 2019b)","noteIndex":0},"citationItems":[{"id":1854,"uris":["http://zotero.org/groups/4816685/items/HM2333PS"],"itemData":{"id":1854,"type":"article-journal","abstract":"This article introduces a new mode of urban entrepreneurialism in London through a study of the state-executed, speculative development and financialization of public land. In response to an intensifying housing crisis and austerity-imposed fiscal constraints, municipalities in London are devising entrepreneurial solutions to deliver more housing. Among these ‘solutions’ can be found the early signs of the state-executed financialization of public housing in the UK with the use of speculative council-owned special purpose vehicles (SPVs) that replace existing public housing stock with mixed-tenure developments, creating ambiguous public/private tenancies that function as homes and the basis for liquid financial assets. Drawing together parallel literatures on the financialization of urban governance and housing, and combining these with original empirical research, we situate these developments in contrast to earlier modes of governance, identifying a distinct mode of entrepreneurial governance in London: financialized municipal entrepreneurialism. The local state is no longer merely the enabler––limited to providing strategic oversight of the private sector––but financializes its practice in a reimagined commercialized interventionism, as property speculator. This article concludes that while the architects of this new mode of entrepreneurialism extol the increased capacity and control it provides, any such gains must be set against longer-term financial, democratic and political risks.","container-title":"International Journal of Urban and Regional Research","DOI":"10.1111/1468-2427.12612","ISSN":"03091317","issue":"4","journalAbbreviation":"Int. J. Urban Reg. Res.","language":"en","page":"612-632","source":"DOI.org (Crossref)","title":"Demolishing the Present to Sell off the Future? The Emergence of ‘Financialized Municipal Entrepreneurialism’ in London","title-short":"Demolishing the Present to Sell off the Future?","volume":"42","author":[{"family":"Beswick","given":"Joe"},{"family":"Penny","given":"Joe"}],"issued":{"date-parts":[["2018",7]]}}},{"id":1710,"uris":["http://zotero.org/groups/4816685/items/AB2VN6V4"],"itemData":{"id":1710,"type":"article-journal","abstract":"There is a growing groundswell of opinion in commentary on the political economy of the Global North that the neoliberal era has seen the forceful (re)emergence of rentier capitalism. This article analyses the case of the UK. Identifying and delineating the predominant forms of contemporary rentierism operating in the UK, and using a range of datasets pertaining to the shape of the national economy, it shows that rentierism in its various guises is today a significant, even dominant, dynamic, in contrast to during the period preceding the neoliberal turn. The article further seeks to account for the ascendancy of the rentier in the UK under neoliberalism, highlighting key developments in the realms of monetary and fiscal policy and policies relating to asset ownership and property rights.","container-title":"Environment and Planning A: Economy and Space","DOI":"10.1177/0308518X19873007","ISSN":"0308-518X","journalAbbreviation":"Environ Plan A","language":"en","page":"0308518X19873007","publisher":"SAGE Publications Ltd","source":"SAGE Journals","title":"The rentierization of the United Kingdom economy","author":[{"family":"Christophers","given":"Brett"}],"issued":{"date-parts":[["2019",9,11]]}}}],"schema":"https://github.com/citation-style-language/schema/raw/master/csl-citation.json"} </w:instrText>
      </w:r>
      <w:r w:rsidRPr="00662E51">
        <w:rPr>
          <w:szCs w:val="24"/>
        </w:rPr>
        <w:fldChar w:fldCharType="separate"/>
      </w:r>
      <w:r w:rsidR="00213B80" w:rsidRPr="00213B80">
        <w:t>(J. Beswick and Penny 2018; Christophers 2019b)</w:t>
      </w:r>
      <w:r w:rsidRPr="00662E51">
        <w:rPr>
          <w:szCs w:val="24"/>
        </w:rPr>
        <w:fldChar w:fldCharType="end"/>
      </w:r>
      <w:r w:rsidRPr="00662E51">
        <w:rPr>
          <w:szCs w:val="24"/>
        </w:rPr>
        <w:t>. Thus, the Council intended to transfer these publicly held lands to the Vehicle, initially starting with its offices, commercial portfolio, and some housing estates like Northumberland Park. These initial sites were chosen for their potential to deliver increased rent. Wood Green, in the west of Haringey, was the Council’s first choice for regeneration based on its expected connectivity to central London after Crossrail 2’s completion</w:t>
      </w:r>
      <w:r w:rsidRPr="00BD17AF">
        <w:rPr>
          <w:rStyle w:val="FootnoteReference"/>
        </w:rPr>
        <w:footnoteReference w:id="22"/>
      </w:r>
      <w:r w:rsidRPr="00662E51">
        <w:rPr>
          <w:szCs w:val="24"/>
        </w:rPr>
        <w:t xml:space="preserve"> and extensive public holdings that are adjacent to other commercially profitable sites like the Wood Green shopping centre </w:t>
      </w:r>
      <w:r w:rsidRPr="00662E51">
        <w:rPr>
          <w:szCs w:val="24"/>
        </w:rPr>
        <w:fldChar w:fldCharType="begin"/>
      </w:r>
      <w:r w:rsidRPr="00662E51">
        <w:rPr>
          <w:szCs w:val="24"/>
        </w:rPr>
        <w:instrText xml:space="preserve"> ADDIN ZOTERO_ITEM CSL_CITATION {"citationID":"yxRyinYq","properties":{"formattedCitation":"(Turnberry Real Estate et al. 2015, 20)","plainCitation":"(Turnberry Real Estate et al. 2015, 20)","noteIndex":0},"citationItems":[{"id":1891,"uris":["http://zotero.org/groups/4816685/items/L3GSTLS3"],"itemData":{"id":1891,"type":"report","publisher":"Haringey Borough Council","title":"Haringey Development Vehicle Business Case","URL":"https://www.minutes.haringey.gov.uk/documents/s81584/151028%20HDV%20APPENDIX%20A1%20-%20Business%20Case%20public%20version.pdf","author":[{"literal":"Turnberry Real Estate"},{"literal":"Bilfinger GVA"},{"literal":"Pinsent Masons"}],"accessed":{"date-parts":[["2022",3,4]]},"issued":{"date-parts":[["2015",10]]}},"locator":"20"}],"schema":"https://github.com/citation-style-language/schema/raw/master/csl-citation.json"} </w:instrText>
      </w:r>
      <w:r w:rsidRPr="00662E51">
        <w:rPr>
          <w:szCs w:val="24"/>
        </w:rPr>
        <w:fldChar w:fldCharType="separate"/>
      </w:r>
      <w:r w:rsidRPr="00662E51">
        <w:rPr>
          <w:szCs w:val="24"/>
        </w:rPr>
        <w:t>(Turnberry Real Estate et al. 2015, 20)</w:t>
      </w:r>
      <w:r w:rsidRPr="00662E51">
        <w:rPr>
          <w:szCs w:val="24"/>
        </w:rPr>
        <w:fldChar w:fldCharType="end"/>
      </w:r>
      <w:r w:rsidRPr="00662E51">
        <w:rPr>
          <w:szCs w:val="24"/>
        </w:rPr>
        <w:t xml:space="preserve">. Over time, this collection would grow, as the Vehicle continued to redevelop Haringey, eventually including Northumberland Park. As seen in Figure 6, the HDV’s private partner would contribute its resources and expertise in development to the scheme. Both partners would equally share profit and control </w:t>
      </w:r>
      <w:r w:rsidRPr="00662E51">
        <w:rPr>
          <w:szCs w:val="24"/>
        </w:rPr>
        <w:fldChar w:fldCharType="begin"/>
      </w:r>
      <w:r w:rsidRPr="00662E51">
        <w:rPr>
          <w:szCs w:val="24"/>
        </w:rPr>
        <w:instrText xml:space="preserve"> ADDIN ZOTERO_ITEM CSL_CITATION {"citationID":"7LGqPezn","properties":{"formattedCitation":"(Turnberry Real Estate et al. 2015)","plainCitation":"(Turnberry Real Estate et al. 2015)","noteIndex":0},"citationItems":[{"id":1891,"uris":["http://zotero.org/groups/4816685/items/L3GSTLS3"],"itemData":{"id":1891,"type":"report","publisher":"Haringey Borough Council","title":"Haringey Development Vehicle Business Case","URL":"https://www.minutes.haringey.gov.uk/documents/s81584/151028%20HDV%20APPENDIX%20A1%20-%20Business%20Case%20public%20version.pdf","author":[{"literal":"Turnberry Real Estate"},{"literal":"Bilfinger GVA"},{"literal":"Pinsent Masons"}],"accessed":{"date-parts":[["2022",3,4]]},"issued":{"date-parts":[["2015",10]]}}}],"schema":"https://github.com/citation-style-language/schema/raw/master/csl-citation.json"} </w:instrText>
      </w:r>
      <w:r w:rsidRPr="00662E51">
        <w:rPr>
          <w:szCs w:val="24"/>
        </w:rPr>
        <w:fldChar w:fldCharType="separate"/>
      </w:r>
      <w:r w:rsidRPr="00662E51">
        <w:rPr>
          <w:szCs w:val="24"/>
        </w:rPr>
        <w:t>(Turnberry Real Estate et al. 2015)</w:t>
      </w:r>
      <w:r w:rsidRPr="00662E51">
        <w:rPr>
          <w:szCs w:val="24"/>
        </w:rPr>
        <w:fldChar w:fldCharType="end"/>
      </w:r>
      <w:r w:rsidRPr="00662E51">
        <w:rPr>
          <w:szCs w:val="24"/>
        </w:rPr>
        <w:t>. Although HDV supporters contended this arrangement would allow the Council to have an effective veto, campaigners saw it differently. They maintained that this equal split in decision-making meant the Council had the most to lose:</w:t>
      </w:r>
    </w:p>
    <w:p w14:paraId="14B08EDF" w14:textId="728E7FBE" w:rsidR="00527AFB" w:rsidRPr="00662E51" w:rsidRDefault="00527AFB" w:rsidP="006B6C07">
      <w:pPr>
        <w:ind w:left="0" w:firstLine="720"/>
        <w:rPr>
          <w:szCs w:val="24"/>
        </w:rPr>
      </w:pPr>
      <w:r w:rsidRPr="00662E51">
        <w:rPr>
          <w:szCs w:val="24"/>
        </w:rPr>
        <w:t xml:space="preserve"> </w:t>
      </w:r>
    </w:p>
    <w:p w14:paraId="5465CA11" w14:textId="1E9C9799" w:rsidR="00527AFB" w:rsidRDefault="00527AFB" w:rsidP="006B6C07">
      <w:pPr>
        <w:ind w:left="720"/>
        <w:rPr>
          <w:szCs w:val="24"/>
        </w:rPr>
      </w:pPr>
      <w:r w:rsidRPr="00662E51">
        <w:rPr>
          <w:szCs w:val="24"/>
        </w:rPr>
        <w:t>if the council and Lendlease could not agree on a substantive issue – for example, if Lendlease pushed to lower the amount of social or affordable housing being offered – a so-called deadlock event would occur, and project documents stated that the HDV would be wound up</w:t>
      </w:r>
      <w:r w:rsidR="00663B67">
        <w:rPr>
          <w:szCs w:val="24"/>
        </w:rPr>
        <w:t>.</w:t>
      </w:r>
      <w:r w:rsidRPr="00662E51">
        <w:rPr>
          <w:szCs w:val="24"/>
        </w:rPr>
        <w:t xml:space="preserve"> </w:t>
      </w:r>
      <w:r w:rsidRPr="00662E51">
        <w:rPr>
          <w:szCs w:val="24"/>
        </w:rPr>
        <w:fldChar w:fldCharType="begin"/>
      </w:r>
      <w:r w:rsidRPr="00662E51">
        <w:rPr>
          <w:szCs w:val="24"/>
        </w:rPr>
        <w:instrText xml:space="preserve"> ADDIN ZOTERO_ITEM CSL_CITATION {"citationID":"hoKnoTzD","properties":{"formattedCitation":"(Horton and Penny 2024, 68)","plainCitation":"(Horton and Penny 2024, 68)","noteIndex":0},"citationItems":[{"id":5697,"uris":["http://zotero.org/users/8977980/items/ZPYXM7A6"],"itemData":{"id":5697,"type":"book","ISBN":"978-1-80008-710-1","language":"eng","note":"OCLC: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CITY","URL":"https://www.uclpress.co.uk/products/240669","author":[{"family":"Horton","given":"Amy"},{"family":"Penny","given":"Joe"}],"issued":{"date-parts":[["2024"]]}},"locator":"68"}],"schema":"https://github.com/citation-style-language/schema/raw/master/csl-citation.json"} </w:instrText>
      </w:r>
      <w:r w:rsidRPr="00662E51">
        <w:rPr>
          <w:szCs w:val="24"/>
        </w:rPr>
        <w:fldChar w:fldCharType="separate"/>
      </w:r>
      <w:r w:rsidRPr="00662E51">
        <w:rPr>
          <w:szCs w:val="24"/>
        </w:rPr>
        <w:t>(Horton and Penny 2024, 68)</w:t>
      </w:r>
      <w:r w:rsidRPr="00662E51">
        <w:rPr>
          <w:szCs w:val="24"/>
        </w:rPr>
        <w:fldChar w:fldCharType="end"/>
      </w:r>
    </w:p>
    <w:p w14:paraId="0E8A23B0" w14:textId="77777777" w:rsidR="00FC64C9" w:rsidRPr="00662E51" w:rsidRDefault="00FC64C9" w:rsidP="006B6C07">
      <w:pPr>
        <w:ind w:left="720"/>
        <w:rPr>
          <w:szCs w:val="24"/>
        </w:rPr>
      </w:pPr>
    </w:p>
    <w:p w14:paraId="6005CBD6" w14:textId="15F8C805" w:rsidR="00527AFB" w:rsidRPr="00662E51" w:rsidRDefault="00FC64C9" w:rsidP="00527AFB">
      <w:pPr>
        <w:spacing w:line="360" w:lineRule="auto"/>
        <w:ind w:left="0"/>
        <w:rPr>
          <w:szCs w:val="24"/>
        </w:rPr>
      </w:pPr>
      <w:r>
        <w:rPr>
          <w:noProof/>
          <w:szCs w:val="24"/>
        </w:rPr>
        <w:lastRenderedPageBreak/>
        <mc:AlternateContent>
          <mc:Choice Requires="wpg">
            <w:drawing>
              <wp:anchor distT="0" distB="0" distL="114300" distR="114300" simplePos="0" relativeHeight="251679763" behindDoc="0" locked="0" layoutInCell="1" allowOverlap="1" wp14:anchorId="4AB86704" wp14:editId="1A43988A">
                <wp:simplePos x="0" y="0"/>
                <wp:positionH relativeFrom="column">
                  <wp:posOffset>-30480</wp:posOffset>
                </wp:positionH>
                <wp:positionV relativeFrom="paragraph">
                  <wp:posOffset>5272405</wp:posOffset>
                </wp:positionV>
                <wp:extent cx="5730875" cy="2988945"/>
                <wp:effectExtent l="0" t="0" r="3175" b="1905"/>
                <wp:wrapSquare wrapText="bothSides"/>
                <wp:docPr id="213120160" name="Group 23"/>
                <wp:cNvGraphicFramePr/>
                <a:graphic xmlns:a="http://schemas.openxmlformats.org/drawingml/2006/main">
                  <a:graphicData uri="http://schemas.microsoft.com/office/word/2010/wordprocessingGroup">
                    <wpg:wgp>
                      <wpg:cNvGrpSpPr/>
                      <wpg:grpSpPr>
                        <a:xfrm>
                          <a:off x="0" y="0"/>
                          <a:ext cx="5730875" cy="2988945"/>
                          <a:chOff x="0" y="0"/>
                          <a:chExt cx="5730875" cy="2988945"/>
                        </a:xfrm>
                      </wpg:grpSpPr>
                      <pic:pic xmlns:pic="http://schemas.openxmlformats.org/drawingml/2006/picture">
                        <pic:nvPicPr>
                          <pic:cNvPr id="606873389" name="Picture 1" descr="A diagram of a vehicle&#10;&#10;AI-generated content may be incorr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0875" cy="2403475"/>
                          </a:xfrm>
                          <a:prstGeom prst="rect">
                            <a:avLst/>
                          </a:prstGeom>
                        </pic:spPr>
                      </pic:pic>
                      <wps:wsp>
                        <wps:cNvPr id="204257542" name="Text Box 1"/>
                        <wps:cNvSpPr txBox="1"/>
                        <wps:spPr>
                          <a:xfrm>
                            <a:off x="0" y="2468880"/>
                            <a:ext cx="5730875" cy="520065"/>
                          </a:xfrm>
                          <a:prstGeom prst="rect">
                            <a:avLst/>
                          </a:prstGeom>
                          <a:solidFill>
                            <a:prstClr val="white"/>
                          </a:solidFill>
                          <a:ln>
                            <a:noFill/>
                          </a:ln>
                        </wps:spPr>
                        <wps:txbx>
                          <w:txbxContent>
                            <w:p w14:paraId="26AF9AE4" w14:textId="77777777" w:rsidR="00D109A7" w:rsidRPr="00662E51" w:rsidRDefault="00D109A7" w:rsidP="00D109A7">
                              <w:pPr>
                                <w:pStyle w:val="Caption"/>
                              </w:pPr>
                              <w:bookmarkStart w:id="62" w:name="_Toc216875898"/>
                              <w:r w:rsidRPr="00662E51">
                                <w:t xml:space="preserve">Figure </w:t>
                              </w:r>
                              <w:r>
                                <w:fldChar w:fldCharType="begin"/>
                              </w:r>
                              <w:r>
                                <w:instrText>SEQ Figure \* ARABIC</w:instrText>
                              </w:r>
                              <w:r>
                                <w:fldChar w:fldCharType="separate"/>
                              </w:r>
                              <w:r w:rsidRPr="00662E51">
                                <w:t>6</w:t>
                              </w:r>
                              <w:r>
                                <w:fldChar w:fldCharType="end"/>
                              </w:r>
                              <w:r w:rsidRPr="00662E51">
                                <w:t xml:space="preserve"> - Haringey Development Vehicle’s proposed structure (Turnberry Real Estate et al. 2015, 46</w:t>
                              </w:r>
                            </w:p>
                            <w:p w14:paraId="39D5DC98" w14:textId="77777777" w:rsidR="00D109A7" w:rsidRDefault="00D109A7"/>
                            <w:p w14:paraId="0F1C333E" w14:textId="5C7C7CCC" w:rsidR="00D109A7" w:rsidRPr="00662E51" w:rsidRDefault="006A1090" w:rsidP="00D109A7">
                              <w:pPr>
                                <w:pStyle w:val="Caption"/>
                              </w:pPr>
                              <w:r w:rsidRPr="00662E51">
                                <w:t xml:space="preserve">Figure </w:t>
                              </w:r>
                              <w:r>
                                <w:fldChar w:fldCharType="begin"/>
                              </w:r>
                              <w:r>
                                <w:instrText>SEQ Figure \* ARABIC</w:instrText>
                              </w:r>
                              <w:r>
                                <w:fldChar w:fldCharType="separate"/>
                              </w:r>
                              <w:r w:rsidRPr="00662E51">
                                <w:t>7</w:t>
                              </w:r>
                              <w:r>
                                <w:fldChar w:fldCharType="end"/>
                              </w:r>
                              <w:r w:rsidRPr="00662E51">
                                <w:t xml:space="preserve"> - Approximate High Road West regeneration area in black. Made by author using Open Streets Map</w:t>
                              </w:r>
                              <w:r w:rsidR="00D109A7" w:rsidRPr="00662E51">
                                <w:t xml:space="preserve">Figure </w:t>
                              </w:r>
                              <w:r w:rsidR="00D109A7">
                                <w:fldChar w:fldCharType="begin"/>
                              </w:r>
                              <w:r w:rsidR="00D109A7">
                                <w:instrText>SEQ Figure \* ARABIC</w:instrText>
                              </w:r>
                              <w:r w:rsidR="00D109A7">
                                <w:fldChar w:fldCharType="separate"/>
                              </w:r>
                              <w:r w:rsidR="00D109A7" w:rsidRPr="00662E51">
                                <w:t>6</w:t>
                              </w:r>
                              <w:r w:rsidR="00D109A7">
                                <w:fldChar w:fldCharType="end"/>
                              </w:r>
                              <w:r w:rsidR="00D109A7" w:rsidRPr="00662E51">
                                <w:t xml:space="preserve"> - Haringey Development Vehicle’s proposed structure (Turnberry Real Estate et al. 2015, 46</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AB86704" id="Group 23" o:spid="_x0000_s1030" style="position:absolute;left:0;text-align:left;margin-left:-2.4pt;margin-top:415.15pt;width:451.25pt;height:235.35pt;z-index:251679763" coordsize="57308,29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1" type="#_x0000_t75" alt="A diagram of a vehicle&#10;&#10;AI-generated content may be incorrect." style="position:absolute;width:57308;height:24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">
                  <v:imagedata r:id="rId14" o:title="A diagram of a vehicle&#10;&#10;AI-generated content may be incorrect"/>
                </v:shape>
                <v:shape id="_x0000_s1032" type="#_x0000_t202" style="position:absolute;top:24688;width:57308;height:5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" stroked="f">
                  <v:textbox inset="0,0,0,0">
                    <w:txbxContent>
                      <w:p w14:paraId="26AF9AE4" w14:textId="77777777" w:rsidR="00D109A7" w:rsidRPr="00662E51" w:rsidRDefault="00D109A7" w:rsidP="00D109A7">
                        <w:pPr>
                          <w:pStyle w:val="Caption"/>
                        </w:pPr>
                        <w:bookmarkStart w:id="63" w:name="_Toc216875898"/>
                        <w:r w:rsidRPr="00662E51">
                          <w:t xml:space="preserve">Figure </w:t>
                        </w:r>
                        <w:r>
                          <w:fldChar w:fldCharType="begin"/>
                        </w:r>
                        <w:r>
                          <w:instrText>SEQ Figure \* ARABIC</w:instrText>
                        </w:r>
                        <w:r>
                          <w:fldChar w:fldCharType="separate"/>
                        </w:r>
                        <w:r w:rsidRPr="00662E51">
                          <w:t>6</w:t>
                        </w:r>
                        <w:r>
                          <w:fldChar w:fldCharType="end"/>
                        </w:r>
                        <w:r w:rsidRPr="00662E51">
                          <w:t xml:space="preserve"> - Haringey Development Vehicle’s proposed structure (Turnberry Real Estate et al. 2015, 46</w:t>
                        </w:r>
                      </w:p>
                      <w:p w14:paraId="39D5DC98" w14:textId="77777777" w:rsidR="00D109A7" w:rsidRDefault="00D109A7"/>
                      <w:p w14:paraId="0F1C333E" w14:textId="5C7C7CCC" w:rsidR="00D109A7" w:rsidRPr="00662E51" w:rsidRDefault="006A1090" w:rsidP="00D109A7">
                        <w:pPr>
                          <w:pStyle w:val="Caption"/>
                        </w:pPr>
                        <w:r w:rsidRPr="00662E51">
                          <w:t xml:space="preserve">Figure </w:t>
                        </w:r>
                        <w:r>
                          <w:fldChar w:fldCharType="begin"/>
                        </w:r>
                        <w:r>
                          <w:instrText>SEQ Figure \* ARABIC</w:instrText>
                        </w:r>
                        <w:r>
                          <w:fldChar w:fldCharType="separate"/>
                        </w:r>
                        <w:r w:rsidRPr="00662E51">
                          <w:t>7</w:t>
                        </w:r>
                        <w:r>
                          <w:fldChar w:fldCharType="end"/>
                        </w:r>
                        <w:r w:rsidRPr="00662E51">
                          <w:t xml:space="preserve"> - Approximate High Road West regeneration area in black. Made by author using Open Streets Map</w:t>
                        </w:r>
                        <w:r w:rsidR="00D109A7" w:rsidRPr="00662E51">
                          <w:t xml:space="preserve">Figure </w:t>
                        </w:r>
                        <w:r w:rsidR="00D109A7">
                          <w:fldChar w:fldCharType="begin"/>
                        </w:r>
                        <w:r w:rsidR="00D109A7">
                          <w:instrText>SEQ Figure \* ARABIC</w:instrText>
                        </w:r>
                        <w:r w:rsidR="00D109A7">
                          <w:fldChar w:fldCharType="separate"/>
                        </w:r>
                        <w:r w:rsidR="00D109A7" w:rsidRPr="00662E51">
                          <w:t>6</w:t>
                        </w:r>
                        <w:r w:rsidR="00D109A7">
                          <w:fldChar w:fldCharType="end"/>
                        </w:r>
                        <w:r w:rsidR="00D109A7" w:rsidRPr="00662E51">
                          <w:t xml:space="preserve"> - Haringey Development Vehicle’s proposed structure (Turnberry Real Estate et al. 2015, 46</w:t>
                        </w:r>
                        <w:bookmarkEnd w:id="63"/>
                      </w:p>
                    </w:txbxContent>
                  </v:textbox>
                </v:shape>
                <w10:wrap type="square"/>
              </v:group>
            </w:pict>
          </mc:Fallback>
        </mc:AlternateContent>
      </w:r>
      <w:r w:rsidR="00527AFB" w:rsidRPr="00662E51">
        <w:rPr>
          <w:szCs w:val="24"/>
        </w:rPr>
        <w:t xml:space="preserve">Winding up the scheme would be economically and politically damaging, not to mention incur significant costs to the council. From the start, then, the structure was designed to take advantage of London’s speculative housing market, no matter the cost </w:t>
      </w:r>
      <w:r w:rsidR="00527AFB" w:rsidRPr="00662E51">
        <w:rPr>
          <w:szCs w:val="24"/>
        </w:rPr>
        <w:fldChar w:fldCharType="begin"/>
      </w:r>
      <w:r w:rsidR="00527AFB" w:rsidRPr="00662E51">
        <w:rPr>
          <w:szCs w:val="24"/>
        </w:rPr>
        <w:instrText xml:space="preserve"> ADDIN ZOTERO_ITEM CSL_CITATION {"citationID":"P62v73m0","properties":{"formattedCitation":"(Chu and He 2022)","plainCitation":"(Chu and He 2022)","noteIndex":0},"citationItems":[{"id":6881,"uris":["http://zotero.org/users/8977980/items/FF2RF84G"],"itemData":{"id":6881,"type":"book","abstract":"The Speculative City explores property speculation as a key aspect of financialization and its role in reshaping the contemporary built environment. The book offers a series of case studies that encompass a range of cities whose urban fabrics have undergone significant transformation in recent years.While the forms of these developments share many similarities, their trajectories and social outcomes were contingent upon existing planning and policy frameworks in addition to the historical roles assumed by the state and the private sector in housing and welfare provision. By paying close attention to the forces and actors involved in property development, this book underscores that the built environment has played an integral part in shaping new values and collective aspirations, while also facilitating the spread of financial logics in urban governance. The essays in this collection show that these dynamics represent a larger shift of politics and culture in the ongoing production of urban space and prompt reflections on future trajectories of finance-led property speculation.","ISBN":"978-1-4875-0719-0","language":"English","number-of-pages":"282","publisher":"University of Toronto Press","publisher-place":"Toronto ; Buffalo ; London","title":"The Speculative City: Emergent Forms and Norms of the Built Environment","title-short":"The Speculative City","editor":[{"family":"Chu","given":"Cecilia L."},{"family":"He","given":"Shenjing"}],"issued":{"date-parts":[["2022"]]}}}],"schema":"https://github.com/citation-style-language/schema/raw/master/csl-citation.json"} </w:instrText>
      </w:r>
      <w:r w:rsidR="00527AFB" w:rsidRPr="00662E51">
        <w:rPr>
          <w:szCs w:val="24"/>
        </w:rPr>
        <w:fldChar w:fldCharType="separate"/>
      </w:r>
      <w:r w:rsidR="00527AFB" w:rsidRPr="00662E51">
        <w:rPr>
          <w:szCs w:val="24"/>
        </w:rPr>
        <w:t>(Chu and He 2022)</w:t>
      </w:r>
      <w:r w:rsidR="00527AFB" w:rsidRPr="00662E51">
        <w:rPr>
          <w:szCs w:val="24"/>
        </w:rPr>
        <w:fldChar w:fldCharType="end"/>
      </w:r>
      <w:r w:rsidR="00527AFB" w:rsidRPr="00662E51">
        <w:rPr>
          <w:szCs w:val="24"/>
        </w:rPr>
        <w:t xml:space="preserve">. Council documents state that “the Council owns a substantial and diverse property portfolio,” but much of it “suffer[s] from: Being in areas of deprivation; Low land values; [and] Underperformance” </w:t>
      </w:r>
      <w:r w:rsidR="00527AFB" w:rsidRPr="00662E51">
        <w:rPr>
          <w:szCs w:val="24"/>
        </w:rPr>
        <w:fldChar w:fldCharType="begin"/>
      </w:r>
      <w:r w:rsidR="00527AFB" w:rsidRPr="00662E51">
        <w:rPr>
          <w:szCs w:val="24"/>
        </w:rPr>
        <w:instrText xml:space="preserve"> ADDIN ZOTERO_ITEM CSL_CITATION {"citationID":"aeUnlDuR","properties":{"formattedCitation":"(Turnberry Real Estate et al. 2015, 4)","plainCitation":"(Turnberry Real Estate et al. 2015, 4)","noteIndex":0},"citationItems":[{"id":1891,"uris":["http://zotero.org/groups/4816685/items/L3GSTLS3"],"itemData":{"id":1891,"type":"report","publisher":"Haringey Borough Council","title":"Haringey Development Vehicle Business Case","URL":"https://www.minutes.haringey.gov.uk/documents/s81584/151028%20HDV%20APPENDIX%20A1%20-%20Business%20Case%20public%20version.pdf","author":[{"literal":"Turnberry Real Estate"},{"literal":"Bilfinger GVA"},{"literal":"Pinsent Masons"}],"accessed":{"date-parts":[["2022",3,4]]},"issued":{"date-parts":[["2015",10]]}},"locator":"4"}],"schema":"https://github.com/citation-style-language/schema/raw/master/csl-citation.json"} </w:instrText>
      </w:r>
      <w:r w:rsidR="00527AFB" w:rsidRPr="00662E51">
        <w:rPr>
          <w:szCs w:val="24"/>
        </w:rPr>
        <w:fldChar w:fldCharType="separate"/>
      </w:r>
      <w:r w:rsidR="00527AFB" w:rsidRPr="00662E51">
        <w:rPr>
          <w:szCs w:val="24"/>
        </w:rPr>
        <w:t>(Turnberry Real Estate et al. 2015, 4)</w:t>
      </w:r>
      <w:r w:rsidR="00527AFB" w:rsidRPr="00662E51">
        <w:rPr>
          <w:szCs w:val="24"/>
        </w:rPr>
        <w:fldChar w:fldCharType="end"/>
      </w:r>
      <w:r w:rsidR="00527AFB" w:rsidRPr="00662E51">
        <w:rPr>
          <w:szCs w:val="24"/>
        </w:rPr>
        <w:t xml:space="preserve">. As Horton and Penny </w:t>
      </w:r>
      <w:r w:rsidR="00527AFB" w:rsidRPr="00662E51">
        <w:rPr>
          <w:szCs w:val="24"/>
        </w:rPr>
        <w:fldChar w:fldCharType="begin"/>
      </w:r>
      <w:r w:rsidR="00527AFB" w:rsidRPr="00662E51">
        <w:rPr>
          <w:szCs w:val="24"/>
        </w:rPr>
        <w:instrText xml:space="preserve"> ADDIN ZOTERO_ITEM CSL_CITATION {"citationID":"wySqI1FL","properties":{"formattedCitation":"(2024)","plainCitation":"(2024)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uppress-author":true}],"schema":"https://github.com/citation-style-language/schema/raw/master/csl-citation.json"} </w:instrText>
      </w:r>
      <w:r w:rsidR="00527AFB" w:rsidRPr="00662E51">
        <w:rPr>
          <w:szCs w:val="24"/>
        </w:rPr>
        <w:fldChar w:fldCharType="separate"/>
      </w:r>
      <w:r w:rsidR="00527AFB" w:rsidRPr="00662E51">
        <w:rPr>
          <w:szCs w:val="24"/>
        </w:rPr>
        <w:t>(2024)</w:t>
      </w:r>
      <w:r w:rsidR="00527AFB" w:rsidRPr="00662E51">
        <w:rPr>
          <w:szCs w:val="24"/>
        </w:rPr>
        <w:fldChar w:fldCharType="end"/>
      </w:r>
      <w:r w:rsidR="00527AFB" w:rsidRPr="00662E51">
        <w:rPr>
          <w:szCs w:val="24"/>
        </w:rPr>
        <w:t xml:space="preserve"> posit, the HDV was intended to build thousands of new homes and commercial properties, which would bring in higher tax receipts and increase property values. New businesses would also create new jobs—forming a virtuous </w:t>
      </w:r>
      <w:r w:rsidR="00527AFB" w:rsidRPr="00662E51">
        <w:rPr>
          <w:szCs w:val="24"/>
        </w:rPr>
        <w:fldChar w:fldCharType="begin"/>
      </w:r>
      <w:r w:rsidR="001B2CAA">
        <w:rPr>
          <w:szCs w:val="24"/>
        </w:rPr>
        <w:instrText xml:space="preserve"> ADDIN ZOTERO_ITEM CSL_CITATION {"citationID":"03BqjwkR","properties":{"formattedCitation":"(but vicious for current residents; Watt 2021b)","plainCitation":"(but vicious for current residents; Watt 2021b)","noteIndex":0},"citationItems":[{"id":"n0Saldgp/r7qNchtf","uris":["http://zotero.org/users/8977980/items/BHKUJBH9"],"itemData":{"id":"aGtpkzEY/yBCrZqq5","type":"book","abstract":"Public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Discontents","author":[{"family":"Watt","given":"Paul"}],"issued":{"date-parts":[["2021",3,31]]}},"prefix":"but vicious for current residents;"}],"schema":"https://github.com/citation-style-language/schema/raw/master/csl-citation.json"} </w:instrText>
      </w:r>
      <w:r w:rsidR="00527AFB" w:rsidRPr="00662E51">
        <w:rPr>
          <w:szCs w:val="24"/>
        </w:rPr>
        <w:fldChar w:fldCharType="separate"/>
      </w:r>
      <w:r w:rsidR="00527AFB" w:rsidRPr="00662E51">
        <w:t>(but vicious for current residents; Watt 2021b)</w:t>
      </w:r>
      <w:r w:rsidR="00527AFB" w:rsidRPr="00662E51">
        <w:rPr>
          <w:szCs w:val="24"/>
        </w:rPr>
        <w:fldChar w:fldCharType="end"/>
      </w:r>
      <w:r w:rsidR="00527AFB" w:rsidRPr="00662E51">
        <w:rPr>
          <w:szCs w:val="24"/>
        </w:rPr>
        <w:t xml:space="preserve"> cycle of growth. As depicted by Horton and Penny </w:t>
      </w:r>
      <w:r w:rsidR="00527AFB" w:rsidRPr="00662E51">
        <w:rPr>
          <w:szCs w:val="24"/>
        </w:rPr>
        <w:fldChar w:fldCharType="begin"/>
      </w:r>
      <w:r w:rsidR="00527AFB" w:rsidRPr="00662E51">
        <w:rPr>
          <w:szCs w:val="24"/>
        </w:rPr>
        <w:instrText xml:space="preserve"> ADDIN ZOTERO_ITEM CSL_CITATION {"citationID":"66AZDsL3","properties":{"formattedCitation":"(2024)","plainCitation":"(2024)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uppress-author":true}],"schema":"https://github.com/citation-style-language/schema/raw/master/csl-citation.json"} </w:instrText>
      </w:r>
      <w:r w:rsidR="00527AFB" w:rsidRPr="00662E51">
        <w:rPr>
          <w:szCs w:val="24"/>
        </w:rPr>
        <w:fldChar w:fldCharType="separate"/>
      </w:r>
      <w:r w:rsidR="00527AFB" w:rsidRPr="00662E51">
        <w:rPr>
          <w:szCs w:val="24"/>
        </w:rPr>
        <w:t>(2024)</w:t>
      </w:r>
      <w:r w:rsidR="00527AFB" w:rsidRPr="00662E51">
        <w:rPr>
          <w:szCs w:val="24"/>
        </w:rPr>
        <w:fldChar w:fldCharType="end"/>
      </w:r>
      <w:r w:rsidR="00527AFB" w:rsidRPr="00662E51">
        <w:rPr>
          <w:szCs w:val="24"/>
        </w:rPr>
        <w:t xml:space="preserve">, the scheme was devised by the then-Leader of the Council, Claire Kober, and property consultants—with marginal input from the rest of the party. </w:t>
      </w:r>
      <w:r w:rsidR="00805437">
        <w:rPr>
          <w:szCs w:val="24"/>
        </w:rPr>
        <w:t>There was even less e</w:t>
      </w:r>
      <w:r w:rsidR="00527AFB" w:rsidRPr="00662E51">
        <w:rPr>
          <w:szCs w:val="24"/>
        </w:rPr>
        <w:t>ngagement with residents</w:t>
      </w:r>
      <w:r w:rsidR="00805437">
        <w:rPr>
          <w:szCs w:val="24"/>
        </w:rPr>
        <w:t>:</w:t>
      </w:r>
      <w:r w:rsidR="00527AFB" w:rsidRPr="00662E51">
        <w:rPr>
          <w:szCs w:val="24"/>
        </w:rPr>
        <w:t xml:space="preserve"> even the Council’s own consultants agreed. Even against a widespread campaign against the scheme—and various organs within and without the Labour Party calling for a halt—Kober and her allies progressed with the Vehicle </w:t>
      </w:r>
      <w:r w:rsidR="00527AFB" w:rsidRPr="00662E51">
        <w:rPr>
          <w:szCs w:val="24"/>
        </w:rPr>
        <w:fldChar w:fldCharType="begin"/>
      </w:r>
      <w:r w:rsidR="00527AFB" w:rsidRPr="00662E51">
        <w:rPr>
          <w:szCs w:val="24"/>
        </w:rPr>
        <w:instrText xml:space="preserve"> ADDIN ZOTERO_ITEM CSL_CITATION {"citationID":"3KdvHg5k","properties":{"formattedCitation":"(Chakrabortty 2017)","plainCitation":"(Chakrabortty 2017)","noteIndex":0},"citationItems":[{"id":7000,"uris":["http://zotero.org/users/8977980/items/QNBBXLCP"],"itemData":{"id":7000,"type":"article-newspaper","abstract":"There are many ways to remedy London’s housing crisis. Now it’s up to a judge to halt one of the worst, writes Guardian columnist Aditya Chakrabortty","container-title":"The Guardian","ISSN":"0261-3077","language":"en-GB","section":"Opinion","source":"The Guardian","title":"A Labour council attacking its own people? This is regeneration gone bad","title-short":"A Labour council attacking its own people?","URL":"https://www.theguardian.com/commentisfree/2017/oct/25/labour-council-regeneration-housing-crisis-high-court-judge","author":[{"family":"Chakrabortty","given":"Aditya"}],"accessed":{"date-parts":[["2025",9,23]]},"issued":{"date-parts":[["2017",10,25]]}}}],"schema":"https://github.com/citation-style-language/schema/raw/master/csl-citation.json"} </w:instrText>
      </w:r>
      <w:r w:rsidR="00527AFB" w:rsidRPr="00662E51">
        <w:rPr>
          <w:szCs w:val="24"/>
        </w:rPr>
        <w:fldChar w:fldCharType="separate"/>
      </w:r>
      <w:r w:rsidR="00527AFB" w:rsidRPr="00662E51">
        <w:rPr>
          <w:szCs w:val="24"/>
        </w:rPr>
        <w:t>(Chakrabortty 2017)</w:t>
      </w:r>
      <w:r w:rsidR="00527AFB" w:rsidRPr="00662E51">
        <w:rPr>
          <w:szCs w:val="24"/>
        </w:rPr>
        <w:fldChar w:fldCharType="end"/>
      </w:r>
      <w:r w:rsidR="00527AFB" w:rsidRPr="00662E51">
        <w:rPr>
          <w:szCs w:val="24"/>
        </w:rPr>
        <w:t xml:space="preserve">. In all, the Vehicle was a wholesale capitulation of democratic decision-making and a ceding of publicly own assets to the hands of capital </w:t>
      </w:r>
      <w:r w:rsidR="00527AFB" w:rsidRPr="00662E51">
        <w:rPr>
          <w:szCs w:val="24"/>
        </w:rPr>
        <w:fldChar w:fldCharType="begin"/>
      </w:r>
      <w:r w:rsidR="00213B80">
        <w:rPr>
          <w:szCs w:val="24"/>
        </w:rPr>
        <w:instrText xml:space="preserve"> ADDIN ZOTERO_ITEM CSL_CITATION {"citationID":"O9rMjpho","properties":{"formattedCitation":"(D. Byrne 2018)","plainCitation":"(D. Byrne 2018)","noteIndex":0},"citationItems":[{"id":6919,"uris":["http://zotero.org/users/8977980/items/TS99YWM8"],"itemData":{"id":6919,"type":"article-journal","abstract":"&lt;em&gt;Gale&lt;/em&gt; Literature Resource Center includes The problem that is Labour local government: It is time by David Byrne. Click to explore.","container-title":"Soundings","DOI":"10.3898/SOUN:69.03.2018","ISSN":"13626620","issue":"69","language":"English","page":"50-64","publisher":"Lawrence &amp;amp; Wishart Ltd.","source":"go-gale-com.ezphost.dur.ac.uk","title":"The problem that is Labour local government: It is time to move away from Labour pragmatism in local government","title-short":"The problem that is Labour local government","author":[{"family":"Byrne","given":"David"}],"issued":{"date-parts":[["2018",6,22]]}}}],"schema":"https://github.com/citation-style-language/schema/raw/master/csl-citation.json"} </w:instrText>
      </w:r>
      <w:r w:rsidR="00527AFB" w:rsidRPr="00662E51">
        <w:rPr>
          <w:szCs w:val="24"/>
        </w:rPr>
        <w:fldChar w:fldCharType="separate"/>
      </w:r>
      <w:r w:rsidR="00213B80" w:rsidRPr="00213B80">
        <w:t>(D. Byrne 2018)</w:t>
      </w:r>
      <w:r w:rsidR="00527AFB" w:rsidRPr="00662E51">
        <w:rPr>
          <w:szCs w:val="24"/>
        </w:rPr>
        <w:fldChar w:fldCharType="end"/>
      </w:r>
      <w:r w:rsidR="00527AFB" w:rsidRPr="00662E51">
        <w:rPr>
          <w:szCs w:val="24"/>
        </w:rPr>
        <w:t>.</w:t>
      </w:r>
    </w:p>
    <w:p w14:paraId="5969AC87" w14:textId="3416A321" w:rsidR="00527AFB" w:rsidRPr="00662E51" w:rsidRDefault="00527AFB" w:rsidP="00527AFB">
      <w:pPr>
        <w:spacing w:line="360" w:lineRule="auto"/>
        <w:ind w:left="0"/>
        <w:rPr>
          <w:szCs w:val="24"/>
        </w:rPr>
      </w:pPr>
      <w:r w:rsidRPr="00662E51">
        <w:rPr>
          <w:szCs w:val="24"/>
        </w:rPr>
        <w:tab/>
        <w:t xml:space="preserve">The Vehicle did not spring from nowhere. It was the culmination of those aforementioned discourses that framed Tottenham—and eastern Haringey by </w:t>
      </w:r>
      <w:r w:rsidRPr="00662E51">
        <w:rPr>
          <w:szCs w:val="24"/>
        </w:rPr>
        <w:lastRenderedPageBreak/>
        <w:t xml:space="preserve">extension—as areas of disrepute that needed fundamental reshaping. In effect, the Vehicle was a revanchist scheme to remove the stain of the riot </w:t>
      </w:r>
      <w:r w:rsidRPr="00662E51">
        <w:rPr>
          <w:szCs w:val="24"/>
        </w:rPr>
        <w:fldChar w:fldCharType="begin"/>
      </w:r>
      <w:r w:rsidR="00F15CF8">
        <w:rPr>
          <w:szCs w:val="24"/>
        </w:rPr>
        <w:instrText xml:space="preserve"> ADDIN ZOTERO_ITEM CSL_CITATION {"citationID":"ewznDaxt","properties":{"formattedCitation":"(Perera 2019a, 2019b)","plainCitation":"(Perera 2019a, 2019b)","noteIndex":0},"citationItems":[{"id":3141,"uris":["http://zotero.org/users/8977980/items/CB3BBSPP"],"itemData":{"id":3141,"type":"report","language":"en","number":"12","publisher":"Institute of Race Relations","publisher-place":"London","source":"Zotero","title":"The London Clearances: Race, Housing and Policing","URL":"https://irr.org.uk/wp-content/uploads/2020/09/The-London-Clearances-Race-Housing-and-Policing-1.pdf","author":[{"family":"Perera","given":"Jessica"}],"issued":{"date-parts":[["2019"]]}}},{"id":4590,"uris":["http://zotero.org/users/8977980/items/3LU2NP77"],"itemData":{"id":4590,"type":"post-weblog","abstract":"With regeneration looming large over Tottenham, north London, IRR interviews young activist Tash Bonner who is fighting back.  Tottenham in many respects has been unable to heal from both the murder of Mark Duggan and the uprisings of 2011 because rather than the state dealing with both of these matters and investing in the community,Read More...","container-title":"Institute of Race Relations","language":"en-GB","title":"This is ‘Grenfell Britain’, where if a fire does not get you, demolition will","URL":"https://irr.org.uk/article/this-is-grenfell-britain-where-if-a-fire-does-not-get-you-demolition-will/","author":[{"family":"Perera","given":"Jessica"}],"accessed":{"date-parts":[["2023",7,12]]},"issued":{"date-parts":[["2019",5,9]]}}}],"schema":"https://github.com/citation-style-language/schema/raw/master/csl-citation.json"} </w:instrText>
      </w:r>
      <w:r w:rsidRPr="00662E51">
        <w:rPr>
          <w:szCs w:val="24"/>
        </w:rPr>
        <w:fldChar w:fldCharType="separate"/>
      </w:r>
      <w:r w:rsidR="00F15CF8" w:rsidRPr="00F15CF8">
        <w:t>(Perera 2019a, 2019b)</w:t>
      </w:r>
      <w:r w:rsidRPr="00662E51">
        <w:rPr>
          <w:szCs w:val="24"/>
        </w:rPr>
        <w:fldChar w:fldCharType="end"/>
      </w:r>
      <w:r w:rsidRPr="00662E51">
        <w:rPr>
          <w:szCs w:val="24"/>
        </w:rPr>
        <w:t xml:space="preserve">. The London Mayor’s report, </w:t>
      </w:r>
      <w:r w:rsidRPr="00662E51">
        <w:rPr>
          <w:i/>
          <w:iCs/>
          <w:szCs w:val="24"/>
        </w:rPr>
        <w:t>It Took Another Riot</w:t>
      </w:r>
      <w:r w:rsidRPr="00662E51">
        <w:rPr>
          <w:szCs w:val="24"/>
        </w:rPr>
        <w:t xml:space="preserve">, tapped into those discourses across ten policy recommendations. These ranged from “measures to tackle population churn and overcrowding” (the result of low rent for working class residents) to “Form an independent governance structure” (intended to coordinate various regeneration schemes that were deemed too difficult for the council to handle) </w:t>
      </w:r>
      <w:r w:rsidRPr="00662E51">
        <w:rPr>
          <w:szCs w:val="24"/>
        </w:rPr>
        <w:fldChar w:fldCharType="begin"/>
      </w:r>
      <w:r w:rsidRPr="00662E51">
        <w:rPr>
          <w:szCs w:val="24"/>
        </w:rPr>
        <w:instrText xml:space="preserve"> ADDIN ZOTERO_ITEM CSL_CITATION {"citationID":"rtju0zJn","properties":{"formattedCitation":"(Levett 2012, 12\\uc0\\u8211{}13)","plainCitation":"(Levett 2012, 12–13)","noteIndex":0},"citationItems":[{"id":5070,"uris":["http://zotero.org/users/8977980/items/W57USM36"],"itemData":{"id":5070,"type":"report","publisher":"Mayor of London’s Office","publisher-place":"London","title":"It Took Another Riot: The concluding report of the Mayor of London’s Independent Panel on Tottenham","title-short":"It Took Another Riot","URL":"https://www.london.gov.uk/sites/default/files/it_took_another_riot.pdf","author":[{"family":"Levett","given":"Don"}],"accessed":{"date-parts":[["2023",9,12]]},"issued":{"date-parts":[["2012",12,11]]}},"locator":"12-13","label":"page"}],"schema":"https://github.com/citation-style-language/schema/raw/master/csl-citation.json"} </w:instrText>
      </w:r>
      <w:r w:rsidRPr="00662E51">
        <w:rPr>
          <w:szCs w:val="24"/>
        </w:rPr>
        <w:fldChar w:fldCharType="separate"/>
      </w:r>
      <w:r w:rsidRPr="00662E51">
        <w:rPr>
          <w:rFonts w:cs="Times New Roman"/>
          <w:kern w:val="0"/>
          <w:szCs w:val="24"/>
        </w:rPr>
        <w:t>(Levett 2012, 12–13)</w:t>
      </w:r>
      <w:r w:rsidRPr="00662E51">
        <w:rPr>
          <w:szCs w:val="24"/>
        </w:rPr>
        <w:fldChar w:fldCharType="end"/>
      </w:r>
      <w:r w:rsidRPr="00662E51">
        <w:rPr>
          <w:szCs w:val="24"/>
        </w:rPr>
        <w:t xml:space="preserve">. In terms of council housing, the report repeated rhetoric that tied certain forms of built environments associated with public housing to crime and other social ills—and explicitly argued for its demolition. Indeed, one recommendation was that “funding should not be tied to the creation of additional social housing,” revealing the report’s intent to justify large-scale development of new private homes in Tottenham </w:t>
      </w:r>
      <w:r w:rsidRPr="00662E51">
        <w:rPr>
          <w:szCs w:val="24"/>
        </w:rPr>
        <w:fldChar w:fldCharType="begin"/>
      </w:r>
      <w:r w:rsidRPr="00662E51">
        <w:rPr>
          <w:szCs w:val="24"/>
        </w:rPr>
        <w:instrText xml:space="preserve"> ADDIN ZOTERO_ITEM CSL_CITATION {"citationID":"wDwVdJXk","properties":{"formattedCitation":"(Levett 2012, 38)","plainCitation":"(Levett 2012, 38)","noteIndex":0},"citationItems":[{"id":5070,"uris":["http://zotero.org/users/8977980/items/W57USM36"],"itemData":{"id":5070,"type":"report","publisher":"Mayor of London’s Office","publisher-place":"London","title":"It Took Another Riot: The concluding report of the Mayor of London’s Independent Panel on Tottenham","title-short":"It Took Another Riot","URL":"https://www.london.gov.uk/sites/default/files/it_took_another_riot.pdf","author":[{"family":"Levett","given":"Don"}],"accessed":{"date-parts":[["2023",9,12]]},"issued":{"date-parts":[["2012",12,11]]}},"locator":"38"}],"schema":"https://github.com/citation-style-language/schema/raw/master/csl-citation.json"} </w:instrText>
      </w:r>
      <w:r w:rsidRPr="00662E51">
        <w:rPr>
          <w:szCs w:val="24"/>
        </w:rPr>
        <w:fldChar w:fldCharType="separate"/>
      </w:r>
      <w:r w:rsidRPr="00662E51">
        <w:rPr>
          <w:szCs w:val="24"/>
        </w:rPr>
        <w:t>(Levett 2012, 38)</w:t>
      </w:r>
      <w:r w:rsidRPr="00662E51">
        <w:rPr>
          <w:szCs w:val="24"/>
        </w:rPr>
        <w:fldChar w:fldCharType="end"/>
      </w:r>
      <w:r w:rsidRPr="00662E51">
        <w:rPr>
          <w:szCs w:val="24"/>
        </w:rPr>
        <w:t xml:space="preserve">. The proposed independent governance structure, while perhaps intended to bring coordination and improvements to Tottenham, lacks clear democratic accountability; for example, nothing is said about how Haringey Council or third sector organisations can ‘check’ the activities of this new structure </w:t>
      </w:r>
      <w:r w:rsidRPr="00662E51">
        <w:rPr>
          <w:szCs w:val="24"/>
        </w:rPr>
        <w:fldChar w:fldCharType="begin"/>
      </w:r>
      <w:r w:rsidRPr="00662E51">
        <w:rPr>
          <w:szCs w:val="24"/>
        </w:rPr>
        <w:instrText xml:space="preserve"> ADDIN ZOTERO_ITEM CSL_CITATION {"citationID":"7hPQWv6O","properties":{"formattedCitation":"(Levett 2012)","plainCitation":"(Levett 2012)","noteIndex":0},"citationItems":[{"id":5070,"uris":["http://zotero.org/users/8977980/items/W57USM36"],"itemData":{"id":5070,"type":"report","publisher":"Mayor of London’s Office","publisher-place":"London","title":"It Took Another Riot: The concluding report of the Mayor of London’s Independent Panel on Tottenham","title-short":"It Took Another Riot","URL":"https://www.london.gov.uk/sites/default/files/it_took_another_riot.pdf","author":[{"family":"Levett","given":"Don"}],"accessed":{"date-parts":[["2023",9,12]]},"issued":{"date-parts":[["2012",12,11]]}}}],"schema":"https://github.com/citation-style-language/schema/raw/master/csl-citation.json"} </w:instrText>
      </w:r>
      <w:r w:rsidRPr="00662E51">
        <w:rPr>
          <w:szCs w:val="24"/>
        </w:rPr>
        <w:fldChar w:fldCharType="separate"/>
      </w:r>
      <w:r w:rsidRPr="00662E51">
        <w:rPr>
          <w:szCs w:val="24"/>
        </w:rPr>
        <w:t>(Levett 2012)</w:t>
      </w:r>
      <w:r w:rsidRPr="00662E51">
        <w:rPr>
          <w:szCs w:val="24"/>
        </w:rPr>
        <w:fldChar w:fldCharType="end"/>
      </w:r>
      <w:r w:rsidRPr="00662E51">
        <w:rPr>
          <w:szCs w:val="24"/>
        </w:rPr>
        <w:t xml:space="preserve">. This is why scholars have argued that the Haringey Development Vehicle was not designed to solve the underlying problems that caused the 2011 uprising. Rather, it was meant to move “problem people” </w:t>
      </w:r>
      <w:r w:rsidRPr="00662E51">
        <w:rPr>
          <w:szCs w:val="24"/>
        </w:rPr>
        <w:fldChar w:fldCharType="begin"/>
      </w:r>
      <w:r w:rsidR="00213B80">
        <w:rPr>
          <w:szCs w:val="24"/>
        </w:rPr>
        <w:instrText xml:space="preserve"> ADDIN ZOTERO_ITEM CSL_CITATION {"citationID":"QLyh56Xu","properties":{"formattedCitation":"(C. Johnston and Mooney 2007)","plainCitation":"(C. Johnston and Mooney 2007)","noteIndex":0},"citationItems":[{"id":4027,"uris":["http://zotero.org/users/8977980/items/8HIRKD7J"],"itemData":{"id":4027,"type":"chapter","container-title":"Securing an Urban Renaissance","ISBN":"978-1-84742-247-7","publisher":"Policy Press","publisher-place":"Bristol, UNITED KINGDOM","source":"ProQuest Ebook Central","title":"‘Problem’ people, ‘problem’ places? New Labour and council estates","URL":"http://ebookcentral.proquest.com/lib/durham/detail.action?docID=419289","editor":[{"family":"Atkinson","given":"Rowland"},{"family":"Helms","given":"Gesma"}],"author":[{"family":"Johnston","given":"Charlie"},{"family":"Mooney","given":"Gerry"}],"accessed":{"date-parts":[["2023",3,15]]},"issued":{"date-parts":[["2007"]]}}}],"schema":"https://github.com/citation-style-language/schema/raw/master/csl-citation.json"} </w:instrText>
      </w:r>
      <w:r w:rsidRPr="00662E51">
        <w:rPr>
          <w:szCs w:val="24"/>
        </w:rPr>
        <w:fldChar w:fldCharType="separate"/>
      </w:r>
      <w:r w:rsidR="00213B80" w:rsidRPr="00213B80">
        <w:t>(C. Johnston and Mooney 2007)</w:t>
      </w:r>
      <w:r w:rsidRPr="00662E51">
        <w:rPr>
          <w:szCs w:val="24"/>
        </w:rPr>
        <w:fldChar w:fldCharType="end"/>
      </w:r>
      <w:r w:rsidRPr="00662E51">
        <w:rPr>
          <w:szCs w:val="24"/>
        </w:rPr>
        <w:t xml:space="preserve"> somewhere else </w:t>
      </w:r>
      <w:r w:rsidRPr="00662E51">
        <w:rPr>
          <w:szCs w:val="24"/>
        </w:rPr>
        <w:fldChar w:fldCharType="begin"/>
      </w:r>
      <w:r w:rsidRPr="00662E51">
        <w:rPr>
          <w:szCs w:val="24"/>
        </w:rPr>
        <w:instrText xml:space="preserve"> ADDIN ZOTERO_ITEM CSL_CITATION {"citationID":"hW0s3153","properties":{"formattedCitation":"(Horton and Penny 2024; Perera 2019a)","plainCitation":"(Horton and Penny 2024; Perera 2019a)","noteIndex":0},"citationItems":[{"id":5697,"uris":["http://zotero.org/users/8977980/items/ZPYXM7A6"],"itemData":{"id":5697,"type":"book","ISBN":"978-1-80008-710-1","language":"eng","note":"OCLC: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id":3141,"uris":["http://zotero.org/users/8977980/items/CB3BBSPP"],"itemData":{"id":3141,"type":"report","language":"en","number":"12","publisher":"Institute of Race Relations","publisher-place":"London","source":"Zotero","title":"The London Clearances: Race, Housing and Policing","URL":"https://irr.org.uk/wp-content/uploads/2020/09/The-London-Clearances-Race-Housing-and-Policing-1.pdf","author":[{"family":"Perera","given":"Jessica"}],"issued":{"date-parts":[["2019"]]}}}],"schema":"https://github.com/citation-style-language/schema/raw/master/csl-citation.json"} </w:instrText>
      </w:r>
      <w:r w:rsidRPr="00662E51">
        <w:rPr>
          <w:szCs w:val="24"/>
        </w:rPr>
        <w:fldChar w:fldCharType="separate"/>
      </w:r>
      <w:r w:rsidRPr="00662E51">
        <w:t>(Horton and Penny 2024; Perera 2019a)</w:t>
      </w:r>
      <w:r w:rsidRPr="00662E51">
        <w:rPr>
          <w:szCs w:val="24"/>
        </w:rPr>
        <w:fldChar w:fldCharType="end"/>
      </w:r>
      <w:r w:rsidRPr="00662E51">
        <w:rPr>
          <w:szCs w:val="24"/>
        </w:rPr>
        <w:t>.</w:t>
      </w:r>
    </w:p>
    <w:p w14:paraId="460CA470" w14:textId="25282D2A" w:rsidR="00527AFB" w:rsidRPr="00662E51" w:rsidRDefault="00527AFB" w:rsidP="00527AFB">
      <w:pPr>
        <w:spacing w:line="360" w:lineRule="auto"/>
        <w:ind w:left="0" w:firstLine="720"/>
        <w:rPr>
          <w:szCs w:val="24"/>
        </w:rPr>
      </w:pPr>
      <w:r w:rsidRPr="00662E51">
        <w:rPr>
          <w:szCs w:val="24"/>
        </w:rPr>
        <w:t xml:space="preserve">The Vehicle was stopped by a coalition of community organisers, members of the leftwing, Corbyn-aligned Labour pressure group </w:t>
      </w:r>
      <w:r w:rsidRPr="0042785C">
        <w:rPr>
          <w:szCs w:val="24"/>
        </w:rPr>
        <w:t>Momentum</w:t>
      </w:r>
      <w:r w:rsidRPr="00662E51">
        <w:rPr>
          <w:szCs w:val="24"/>
        </w:rPr>
        <w:t xml:space="preserve">, and activists and councillors of all stripes, under the banner of StopHDV </w:t>
      </w:r>
      <w:r w:rsidRPr="00662E51">
        <w:rPr>
          <w:szCs w:val="24"/>
        </w:rPr>
        <w:fldChar w:fldCharType="begin"/>
      </w:r>
      <w:r w:rsidRPr="00662E51">
        <w:rPr>
          <w:szCs w:val="24"/>
        </w:rPr>
        <w:instrText xml:space="preserve"> ADDIN ZOTERO_ITEM CSL_CITATION {"citationID":"2p0v6vWw","properties":{"formattedCitation":"(Chakrabortty 2018; Dignan 2021)","plainCitation":"(Chakrabortty 2018; Dignan 2021)","noteIndex":0},"citationItems":[{"id":6998,"uris":["http://zotero.org/users/8977980/items/EGZZP2JF"],"itemData":{"id":6998,"type":"article-newspaper","abstract":"Council leader Claire Kober has quit. Rightwingers claim it’s a Momentum plot, but this was all about residents fighting to save their homes, says Guardian columnist Aditya Chakrabortty","container-title":"The Guardian","ISSN":"0261-3077","language":"en-GB","section":"Opinion","source":"The Guardian","title":"In Haringey the people have taken over, not the hard left","URL":"https://www.theguardian.com/commentisfree/2018/feb/01/haringey-council-claire-kober-momentum-residents","author":[{"family":"Chakrabortty","given":"Aditya"}],"accessed":{"date-parts":[["2025",9,23]]},"issued":{"date-parts":[["2018",2,1]]}}},{"id":2039,"uris":["http://zotero.org/groups/4816685/items/FHF7UGFX"],"itemData":{"id":2039,"type":"article-magazine","abstract":"The party needs to pull together to take on the challenges facing the borough.","container-title":"New Statesman","language":"en-US","title":"Local people stopped the Haringey Development Vehicle - now it’s time for unity","URL":"https://www.newstatesman.com/politics/2018/01/local-people-stopped-haringey-development-vehicle-now-its-time-unity","author":[{"family":"Dignan","given":"Celia"}],"accessed":{"date-parts":[["2022",8,1]]},"issued":{"date-parts":[["2021",6,9]]}}}],"schema":"https://github.com/citation-style-language/schema/raw/master/csl-citation.json"} </w:instrText>
      </w:r>
      <w:r w:rsidRPr="00662E51">
        <w:rPr>
          <w:szCs w:val="24"/>
        </w:rPr>
        <w:fldChar w:fldCharType="separate"/>
      </w:r>
      <w:r w:rsidRPr="00662E51">
        <w:rPr>
          <w:szCs w:val="24"/>
        </w:rPr>
        <w:t>(Chakrabortty 2018; Dignan 2021)</w:t>
      </w:r>
      <w:r w:rsidRPr="00662E51">
        <w:rPr>
          <w:szCs w:val="24"/>
        </w:rPr>
        <w:fldChar w:fldCharType="end"/>
      </w:r>
      <w:r w:rsidRPr="00662E51">
        <w:rPr>
          <w:szCs w:val="24"/>
        </w:rPr>
        <w:t xml:space="preserve">. The nature and inclusivity of this campaign is contested; its success is not. Existing literature on the campaign frames it as community-led resistance, ultimately existing outside of—but interacting with and through—contemporary infighting in the Labour Party </w:t>
      </w:r>
      <w:r w:rsidRPr="00662E51">
        <w:rPr>
          <w:szCs w:val="24"/>
        </w:rPr>
        <w:fldChar w:fldCharType="begin"/>
      </w:r>
      <w:r w:rsidR="00213B80">
        <w:rPr>
          <w:szCs w:val="24"/>
        </w:rPr>
        <w:instrText xml:space="preserve"> ADDIN ZOTERO_ITEM CSL_CITATION {"citationID":"XepBxscK","properties":{"formattedCitation":"(D. Byrne 2018; Horton and Penny 2024)","plainCitation":"(D. Byrne 2018; Horton and Penny 2024)","noteIndex":0},"citationItems":[{"id":6919,"uris":["http://zotero.org/users/8977980/items/TS99YWM8"],"itemData":{"id":6919,"type":"article-journal","abstract":"&lt;em&gt;Gale&lt;/em&gt; Literature Resource Center includes The problem that is Labour local government: It is time by David Byrne. Click to explore.","container-title":"Soundings","DOI":"10.3898/SOUN:69.03.2018","ISSN":"13626620","issue":"69","language":"English","page":"50-64","publisher":"Lawrence &amp;amp; Wishart Ltd.","source":"go-gale-com.ezphost.dur.ac.uk","title":"The problem that is Labour local government: It is time to move away from Labour pragmatism in local government","title-short":"The problem that is Labour local government","author":[{"family":"Byrne","given":"David"}],"issued":{"date-parts":[["2018",6,22]]}}},{"id":5697,"uris":["http://zotero.org/users/8977980/items/ZPYXM7A6"],"itemData":{"id":5697,"type":"book","ISBN":"978-1-80008-710-1","language":"eng","note":"OCLC: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213B80" w:rsidRPr="00213B80">
        <w:t>(D. Byrne 2018; Horton and Penny 2024)</w:t>
      </w:r>
      <w:r w:rsidRPr="00662E51">
        <w:rPr>
          <w:szCs w:val="24"/>
        </w:rPr>
        <w:fldChar w:fldCharType="end"/>
      </w:r>
      <w:r w:rsidRPr="00662E51">
        <w:rPr>
          <w:szCs w:val="24"/>
        </w:rPr>
        <w:t>. As I assert in Chapter 6, such frames underplay the relationship between the party and the state. I thus use the HDV case to argue for retheorising the scalar relationships between the local state, local political parties, and neoliberalism.</w:t>
      </w:r>
    </w:p>
    <w:p w14:paraId="6E0D3E04" w14:textId="77777777" w:rsidR="00527AFB" w:rsidRPr="00662E51" w:rsidRDefault="00527AFB" w:rsidP="00527AFB">
      <w:pPr>
        <w:spacing w:line="360" w:lineRule="auto"/>
        <w:ind w:left="0" w:firstLine="720"/>
        <w:rPr>
          <w:szCs w:val="24"/>
        </w:rPr>
      </w:pPr>
    </w:p>
    <w:p w14:paraId="0D111DC9" w14:textId="10AA28C2" w:rsidR="00527AFB" w:rsidRPr="00662E51" w:rsidRDefault="00527AFB" w:rsidP="00527AFB">
      <w:pPr>
        <w:pStyle w:val="Heading3"/>
      </w:pPr>
      <w:bookmarkStart w:id="64" w:name="_Toc221184303"/>
      <w:bookmarkStart w:id="65" w:name="_Toc231215226"/>
      <w:r w:rsidRPr="00662E51">
        <w:lastRenderedPageBreak/>
        <w:t>High Road West</w:t>
      </w:r>
      <w:bookmarkEnd w:id="64"/>
      <w:r w:rsidR="00836748">
        <w:t>:</w:t>
      </w:r>
      <w:bookmarkEnd w:id="65"/>
    </w:p>
    <w:p w14:paraId="5FC13C9B" w14:textId="77777777" w:rsidR="006A1090" w:rsidRDefault="00527AFB" w:rsidP="006A1090">
      <w:pPr>
        <w:spacing w:line="360" w:lineRule="auto"/>
        <w:ind w:left="0" w:firstLine="720"/>
        <w:rPr>
          <w:szCs w:val="24"/>
        </w:rPr>
      </w:pPr>
      <w:r w:rsidRPr="00662E51">
        <w:rPr>
          <w:szCs w:val="24"/>
        </w:rPr>
        <w:t xml:space="preserve">Despite the cancellation of the Vehicle, regeneration continues in Haringey. My third case study is High Road West (HRW), a smaller but ongoing redevelopment scheme in Tottenham. Introduced in 2012, HRW </w:t>
      </w:r>
      <w:r w:rsidRPr="00662E51">
        <w:rPr>
          <w:rFonts w:cs="Times New Roman"/>
          <w:kern w:val="0"/>
          <w:szCs w:val="24"/>
        </w:rPr>
        <w:t xml:space="preserve">would take 15 years to complete, cost around £1 billion, and develop 2,600 homes </w:t>
      </w:r>
      <w:r w:rsidRPr="00662E51">
        <w:rPr>
          <w:rFonts w:cs="Times New Roman"/>
          <w:kern w:val="0"/>
          <w:szCs w:val="24"/>
        </w:rPr>
        <w:fldChar w:fldCharType="begin"/>
      </w:r>
      <w:r w:rsidRPr="00662E51">
        <w:rPr>
          <w:rFonts w:cs="Times New Roman"/>
          <w:kern w:val="0"/>
          <w:szCs w:val="24"/>
        </w:rPr>
        <w:instrText xml:space="preserve"> ADDIN ZOTERO_ITEM CSL_CITATION {"citationID":"qQBJECBQ","properties":{"formattedCitation":"(Allin 2022; Bloomfield 2017)","plainCitation":"(Allin 2022; Bloomfield 2017)","noteIndex":0},"citationItems":[{"id":4581,"uris":["http://zotero.org/users/8977980/items/VIVN282N"],"itemData":{"id":4581,"type":"article-newspaper","abstract":"Plans to knock down hundreds of homes and businesses in Tottenham to make way for a huge regeneration scheme have been approved by councillors.","container-title":"Enfield Independent","language":"en","section":"Local Government","title":"Almost 3,000 new homes get go-ahead in Haringey high-rise redevelopment","URL":"https://www.enfieldindependent.co.uk/news/20513843.haringey-council-approves-high-road-west-redevelopment/","author":[{"family":"Allin","given":"Simon"}],"accessed":{"date-parts":[["2023",7,12]]},"issued":{"date-parts":[["2022",7,25]]}}},{"id":6582,"uris":["http://zotero.org/users/8977980/items/Y74UV2AW"],"itemData":{"id":6582,"type":"article-newspaper","abstract":"Tottenham High Road is set to be completely regenerated with a new development, called High Road West, which will include more than 2,500 new homes and a public square.","container-title":"The Standard","language":"en","note":"section: Homes &amp; Property","section":"Property News","title":"First look: the £1bn regeneration planned for Tottenham High Road","title-short":"First look","URL":"https://www.standard.co.uk/homesandproperty/property-news/first-look-at-tottenhams-ps1-billion-transformation-a113691.html","author":[{"family":"Bloomfield","given":"Ruth"}],"accessed":{"date-parts":[["2025",6,23]]},"issued":{"date-parts":[["2017",9,20]]}}}],"schema":"https://github.com/citation-style-language/schema/raw/master/csl-citation.json"} </w:instrText>
      </w:r>
      <w:r w:rsidRPr="00662E51">
        <w:rPr>
          <w:rFonts w:cs="Times New Roman"/>
          <w:kern w:val="0"/>
          <w:szCs w:val="24"/>
        </w:rPr>
        <w:fldChar w:fldCharType="separate"/>
      </w:r>
      <w:r w:rsidRPr="00662E51">
        <w:rPr>
          <w:szCs w:val="24"/>
        </w:rPr>
        <w:t>(Allin 2022; Bloomfield 2017)</w:t>
      </w:r>
      <w:r w:rsidRPr="00662E51">
        <w:rPr>
          <w:rFonts w:cs="Times New Roman"/>
          <w:kern w:val="0"/>
          <w:szCs w:val="24"/>
        </w:rPr>
        <w:fldChar w:fldCharType="end"/>
      </w:r>
      <w:r w:rsidRPr="00662E51">
        <w:rPr>
          <w:rFonts w:cs="Times New Roman"/>
          <w:kern w:val="0"/>
          <w:szCs w:val="24"/>
        </w:rPr>
        <w:t xml:space="preserve">. The scheme will demolish the 297-home Love Lane estate, which is mostly social housing, displacing around 1,000 people—though Haringey Council has committed to providing 40 percent social housing with at least 500 new council dwellings—a overall net gain in social homes </w:t>
      </w:r>
      <w:r w:rsidRPr="00662E51">
        <w:rPr>
          <w:rFonts w:cs="Times New Roman"/>
          <w:kern w:val="0"/>
          <w:szCs w:val="24"/>
        </w:rPr>
        <w:fldChar w:fldCharType="begin"/>
      </w:r>
      <w:r w:rsidRPr="00662E51">
        <w:rPr>
          <w:rFonts w:cs="Times New Roman"/>
          <w:kern w:val="0"/>
          <w:szCs w:val="24"/>
        </w:rPr>
        <w:instrText xml:space="preserve"> ADDIN ZOTERO_ITEM CSL_CITATION {"citationID":"vglbH0mH","properties":{"formattedCitation":"(Haringey Borough Council 2023)","plainCitation":"(Haringey Borough Council 2023)","noteIndex":0},"citationItems":[{"id":5056,"uris":["http://zotero.org/users/8977980/items/4H5H7DLX"],"itemData":{"id":5056,"type":"webpage","title":"High Road West","URL":"https://www.haringey.gov.uk/regeneration/tottenham/high-road-west","author":[{"literal":"Haringey Borough Council"}],"accessed":{"date-parts":[["2023",9,12]]},"issued":{"date-parts":[["2023",2,1]]}}}],"schema":"https://github.com/citation-style-language/schema/raw/master/csl-citation.json"} </w:instrText>
      </w:r>
      <w:r w:rsidRPr="00662E51">
        <w:rPr>
          <w:rFonts w:cs="Times New Roman"/>
          <w:kern w:val="0"/>
          <w:szCs w:val="24"/>
        </w:rPr>
        <w:fldChar w:fldCharType="separate"/>
      </w:r>
      <w:r w:rsidRPr="00662E51">
        <w:rPr>
          <w:szCs w:val="24"/>
        </w:rPr>
        <w:t>(Haringey Borough Council 2023)</w:t>
      </w:r>
      <w:r w:rsidRPr="00662E51">
        <w:rPr>
          <w:rFonts w:cs="Times New Roman"/>
          <w:kern w:val="0"/>
          <w:szCs w:val="24"/>
        </w:rPr>
        <w:fldChar w:fldCharType="end"/>
      </w:r>
      <w:r w:rsidRPr="00662E51">
        <w:rPr>
          <w:rFonts w:cs="Times New Roman"/>
          <w:kern w:val="0"/>
          <w:szCs w:val="24"/>
        </w:rPr>
        <w:t xml:space="preserve">. </w:t>
      </w:r>
      <w:r w:rsidRPr="00662E51">
        <w:rPr>
          <w:szCs w:val="24"/>
        </w:rPr>
        <w:t>After it became known that that estate would be demolished, residents began leaving Love Lane. As the entire regeneration process would take over a decade—and instead of leaving many homes empty—Haringey Council moved residents to Love Lane to fulfil its temporary accommodation needs.</w:t>
      </w:r>
      <w:r w:rsidRPr="00BD17AF">
        <w:rPr>
          <w:rStyle w:val="FootnoteReference"/>
        </w:rPr>
        <w:footnoteReference w:id="23"/>
      </w:r>
      <w:r w:rsidRPr="00662E51">
        <w:rPr>
          <w:szCs w:val="24"/>
        </w:rPr>
        <w:t xml:space="preserve"> By 2021, temporary residents comprised 75 percent of the estate’s population </w:t>
      </w:r>
      <w:r w:rsidRPr="00662E51">
        <w:rPr>
          <w:szCs w:val="24"/>
        </w:rPr>
        <w:fldChar w:fldCharType="begin"/>
      </w:r>
      <w:r w:rsidRPr="00662E51">
        <w:rPr>
          <w:szCs w:val="24"/>
        </w:rPr>
        <w:instrText xml:space="preserve"> ADDIN ZOTERO_ITEM CSL_CITATION {"citationID":"ESUZgRAY","properties":{"formattedCitation":"(Hill 2021)","plainCitation":"(Hill 2021)","noteIndex":0},"citationItems":[{"id":5182,"uris":["http://zotero.org/users/8977980/items/9XUHNLWL"],"itemData":{"id":5182,"type":"article-newspaper","abstract":"Sadiq Khan’s introduction of referendums into the often-fraught issue of estate regeneration was welcomed by some and questioned by others. Those most strongly in favour were often Green, Corbyn Left and other housing activists, who perhaps anticipated that council and housing association tenants would rise up against alleged “social cleansing” and reject redevelopment plans. Others […]","container-title":"OnLondon","language":"en-GB","publisher-place":"London, UK","section":"Analysis","title":"Haringey: The rancorous referendum of the Love Lane estate","title-short":"Haringey","URL":"https://www.onlondon.co.uk/haringey-the-rancorous-referendum-of-the-love-lane-estate/","author":[{"family":"Hill","given":"Dave"}],"accessed":{"date-parts":[["2023",9,27]]},"issued":{"date-parts":[["2021",11,11]]}}}],"schema":"https://github.com/citation-style-language/schema/raw/master/csl-citation.json"} </w:instrText>
      </w:r>
      <w:r w:rsidRPr="00662E51">
        <w:rPr>
          <w:szCs w:val="24"/>
        </w:rPr>
        <w:fldChar w:fldCharType="separate"/>
      </w:r>
      <w:r w:rsidRPr="00662E51">
        <w:rPr>
          <w:szCs w:val="24"/>
        </w:rPr>
        <w:t>(Hill 2021)</w:t>
      </w:r>
      <w:r w:rsidRPr="00662E51">
        <w:rPr>
          <w:szCs w:val="24"/>
        </w:rPr>
        <w:fldChar w:fldCharType="end"/>
      </w:r>
      <w:r w:rsidRPr="00662E51">
        <w:rPr>
          <w:szCs w:val="24"/>
        </w:rPr>
        <w:t xml:space="preserve">. As seen in Figure 7, the scheme is concentrated in a compact collection of parcels near Tottenham Hotspur Football Club’s (THFC) new stadium, which was announced in 2010 and completed in 2019 </w:t>
      </w:r>
      <w:r w:rsidRPr="00662E51">
        <w:rPr>
          <w:szCs w:val="24"/>
        </w:rPr>
        <w:fldChar w:fldCharType="begin"/>
      </w:r>
      <w:r w:rsidRPr="00662E51">
        <w:rPr>
          <w:szCs w:val="24"/>
        </w:rPr>
        <w:instrText xml:space="preserve"> ADDIN ZOTERO_ITEM CSL_CITATION {"citationID":"31D7eXIl","properties":{"formattedCitation":"(Allin 2023a)","plainCitation":"(Allin 2023a)","noteIndex":0},"citationItems":[{"id":5065,"uris":["http://zotero.org/users/8977980/items/TPBXMDFG"],"itemData":{"id":5065,"type":"article-newspaper","container-title":"Haringey Community Press","title":"Spurs legal challenge against High Road West scheme fails","URL":"https://haringeycommunitypress.co.uk/2023/03/29/spurs-legal-challenge-against-high-road-west-scheme-fails/","author":[{"family":"Allin","given":"Simon"}],"accessed":{"date-parts":[["2023",9,12]]},"issued":{"date-parts":[["2023",3,29]]}}}],"schema":"https://github.com/citation-style-language/schema/raw/master/csl-citation.json"} </w:instrText>
      </w:r>
      <w:r w:rsidRPr="00662E51">
        <w:rPr>
          <w:szCs w:val="24"/>
        </w:rPr>
        <w:fldChar w:fldCharType="separate"/>
      </w:r>
      <w:r w:rsidRPr="00662E51">
        <w:rPr>
          <w:szCs w:val="24"/>
        </w:rPr>
        <w:t>(Allin 2023a)</w:t>
      </w:r>
      <w:r w:rsidRPr="00662E51">
        <w:rPr>
          <w:szCs w:val="24"/>
        </w:rPr>
        <w:fldChar w:fldCharType="end"/>
      </w:r>
      <w:r w:rsidRPr="00662E51">
        <w:rPr>
          <w:szCs w:val="24"/>
        </w:rPr>
        <w:t xml:space="preserve">. In the council’s </w:t>
      </w:r>
      <w:r w:rsidRPr="00662E51">
        <w:rPr>
          <w:rFonts w:cs="Times New Roman"/>
          <w:szCs w:val="24"/>
        </w:rPr>
        <w:fldChar w:fldCharType="begin"/>
      </w:r>
      <w:r w:rsidRPr="00662E51">
        <w:rPr>
          <w:rFonts w:cs="Times New Roman"/>
          <w:szCs w:val="24"/>
        </w:rPr>
        <w:instrText xml:space="preserve"> ADDIN ZOTERO_ITEM CSL_CITATION {"citationID":"7vVxtYaB","properties":{"formattedCitation":"(2013b)","plainCitation":"(2013b)","noteIndex":0},"citationItems":[{"id":5723,"uris":["http://zotero.org/users/8977980/items/DXW563G2"],"itemData":{"id":5723,"type":"report","publisher":"Haringey Borough Council","publisher-place":"London (UK), United Kingdom","title":"High Road West: Creating a Plan for Change","URL":"https://www.haringey.gov.uk/sites/haringeygovuk/files/highroadwestmasterplan.pdf","author":[{"literal":"Haringey Borough Council"}],"accessed":{"date-parts":[["2024",3,12]]},"issued":{"date-parts":[["2013",5]]}},"suppress-author":true}],"schema":"https://github.com/citation-style-language/schema/raw/master/csl-citation.json"} </w:instrText>
      </w:r>
      <w:r w:rsidRPr="00662E51">
        <w:rPr>
          <w:rFonts w:cs="Times New Roman"/>
          <w:szCs w:val="24"/>
        </w:rPr>
        <w:fldChar w:fldCharType="separate"/>
      </w:r>
      <w:r w:rsidRPr="00662E51">
        <w:t>(2013b)</w:t>
      </w:r>
      <w:r w:rsidRPr="00662E51">
        <w:rPr>
          <w:rFonts w:cs="Times New Roman"/>
          <w:szCs w:val="24"/>
        </w:rPr>
        <w:fldChar w:fldCharType="end"/>
      </w:r>
      <w:r w:rsidRPr="00662E51">
        <w:rPr>
          <w:rFonts w:cs="Times New Roman"/>
          <w:szCs w:val="24"/>
        </w:rPr>
        <w:t xml:space="preserve"> </w:t>
      </w:r>
      <w:r w:rsidRPr="00662E51">
        <w:rPr>
          <w:szCs w:val="24"/>
        </w:rPr>
        <w:t xml:space="preserve">eyes, this scheme is intended to take advantage of regeneration attached to the THFC stadium rebuild </w:t>
      </w:r>
      <w:r w:rsidRPr="00662E51">
        <w:rPr>
          <w:szCs w:val="24"/>
        </w:rPr>
        <w:fldChar w:fldCharType="begin"/>
      </w:r>
      <w:r w:rsidRPr="00662E51">
        <w:rPr>
          <w:szCs w:val="24"/>
        </w:rPr>
        <w:instrText xml:space="preserve"> ADDIN ZOTERO_ITEM CSL_CITATION {"citationID":"EZNu92qi","properties":{"formattedCitation":"(Panton and Walters 2018)","plainCitation":"(Panton and Walters 2018)","noteIndex":0},"citationItems":[{"id":3024,"uris":["http://zotero.org/users/8977980/items/NJL87MS9"],"itemData":{"id":3024,"type":"article-journal","abstract":"Austerity was the driving principle behind the UK Coalition Government Comprehensive Spending Review in October 2010, with local government facing a disproportionately high share of the spending cuts. Research has focused on the impact of ‘austerity urbanism’ and urban regeneration; however, there is relatively little focus on sports-led regeneration. This article presents case study research of the stadium-led regeneration project involving Tottenham Hotspur FC and the London Borough of Haringey, focusing on the community perceptions of urban regeneration. It has two aims: ﬁrst, to understand the local authority’s approach to regeneration in the context of the austerity agenda, and second, to understand how this approach was perceived by, and the impact on, those communities living within the geographical locality of the developments. Three themes emerged: ﬁrst, that austerity led the local authority to adopt a pragmatic approach to regeneration; second, that regeneration in a period of austerity is perceived by local communities as a strategy of gentriﬁcation and, third, concerns over the lack of community consultation served as a stimulus for community engagement. Two implications arising from this research are that while community groups in Tottenham had limited success in gaining major changes to the stadium-led regeneration in Tottenham, they have arguably been able to slow down the process. Moreover, they have been successful in bringing together diverse groups across the community to share knowledge in order to challenge further proposals from Haringey Council.","container-title":"International Journal of Sport Policy and Politics","DOI":"10.1080/19406940.2017.1398768","ISSN":"1940-6940, 1940-6959","issue":"1","journalAbbreviation":"International Journal of Sport Policy and Politics","language":"en","page":"163-183","source":"DOI.org (Crossref)","title":"&lt;i&gt;‘It’s just a Trojan horse for gentrification&lt;/i&gt; ’: austerity and stadium-led regeneration","title-short":"&lt;i&gt;‘It’s just a Trojan horse for gentrification&lt;/i&gt; ’","volume":"10","author":[{"family":"Panton","given":"Mark"},{"family":"Walters","given":"Geoff"}],"issued":{"date-parts":[["2018",1,2]]}}}],"schema":"https://github.com/citation-style-language/schema/raw/master/csl-citation.json"} </w:instrText>
      </w:r>
      <w:r w:rsidRPr="00662E51">
        <w:rPr>
          <w:szCs w:val="24"/>
        </w:rPr>
        <w:fldChar w:fldCharType="separate"/>
      </w:r>
      <w:r w:rsidRPr="00662E51">
        <w:rPr>
          <w:szCs w:val="24"/>
        </w:rPr>
        <w:t>(Panton and Walters 2018)</w:t>
      </w:r>
      <w:r w:rsidRPr="00662E51">
        <w:rPr>
          <w:szCs w:val="24"/>
        </w:rPr>
        <w:fldChar w:fldCharType="end"/>
      </w:r>
      <w:r w:rsidRPr="00662E51">
        <w:rPr>
          <w:szCs w:val="24"/>
        </w:rPr>
        <w:t xml:space="preserve">. Due to its placement between the White Hart Lane rail station and the stadium, the scheme will include a large ‘walkway’ from one to the other, lined with shops. In addition to demolishing the Love Lane estate and associated dwellings, HRW will </w:t>
      </w:r>
      <w:r w:rsidR="00A140F1">
        <w:rPr>
          <w:szCs w:val="24"/>
        </w:rPr>
        <w:t>likewise</w:t>
      </w:r>
      <w:r w:rsidRPr="00662E51">
        <w:rPr>
          <w:szCs w:val="24"/>
        </w:rPr>
        <w:t xml:space="preserve"> redevelop several shops on the main road and the Peacock Industrial estate, a collection of light industrial businesses. Another key moment was the 2021 balloting process. From 2018, most regeneration schemes in London</w:t>
      </w:r>
      <w:r w:rsidRPr="00BD17AF">
        <w:rPr>
          <w:rStyle w:val="FootnoteReference"/>
        </w:rPr>
        <w:footnoteReference w:id="24"/>
      </w:r>
      <w:r w:rsidRPr="00662E51">
        <w:rPr>
          <w:szCs w:val="24"/>
        </w:rPr>
        <w:t xml:space="preserve"> require a ballot of impacted </w:t>
      </w:r>
    </w:p>
    <w:p w14:paraId="14AF70E0" w14:textId="3338D5D6" w:rsidR="006A1090" w:rsidRDefault="006A1090" w:rsidP="006A1090">
      <w:pPr>
        <w:spacing w:line="360" w:lineRule="auto"/>
        <w:ind w:left="0"/>
        <w:rPr>
          <w:szCs w:val="24"/>
        </w:rPr>
      </w:pPr>
      <w:r w:rsidRPr="00662E51">
        <w:rPr>
          <w:noProof/>
          <w:szCs w:val="24"/>
        </w:rPr>
        <w:lastRenderedPageBreak/>
        <mc:AlternateContent>
          <mc:Choice Requires="wps">
            <w:drawing>
              <wp:anchor distT="0" distB="0" distL="114300" distR="114300" simplePos="0" relativeHeight="251692051" behindDoc="0" locked="0" layoutInCell="1" allowOverlap="1" wp14:anchorId="76BD6B72" wp14:editId="1A5F2ED9">
                <wp:simplePos x="0" y="0"/>
                <wp:positionH relativeFrom="column">
                  <wp:posOffset>1007351</wp:posOffset>
                </wp:positionH>
                <wp:positionV relativeFrom="paragraph">
                  <wp:posOffset>38013</wp:posOffset>
                </wp:positionV>
                <wp:extent cx="1724025" cy="3714750"/>
                <wp:effectExtent l="19050" t="19050" r="28575" b="19050"/>
                <wp:wrapNone/>
                <wp:docPr id="1016672623" name="Rectangle 9"/>
                <wp:cNvGraphicFramePr/>
                <a:graphic xmlns:a="http://schemas.openxmlformats.org/drawingml/2006/main">
                  <a:graphicData uri="http://schemas.microsoft.com/office/word/2010/wordprocessingShape">
                    <wps:wsp>
                      <wps:cNvSpPr/>
                      <wps:spPr>
                        <a:xfrm>
                          <a:off x="0" y="0"/>
                          <a:ext cx="1724025" cy="3714750"/>
                        </a:xfrm>
                        <a:prstGeom prst="rect">
                          <a:avLst/>
                        </a:prstGeom>
                        <a:noFill/>
                        <a:ln w="381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915A32" id="Rectangle 9" o:spid="_x0000_s1026" style="position:absolute;margin-left:79.3pt;margin-top:3pt;width:135.75pt;height:292.5pt;z-index:2516920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" filled="f" strokecolor="black [3213]" strokeweight="3pt"/>
            </w:pict>
          </mc:Fallback>
        </mc:AlternateContent>
      </w:r>
      <w:r w:rsidRPr="00662E51">
        <w:rPr>
          <w:noProof/>
          <w:szCs w:val="24"/>
        </w:rPr>
        <w:drawing>
          <wp:anchor distT="0" distB="0" distL="114300" distR="114300" simplePos="0" relativeHeight="251691027" behindDoc="1" locked="0" layoutInCell="1" allowOverlap="1" wp14:anchorId="70A073F1" wp14:editId="6C922FC3">
            <wp:simplePos x="0" y="0"/>
            <wp:positionH relativeFrom="margin">
              <wp:posOffset>448201</wp:posOffset>
            </wp:positionH>
            <wp:positionV relativeFrom="paragraph">
              <wp:posOffset>0</wp:posOffset>
            </wp:positionV>
            <wp:extent cx="5010150" cy="5877560"/>
            <wp:effectExtent l="0" t="0" r="0" b="8890"/>
            <wp:wrapTight wrapText="bothSides">
              <wp:wrapPolygon edited="0">
                <wp:start x="0" y="0"/>
                <wp:lineTo x="0" y="21563"/>
                <wp:lineTo x="21518" y="21563"/>
                <wp:lineTo x="21518" y="0"/>
                <wp:lineTo x="0" y="0"/>
              </wp:wrapPolygon>
            </wp:wrapTight>
            <wp:docPr id="34519898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98989" name="Picture 1" descr="A map of a city&#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010150" cy="5877560"/>
                    </a:xfrm>
                    <a:prstGeom prst="rect">
                      <a:avLst/>
                    </a:prstGeom>
                  </pic:spPr>
                </pic:pic>
              </a:graphicData>
            </a:graphic>
            <wp14:sizeRelH relativeFrom="page">
              <wp14:pctWidth>0</wp14:pctWidth>
            </wp14:sizeRelH>
            <wp14:sizeRelV relativeFrom="page">
              <wp14:pctHeight>0</wp14:pctHeight>
            </wp14:sizeRelV>
          </wp:anchor>
        </w:drawing>
      </w:r>
    </w:p>
    <w:p w14:paraId="2DD0A8DF" w14:textId="00F564DE" w:rsidR="006A1090" w:rsidRDefault="006A1090" w:rsidP="006A1090">
      <w:pPr>
        <w:spacing w:line="360" w:lineRule="auto"/>
        <w:ind w:left="0"/>
        <w:rPr>
          <w:szCs w:val="24"/>
        </w:rPr>
      </w:pPr>
    </w:p>
    <w:p w14:paraId="31DCA7D0" w14:textId="77777777" w:rsidR="006A1090" w:rsidRDefault="006A1090" w:rsidP="006A1090">
      <w:pPr>
        <w:spacing w:line="360" w:lineRule="auto"/>
        <w:ind w:left="0"/>
        <w:rPr>
          <w:szCs w:val="24"/>
        </w:rPr>
      </w:pPr>
    </w:p>
    <w:p w14:paraId="29485241" w14:textId="094224ED" w:rsidR="006A1090" w:rsidRDefault="006A1090" w:rsidP="006A1090">
      <w:pPr>
        <w:spacing w:line="360" w:lineRule="auto"/>
        <w:ind w:left="0"/>
        <w:rPr>
          <w:szCs w:val="24"/>
        </w:rPr>
      </w:pPr>
      <w:r w:rsidRPr="00662E51">
        <w:rPr>
          <w:noProof/>
        </w:rPr>
        <mc:AlternateContent>
          <mc:Choice Requires="wps">
            <w:drawing>
              <wp:anchor distT="0" distB="0" distL="114300" distR="114300" simplePos="0" relativeHeight="251693075" behindDoc="1" locked="0" layoutInCell="1" allowOverlap="1" wp14:anchorId="5252D574" wp14:editId="43987776">
                <wp:simplePos x="0" y="0"/>
                <wp:positionH relativeFrom="margin">
                  <wp:posOffset>448201</wp:posOffset>
                </wp:positionH>
                <wp:positionV relativeFrom="paragraph">
                  <wp:posOffset>5085080</wp:posOffset>
                </wp:positionV>
                <wp:extent cx="5010150" cy="543560"/>
                <wp:effectExtent l="0" t="0" r="0" b="8890"/>
                <wp:wrapTight wrapText="bothSides">
                  <wp:wrapPolygon edited="0">
                    <wp:start x="0" y="0"/>
                    <wp:lineTo x="0" y="21196"/>
                    <wp:lineTo x="21518" y="21196"/>
                    <wp:lineTo x="21518" y="0"/>
                    <wp:lineTo x="0" y="0"/>
                  </wp:wrapPolygon>
                </wp:wrapTight>
                <wp:docPr id="1914789656" name="Text Box 1"/>
                <wp:cNvGraphicFramePr/>
                <a:graphic xmlns:a="http://schemas.openxmlformats.org/drawingml/2006/main">
                  <a:graphicData uri="http://schemas.microsoft.com/office/word/2010/wordprocessingShape">
                    <wps:wsp>
                      <wps:cNvSpPr txBox="1"/>
                      <wps:spPr>
                        <a:xfrm>
                          <a:off x="0" y="0"/>
                          <a:ext cx="5010150" cy="543560"/>
                        </a:xfrm>
                        <a:prstGeom prst="rect">
                          <a:avLst/>
                        </a:prstGeom>
                        <a:solidFill>
                          <a:prstClr val="white"/>
                        </a:solidFill>
                        <a:ln>
                          <a:noFill/>
                        </a:ln>
                      </wps:spPr>
                      <wps:txbx>
                        <w:txbxContent>
                          <w:p w14:paraId="7BA22C41" w14:textId="77777777" w:rsidR="006A1090" w:rsidRPr="00662E51" w:rsidRDefault="006A1090" w:rsidP="006A1090">
                            <w:pPr>
                              <w:pStyle w:val="Caption"/>
                            </w:pPr>
                            <w:bookmarkStart w:id="66" w:name="_Toc216875899"/>
                            <w:r w:rsidRPr="00662E51">
                              <w:t xml:space="preserve">Figure </w:t>
                            </w:r>
                            <w:r>
                              <w:fldChar w:fldCharType="begin"/>
                            </w:r>
                            <w:r>
                              <w:instrText>SEQ Figure \* ARABIC</w:instrText>
                            </w:r>
                            <w:r>
                              <w:fldChar w:fldCharType="separate"/>
                            </w:r>
                            <w:r w:rsidRPr="00662E51">
                              <w:t>7</w:t>
                            </w:r>
                            <w:r>
                              <w:fldChar w:fldCharType="end"/>
                            </w:r>
                            <w:r w:rsidRPr="00662E51">
                              <w:t xml:space="preserve"> - Approximate High Road West regeneration area in black. Made by author using Open Streets Map</w:t>
                            </w:r>
                          </w:p>
                          <w:p w14:paraId="1788A1B1" w14:textId="77777777" w:rsidR="00717A64" w:rsidRDefault="00717A64"/>
                          <w:p w14:paraId="088D89BB" w14:textId="6FAFC250" w:rsidR="006A1090" w:rsidRPr="00662E51" w:rsidRDefault="00C232CA" w:rsidP="006A1090">
                            <w:pPr>
                              <w:pStyle w:val="Caption"/>
                            </w:pPr>
                            <w:r w:rsidRPr="00662E51">
                              <w:t xml:space="preserve">Figure </w:t>
                            </w:r>
                            <w:r>
                              <w:fldChar w:fldCharType="begin"/>
                            </w:r>
                            <w:r>
                              <w:instrText>SEQ Figure \* ARABIC</w:instrText>
                            </w:r>
                            <w:r>
                              <w:fldChar w:fldCharType="separate"/>
                            </w:r>
                            <w:r w:rsidRPr="00662E51">
                              <w:t>8</w:t>
                            </w:r>
                            <w:r>
                              <w:fldChar w:fldCharType="end"/>
                            </w:r>
                            <w:r w:rsidRPr="00662E51">
                              <w:t xml:space="preserve"> - Northumberland Park Ward. Made by author using Open Streets Map.</w:t>
                            </w:r>
                            <w:r w:rsidR="006A1090" w:rsidRPr="00662E51">
                              <w:t xml:space="preserve">Figure </w:t>
                            </w:r>
                            <w:r w:rsidR="006A1090">
                              <w:fldChar w:fldCharType="begin"/>
                            </w:r>
                            <w:r w:rsidR="006A1090">
                              <w:instrText>SEQ Figure \* ARABIC</w:instrText>
                            </w:r>
                            <w:r w:rsidR="006A1090">
                              <w:fldChar w:fldCharType="separate"/>
                            </w:r>
                            <w:r w:rsidR="006A1090" w:rsidRPr="00662E51">
                              <w:t>7</w:t>
                            </w:r>
                            <w:r w:rsidR="006A1090">
                              <w:fldChar w:fldCharType="end"/>
                            </w:r>
                            <w:r w:rsidR="006A1090" w:rsidRPr="00662E51">
                              <w:t xml:space="preserve"> - Approximate High Road West regeneration area in black. Made by author using Open Streets Map</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52D574" id="_x0000_s1033" type="#_x0000_t202" style="position:absolute;left:0;text-align:left;margin-left:35.3pt;margin-top:400.4pt;width:394.5pt;height:42.8pt;z-index:-25162340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" stroked="f">
                <v:textbox inset="0,0,0,0">
                  <w:txbxContent>
                    <w:p w14:paraId="7BA22C41" w14:textId="77777777" w:rsidR="006A1090" w:rsidRPr="00662E51" w:rsidRDefault="006A1090" w:rsidP="006A1090">
                      <w:pPr>
                        <w:pStyle w:val="Caption"/>
                      </w:pPr>
                      <w:bookmarkStart w:id="67" w:name="_Toc216875899"/>
                      <w:r w:rsidRPr="00662E51">
                        <w:t xml:space="preserve">Figure </w:t>
                      </w:r>
                      <w:r>
                        <w:fldChar w:fldCharType="begin"/>
                      </w:r>
                      <w:r>
                        <w:instrText>SEQ Figure \* ARABIC</w:instrText>
                      </w:r>
                      <w:r>
                        <w:fldChar w:fldCharType="separate"/>
                      </w:r>
                      <w:r w:rsidRPr="00662E51">
                        <w:t>7</w:t>
                      </w:r>
                      <w:r>
                        <w:fldChar w:fldCharType="end"/>
                      </w:r>
                      <w:r w:rsidRPr="00662E51">
                        <w:t xml:space="preserve"> - Approximate High Road West regeneration area in black. Made by author using Open Streets Map</w:t>
                      </w:r>
                    </w:p>
                    <w:p w14:paraId="1788A1B1" w14:textId="77777777" w:rsidR="00717A64" w:rsidRDefault="00717A64"/>
                    <w:p w14:paraId="088D89BB" w14:textId="6FAFC250" w:rsidR="006A1090" w:rsidRPr="00662E51" w:rsidRDefault="00C232CA" w:rsidP="006A1090">
                      <w:pPr>
                        <w:pStyle w:val="Caption"/>
                      </w:pPr>
                      <w:r w:rsidRPr="00662E51">
                        <w:t xml:space="preserve">Figure </w:t>
                      </w:r>
                      <w:r>
                        <w:fldChar w:fldCharType="begin"/>
                      </w:r>
                      <w:r>
                        <w:instrText>SEQ Figure \* ARABIC</w:instrText>
                      </w:r>
                      <w:r>
                        <w:fldChar w:fldCharType="separate"/>
                      </w:r>
                      <w:r w:rsidRPr="00662E51">
                        <w:t>8</w:t>
                      </w:r>
                      <w:r>
                        <w:fldChar w:fldCharType="end"/>
                      </w:r>
                      <w:r w:rsidRPr="00662E51">
                        <w:t xml:space="preserve"> - Northumberland Park Ward. Made by author using Open Streets Map.</w:t>
                      </w:r>
                      <w:r w:rsidR="006A1090" w:rsidRPr="00662E51">
                        <w:t xml:space="preserve">Figure </w:t>
                      </w:r>
                      <w:r w:rsidR="006A1090">
                        <w:fldChar w:fldCharType="begin"/>
                      </w:r>
                      <w:r w:rsidR="006A1090">
                        <w:instrText>SEQ Figure \* ARABIC</w:instrText>
                      </w:r>
                      <w:r w:rsidR="006A1090">
                        <w:fldChar w:fldCharType="separate"/>
                      </w:r>
                      <w:r w:rsidR="006A1090" w:rsidRPr="00662E51">
                        <w:t>7</w:t>
                      </w:r>
                      <w:r w:rsidR="006A1090">
                        <w:fldChar w:fldCharType="end"/>
                      </w:r>
                      <w:r w:rsidR="006A1090" w:rsidRPr="00662E51">
                        <w:t xml:space="preserve"> - Approximate High Road West regeneration area in black. Made by author using Open Streets Map</w:t>
                      </w:r>
                      <w:bookmarkEnd w:id="67"/>
                    </w:p>
                  </w:txbxContent>
                </v:textbox>
                <w10:wrap type="tight" anchorx="margin"/>
              </v:shape>
            </w:pict>
          </mc:Fallback>
        </mc:AlternateContent>
      </w:r>
    </w:p>
    <w:p w14:paraId="4E1A3CF4" w14:textId="0E5B4ECB" w:rsidR="009C2156" w:rsidRDefault="00527AFB" w:rsidP="006A1090">
      <w:pPr>
        <w:spacing w:line="360" w:lineRule="auto"/>
        <w:ind w:left="0"/>
        <w:rPr>
          <w:szCs w:val="24"/>
        </w:rPr>
      </w:pPr>
      <w:r w:rsidRPr="00662E51">
        <w:rPr>
          <w:szCs w:val="24"/>
        </w:rPr>
        <w:t xml:space="preserve">residents. Balloting on Love Lane began in 2021 but quickly became a fraught process. Activists claimed that the Council had pressured residents to vote yes and had cheated by having staff handle ballot papers. The Council, conversely, alleged </w:t>
      </w:r>
      <w:r w:rsidR="006A1090">
        <w:rPr>
          <w:szCs w:val="24"/>
        </w:rPr>
        <w:t xml:space="preserve"> </w:t>
      </w:r>
      <w:r w:rsidRPr="00662E51">
        <w:rPr>
          <w:szCs w:val="24"/>
        </w:rPr>
        <w:t xml:space="preserve">that campaigners were the ones pressuring residents </w:t>
      </w:r>
      <w:r w:rsidRPr="00662E51">
        <w:rPr>
          <w:szCs w:val="24"/>
        </w:rPr>
        <w:fldChar w:fldCharType="begin"/>
      </w:r>
      <w:r w:rsidRPr="00662E51">
        <w:rPr>
          <w:szCs w:val="24"/>
        </w:rPr>
        <w:instrText xml:space="preserve"> ADDIN ZOTERO_ITEM CSL_CITATION {"citationID":"p1LTkGxd","properties":{"formattedCitation":"(Hill 2021)","plainCitation":"(Hill 2021)","noteIndex":0},"citationItems":[{"id":5182,"uris":["http://zotero.org/users/8977980/items/9XUHNLWL"],"itemData":{"id":5182,"type":"article-newspaper","abstract":"Sadiq Khan’s introduction of referendums into the often-fraught issue of estate regeneration was welcomed by some and questioned by others. Those most strongly in favour were often Green, Corbyn Left and other housing activists, who perhaps anticipated that council and housing association tenants would rise up against alleged “social cleansing” and reject redevelopment plans. Others […]","container-title":"OnLondon","language":"en-GB","publisher-place":"London, UK","section":"Analysis","title":"Haringey: The rancorous referendum of the Love Lane estate","title-short":"Haringey","URL":"https://www.onlondon.co.uk/haringey-the-rancorous-referendum-of-the-love-lane-estate/","author":[{"family":"Hill","given":"Dave"}],"accessed":{"date-parts":[["2023",9,27]]},"issued":{"date-parts":[["2021",11,11]]}}}],"schema":"https://github.com/citation-style-language/schema/raw/master/csl-citation.json"} </w:instrText>
      </w:r>
      <w:r w:rsidRPr="00662E51">
        <w:rPr>
          <w:szCs w:val="24"/>
        </w:rPr>
        <w:fldChar w:fldCharType="separate"/>
      </w:r>
      <w:r w:rsidRPr="00662E51">
        <w:rPr>
          <w:szCs w:val="24"/>
        </w:rPr>
        <w:t>(Hill 2021)</w:t>
      </w:r>
      <w:r w:rsidRPr="00662E51">
        <w:rPr>
          <w:szCs w:val="24"/>
        </w:rPr>
        <w:fldChar w:fldCharType="end"/>
      </w:r>
      <w:r w:rsidRPr="00662E51">
        <w:rPr>
          <w:szCs w:val="24"/>
        </w:rPr>
        <w:t xml:space="preserve">. Damian Tissier </w:t>
      </w:r>
      <w:r w:rsidRPr="00662E51">
        <w:rPr>
          <w:szCs w:val="24"/>
        </w:rPr>
        <w:fldChar w:fldCharType="begin"/>
      </w:r>
      <w:r w:rsidRPr="00662E51">
        <w:rPr>
          <w:szCs w:val="24"/>
        </w:rPr>
        <w:instrText xml:space="preserve"> ADDIN ZOTERO_ITEM CSL_CITATION {"citationID":"6MxjVDNt","properties":{"formattedCitation":"(2021)","plainCitation":"(2021)","noteIndex":0},"citationItems":[{"id":5174,"uris":["http://zotero.org/users/8977980/items/VMYELFEM"],"itemData":{"id":5174,"type":"post-weblog","abstract":"open-letter-by-damian-tissier-22-09-2021Download THE LOVE LANE BALLOT AN OPEN LETTER From: Damian Tissier, Independent Tenant and Leaseholder Advisor at Love Lane To: Date: Dear , In March 2020, El…","container-title":"Haringey Defend Council Housing","language":"en","title":"Open letter on the Love Lane Ballot","URL":"https://haringeydefendcouncilhousingblog.wordpress.com/2021/09/19/open-letter-on-the-love-lane-ballot/","author":[{"family":"Tissier","given":"Damian"}],"accessed":{"date-parts":[["2023",9,27]]},"issued":{"date-parts":[["2021",9,19]]}},"suppress-author":true}],"schema":"https://github.com/citation-style-language/schema/raw/master/csl-citation.json"} </w:instrText>
      </w:r>
      <w:r w:rsidRPr="00662E51">
        <w:rPr>
          <w:szCs w:val="24"/>
        </w:rPr>
        <w:fldChar w:fldCharType="separate"/>
      </w:r>
      <w:r w:rsidRPr="00662E51">
        <w:rPr>
          <w:szCs w:val="24"/>
        </w:rPr>
        <w:t>(2021)</w:t>
      </w:r>
      <w:r w:rsidRPr="00662E51">
        <w:rPr>
          <w:szCs w:val="24"/>
        </w:rPr>
        <w:fldChar w:fldCharType="end"/>
      </w:r>
      <w:r w:rsidRPr="00662E51">
        <w:rPr>
          <w:szCs w:val="24"/>
        </w:rPr>
        <w:t>, the Independent Tenant and Leaseholder Advisor</w:t>
      </w:r>
      <w:r w:rsidRPr="00BD17AF">
        <w:rPr>
          <w:rStyle w:val="FootnoteReference"/>
        </w:rPr>
        <w:footnoteReference w:id="25"/>
      </w:r>
      <w:r w:rsidRPr="00662E51">
        <w:rPr>
          <w:szCs w:val="24"/>
        </w:rPr>
        <w:t xml:space="preserve"> for Love Lane Estate, stated that Haringey Council had not done enough consultation with residents </w:t>
      </w:r>
      <w:r w:rsidRPr="00662E51">
        <w:rPr>
          <w:szCs w:val="24"/>
        </w:rPr>
        <w:lastRenderedPageBreak/>
        <w:t xml:space="preserve">before the ballot occurred, heightening an already controversial process. The outcome was in support of the scheme with 56 percent voting to demolish the estate, with a 70 percent turnout </w:t>
      </w:r>
      <w:r w:rsidRPr="00662E51">
        <w:rPr>
          <w:szCs w:val="24"/>
        </w:rPr>
        <w:fldChar w:fldCharType="begin"/>
      </w:r>
      <w:r w:rsidRPr="00662E51">
        <w:rPr>
          <w:szCs w:val="24"/>
        </w:rPr>
        <w:instrText xml:space="preserve"> ADDIN ZOTERO_ITEM CSL_CITATION {"citationID":"sGzKP6k2","properties":{"formattedCitation":"(Hill 2021)","plainCitation":"(Hill 2021)","noteIndex":0},"citationItems":[{"id":5182,"uris":["http://zotero.org/users/8977980/items/9XUHNLWL"],"itemData":{"id":5182,"type":"article-newspaper","abstract":"Sadiq Khan’s introduction of referendums into the often-fraught issue of estate regeneration was welcomed by some and questioned by others. Those most strongly in favour were often Green, Corbyn Left and other housing activists, who perhaps anticipated that council and housing association tenants would rise up against alleged “social cleansing” and reject redevelopment plans. Others […]","container-title":"OnLondon","language":"en-GB","publisher-place":"London, UK","section":"Analysis","title":"Haringey: The rancorous referendum of the Love Lane estate","title-short":"Haringey","URL":"https://www.onlondon.co.uk/haringey-the-rancorous-referendum-of-the-love-lane-estate/","author":[{"family":"Hill","given":"Dave"}],"accessed":{"date-parts":[["2023",9,27]]},"issued":{"date-parts":[["2021",11,11]]}}}],"schema":"https://github.com/citation-style-language/schema/raw/master/csl-citation.json"} </w:instrText>
      </w:r>
      <w:r w:rsidRPr="00662E51">
        <w:rPr>
          <w:szCs w:val="24"/>
        </w:rPr>
        <w:fldChar w:fldCharType="separate"/>
      </w:r>
      <w:r w:rsidRPr="00662E51">
        <w:rPr>
          <w:szCs w:val="24"/>
        </w:rPr>
        <w:t>(Hill 2021)</w:t>
      </w:r>
      <w:r w:rsidRPr="00662E51">
        <w:rPr>
          <w:szCs w:val="24"/>
        </w:rPr>
        <w:fldChar w:fldCharType="end"/>
      </w:r>
      <w:r w:rsidRPr="00662E51">
        <w:rPr>
          <w:szCs w:val="24"/>
        </w:rPr>
        <w:t>. The properties to be demolished are currently under a Compulsory Purchase Order</w:t>
      </w:r>
      <w:r>
        <w:rPr>
          <w:szCs w:val="24"/>
        </w:rPr>
        <w:t xml:space="preserve"> (CPO)</w:t>
      </w:r>
      <w:r w:rsidRPr="00662E51">
        <w:rPr>
          <w:szCs w:val="24"/>
        </w:rPr>
        <w:t>,</w:t>
      </w:r>
      <w:r w:rsidRPr="00BD17AF">
        <w:rPr>
          <w:rStyle w:val="FootnoteReference"/>
        </w:rPr>
        <w:footnoteReference w:id="26"/>
      </w:r>
      <w:r w:rsidRPr="00662E51">
        <w:rPr>
          <w:szCs w:val="24"/>
        </w:rPr>
        <w:t xml:space="preserve"> which was granted in 2024 </w:t>
      </w:r>
      <w:r w:rsidRPr="00662E51">
        <w:rPr>
          <w:szCs w:val="24"/>
        </w:rPr>
        <w:fldChar w:fldCharType="begin"/>
      </w:r>
      <w:r w:rsidRPr="00662E51">
        <w:rPr>
          <w:szCs w:val="24"/>
        </w:rPr>
        <w:instrText xml:space="preserve"> ADDIN ZOTERO_ITEM CSL_CITATION {"citationID":"kpl47Y3M","properties":{"formattedCitation":"(Toms 2024)","plainCitation":"(Toms 2024)","noteIndex":0},"citationItems":[{"id":5768,"uris":["http://zotero.org/users/8977980/items/NZIA8PSP"],"itemData":{"id":5768,"type":"article-newspaper","abstract":"A number of businesspeople are angry, whereas others are more resigned to the change","container-title":"MyLondon","language":"en","note":"section: North London News","section":"North London News","title":"Shop owners distraught as council ‘forces them out' after 50 years","URL":"https://www.mylondon.news/news/north-london-news/shop-owners-distraught-north-london-28460206","author":[{"family":"Toms","given":"Adam"}],"accessed":{"date-parts":[["2024",6,19]]},"issued":{"date-parts":[["2024",1,21]]}}}],"schema":"https://github.com/citation-style-language/schema/raw/master/csl-citation.json"} </w:instrText>
      </w:r>
      <w:r w:rsidRPr="00662E51">
        <w:rPr>
          <w:szCs w:val="24"/>
        </w:rPr>
        <w:fldChar w:fldCharType="separate"/>
      </w:r>
      <w:r w:rsidRPr="00662E51">
        <w:rPr>
          <w:szCs w:val="24"/>
        </w:rPr>
        <w:t>(Toms 2024)</w:t>
      </w:r>
      <w:r w:rsidRPr="00662E51">
        <w:rPr>
          <w:szCs w:val="24"/>
        </w:rPr>
        <w:fldChar w:fldCharType="end"/>
      </w:r>
      <w:r w:rsidRPr="00662E51">
        <w:rPr>
          <w:szCs w:val="24"/>
        </w:rPr>
        <w:t xml:space="preserve">. HRW’s first phase has already started, with construction of 61 new council homes starting in 2024 </w:t>
      </w:r>
      <w:r w:rsidRPr="00662E51">
        <w:rPr>
          <w:szCs w:val="24"/>
        </w:rPr>
        <w:fldChar w:fldCharType="begin"/>
      </w:r>
      <w:r w:rsidRPr="00662E51">
        <w:rPr>
          <w:szCs w:val="24"/>
        </w:rPr>
        <w:instrText xml:space="preserve"> ADDIN ZOTERO_ITEM CSL_CITATION {"citationID":"Dy10IqKq","properties":{"formattedCitation":"(Marsh 2023)","plainCitation":"(Marsh 2023)","noteIndex":0},"citationItems":[{"id":6990,"uris":["http://zotero.org/users/8977980/items/PP8H7KX6"],"itemData":{"id":6990,"type":"webpage","abstract":"Work will begin on new council homes in Haringey, after the borough secured an initial round of funding for a regeneration project around High Road…","container-title":"Enfield Independent","language":"en","title":"Work to begin on first homes in High Road West regeneration project","URL":"https://www.enfieldindependent.co.uk/news/23418313.haringey-build-first-61-homes-tottenham-re-development/","author":[{"family":"Marsh","given":"Alex"}],"accessed":{"date-parts":[["2025",9,20]]},"issued":{"date-parts":[["2023",3,30]]}}}],"schema":"https://github.com/citation-style-language/schema/raw/master/csl-citation.json"} </w:instrText>
      </w:r>
      <w:r w:rsidRPr="00662E51">
        <w:rPr>
          <w:szCs w:val="24"/>
        </w:rPr>
        <w:fldChar w:fldCharType="separate"/>
      </w:r>
      <w:r w:rsidRPr="00662E51">
        <w:rPr>
          <w:szCs w:val="24"/>
        </w:rPr>
        <w:t>(Marsh 2023)</w:t>
      </w:r>
      <w:r w:rsidRPr="00662E51">
        <w:rPr>
          <w:szCs w:val="24"/>
        </w:rPr>
        <w:fldChar w:fldCharType="end"/>
      </w:r>
      <w:r w:rsidRPr="00662E51">
        <w:rPr>
          <w:szCs w:val="24"/>
        </w:rPr>
        <w:t xml:space="preserve">.  </w:t>
      </w:r>
    </w:p>
    <w:p w14:paraId="79CF1897" w14:textId="005069C9" w:rsidR="00527AFB" w:rsidRPr="00662E51" w:rsidRDefault="00527AFB" w:rsidP="00527AFB">
      <w:pPr>
        <w:spacing w:line="360" w:lineRule="auto"/>
        <w:ind w:left="0" w:firstLine="720"/>
        <w:rPr>
          <w:szCs w:val="24"/>
        </w:rPr>
      </w:pPr>
      <w:r w:rsidRPr="00662E51">
        <w:rPr>
          <w:szCs w:val="24"/>
        </w:rPr>
        <w:t xml:space="preserve">Unlike the HDV, High Road West is a far more standard regeneration scheme. There is no separate special purpose vehicle for HRW, and decision-making is not as imbalanced as in the HDV </w:t>
      </w:r>
      <w:r w:rsidRPr="00662E51">
        <w:rPr>
          <w:szCs w:val="24"/>
        </w:rPr>
        <w:fldChar w:fldCharType="begin"/>
      </w:r>
      <w:r w:rsidRPr="00662E51">
        <w:rPr>
          <w:szCs w:val="24"/>
        </w:rPr>
        <w:instrText xml:space="preserve"> ADDIN ZOTERO_ITEM CSL_CITATION {"citationID":"zYheKaqt","properties":{"formattedCitation":"(Haringey Borough Council 2023)","plainCitation":"(Haringey Borough Council 2023)","noteIndex":0},"citationItems":[{"id":5056,"uris":["http://zotero.org/users/8977980/items/4H5H7DLX"],"itemData":{"id":5056,"type":"webpage","title":"High Road West","URL":"https://www.haringey.gov.uk/regeneration/tottenham/high-road-west","author":[{"literal":"Haringey Borough Council"}],"accessed":{"date-parts":[["2023",9,12]]},"issued":{"date-parts":[["2023",2,1]]}}}],"schema":"https://github.com/citation-style-language/schema/raw/master/csl-citation.json"} </w:instrText>
      </w:r>
      <w:r w:rsidRPr="00662E51">
        <w:rPr>
          <w:szCs w:val="24"/>
        </w:rPr>
        <w:fldChar w:fldCharType="separate"/>
      </w:r>
      <w:r w:rsidRPr="00662E51">
        <w:rPr>
          <w:szCs w:val="24"/>
        </w:rPr>
        <w:t>(Haringey Borough Council 2023)</w:t>
      </w:r>
      <w:r w:rsidRPr="00662E51">
        <w:rPr>
          <w:szCs w:val="24"/>
        </w:rPr>
        <w:fldChar w:fldCharType="end"/>
      </w:r>
      <w:r w:rsidRPr="00662E51">
        <w:rPr>
          <w:szCs w:val="24"/>
        </w:rPr>
        <w:t xml:space="preserve">. While Haringey Council considered combining the two regeneration schemes, the decision was taken to separate them based on timelines and funding issues </w:t>
      </w:r>
      <w:r w:rsidRPr="00662E51">
        <w:rPr>
          <w:szCs w:val="24"/>
        </w:rPr>
        <w:fldChar w:fldCharType="begin"/>
      </w:r>
      <w:r w:rsidRPr="00662E51">
        <w:rPr>
          <w:szCs w:val="24"/>
        </w:rPr>
        <w:instrText xml:space="preserve"> ADDIN ZOTERO_ITEM CSL_CITATION {"citationID":"lClDBb7E","properties":{"formattedCitation":"(Turnberry Real Estate et al. 2015)","plainCitation":"(Turnberry Real Estate et al. 2015)","noteIndex":0},"citationItems":[{"id":1891,"uris":["http://zotero.org/groups/4816685/items/L3GSTLS3"],"itemData":{"id":1891,"type":"report","publisher":"Haringey Borough Council","title":"Haringey Development Vehicle Business Case","URL":"https://www.minutes.haringey.gov.uk/documents/s81584/151028%20HDV%20APPENDIX%20A1%20-%20Business%20Case%20public%20version.pdf","author":[{"literal":"Turnberry Real Estate"},{"literal":"Bilfinger GVA"},{"literal":"Pinsent Masons"}],"accessed":{"date-parts":[["2022",3,4]]},"issued":{"date-parts":[["2015",10]]}}}],"schema":"https://github.com/citation-style-language/schema/raw/master/csl-citation.json"} </w:instrText>
      </w:r>
      <w:r w:rsidRPr="00662E51">
        <w:rPr>
          <w:szCs w:val="24"/>
        </w:rPr>
        <w:fldChar w:fldCharType="separate"/>
      </w:r>
      <w:r w:rsidRPr="00662E51">
        <w:rPr>
          <w:szCs w:val="24"/>
        </w:rPr>
        <w:t>(Turnberry Real Estate et al. 2015)</w:t>
      </w:r>
      <w:r w:rsidRPr="00662E51">
        <w:rPr>
          <w:szCs w:val="24"/>
        </w:rPr>
        <w:fldChar w:fldCharType="end"/>
      </w:r>
      <w:r w:rsidRPr="00662E51">
        <w:rPr>
          <w:szCs w:val="24"/>
        </w:rPr>
        <w:t xml:space="preserve">. Moreover, this scheme had significantly more consultation with residents than did the HDV. By my count, impacted residents have had at least five different consultations since 2013. Not all residents were consulted each time. In spring 2017, for illustration, the Council only consulted secure council tenants regarding future housing, pursuant to its legal obligation as a landlord </w:t>
      </w:r>
      <w:r w:rsidRPr="00662E51">
        <w:rPr>
          <w:szCs w:val="24"/>
        </w:rPr>
        <w:fldChar w:fldCharType="begin"/>
      </w:r>
      <w:r w:rsidRPr="00662E51">
        <w:rPr>
          <w:szCs w:val="24"/>
        </w:rPr>
        <w:instrText xml:space="preserve"> ADDIN ZOTERO_ITEM CSL_CITATION {"citationID":"AsBFVMvR","properties":{"formattedCitation":"(Haringey Borough Council 2024b)","plainCitation":"(Haringey Borough Council 2024b)","noteIndex":0},"citationItems":[{"id":7002,"uris":["http://zotero.org/users/8977980/items/3CPNVAGB"],"itemData":{"id":7002,"type":"webpage","title":"High Road West previous consultations","URL":"https://www.haringey.gov.uk/placemaking-community-development/tottenham/high-road-west/high-road-west-previous-consultations","author":[{"literal":"Haringey Borough Council"}],"accessed":{"date-parts":[["2025",9,23]]},"issued":{"date-parts":[["2024"]]}}}],"schema":"https://github.com/citation-style-language/schema/raw/master/csl-citation.json"} </w:instrText>
      </w:r>
      <w:r w:rsidRPr="00662E51">
        <w:rPr>
          <w:szCs w:val="24"/>
        </w:rPr>
        <w:fldChar w:fldCharType="separate"/>
      </w:r>
      <w:r w:rsidRPr="00662E51">
        <w:rPr>
          <w:szCs w:val="24"/>
        </w:rPr>
        <w:t>(Haringey Borough Council 2024b)</w:t>
      </w:r>
      <w:r w:rsidRPr="00662E51">
        <w:rPr>
          <w:szCs w:val="24"/>
        </w:rPr>
        <w:fldChar w:fldCharType="end"/>
      </w:r>
      <w:r w:rsidRPr="00662E51">
        <w:rPr>
          <w:szCs w:val="24"/>
        </w:rPr>
        <w:t xml:space="preserve">. Chapter 7 considers the 2013 and 2014 consultations in detail, which also engaged with traders on the Peacock Industrial Estate. </w:t>
      </w:r>
    </w:p>
    <w:p w14:paraId="18EF570A" w14:textId="3408786E" w:rsidR="00527AFB" w:rsidRPr="00662E51" w:rsidRDefault="00D27D47" w:rsidP="00527AFB">
      <w:pPr>
        <w:spacing w:line="360" w:lineRule="auto"/>
        <w:ind w:left="0" w:firstLine="720"/>
        <w:rPr>
          <w:szCs w:val="24"/>
        </w:rPr>
      </w:pPr>
      <w:r w:rsidRPr="00662E51">
        <w:rPr>
          <w:szCs w:val="24"/>
        </w:rPr>
        <w:t>Yet</w:t>
      </w:r>
      <w:r w:rsidR="00527AFB" w:rsidRPr="00662E51">
        <w:rPr>
          <w:szCs w:val="24"/>
        </w:rPr>
        <w:t xml:space="preserve"> these differences do not make the scheme any less contested. Housing activists and impacted traders have been resisting HRW across several domains. One group, called Temporary Accommodation Group Love Lane (TAG) had long demanded full, permanent tenancies from the council for the estate’s temporary residents. Though Council documents indicate that such tenancies would be guaranteed, TAG campaigned against the demolition on the basis of not having a legally binding guarantee </w:t>
      </w:r>
      <w:r w:rsidR="00527AFB" w:rsidRPr="00662E51">
        <w:rPr>
          <w:szCs w:val="24"/>
        </w:rPr>
        <w:fldChar w:fldCharType="begin"/>
      </w:r>
      <w:r w:rsidR="00527AFB" w:rsidRPr="00662E51">
        <w:rPr>
          <w:szCs w:val="24"/>
        </w:rPr>
        <w:instrText xml:space="preserve"> ADDIN ZOTERO_ITEM CSL_CITATION {"citationID":"MtdZtAjf","properties":{"formattedCitation":"(Hill 2021)","plainCitation":"(Hill 2021)","noteIndex":0},"citationItems":[{"id":5182,"uris":["http://zotero.org/users/8977980/items/9XUHNLWL"],"itemData":{"id":5182,"type":"article-newspaper","abstract":"Sadiq Khan’s introduction of referendums into the often-fraught issue of estate regeneration was welcomed by some and questioned by others. Those most strongly in favour were often Green, Corbyn Left and other housing activists, who perhaps anticipated that council and housing association tenants would rise up against alleged “social cleansing” and reject redevelopment plans. Others […]","container-title":"OnLondon","language":"en-GB","publisher-place":"London, UK","section":"Analysis","title":"Haringey: The rancorous referendum of the Love Lane estate","title-short":"Haringey","URL":"https://www.onlondon.co.uk/haringey-the-rancorous-referendum-of-the-love-lane-estate/","author":[{"family":"Hill","given":"Dave"}],"accessed":{"date-parts":[["2023",9,27]]},"issued":{"date-parts":[["2021",11,11]]}}}],"schema":"https://github.com/citation-style-language/schema/raw/master/csl-citation.json"} </w:instrText>
      </w:r>
      <w:r w:rsidR="00527AFB" w:rsidRPr="00662E51">
        <w:rPr>
          <w:szCs w:val="24"/>
        </w:rPr>
        <w:fldChar w:fldCharType="separate"/>
      </w:r>
      <w:r w:rsidR="00527AFB" w:rsidRPr="00662E51">
        <w:rPr>
          <w:szCs w:val="24"/>
        </w:rPr>
        <w:t>(Hill 2021)</w:t>
      </w:r>
      <w:r w:rsidR="00527AFB" w:rsidRPr="00662E51">
        <w:rPr>
          <w:szCs w:val="24"/>
        </w:rPr>
        <w:fldChar w:fldCharType="end"/>
      </w:r>
      <w:r w:rsidR="00527AFB" w:rsidRPr="00662E51">
        <w:rPr>
          <w:szCs w:val="24"/>
        </w:rPr>
        <w:t xml:space="preserve">. Other campaigners, concerned about the depletion of council stock and regeneration broadly, opposed the scheme. They claimed that Haringey Council had intentionally let the estate’s condition deteriorate and the scheme was designed to socially cleanse Tottenham—repeating rhetoric about the HDV </w:t>
      </w:r>
      <w:r w:rsidR="00527AFB" w:rsidRPr="00662E51">
        <w:rPr>
          <w:szCs w:val="24"/>
        </w:rPr>
        <w:fldChar w:fldCharType="begin"/>
      </w:r>
      <w:r w:rsidR="00527AFB" w:rsidRPr="00662E51">
        <w:rPr>
          <w:szCs w:val="24"/>
        </w:rPr>
        <w:instrText xml:space="preserve"> ADDIN ZOTERO_ITEM CSL_CITATION {"citationID":"cavDSlTC","properties":{"formattedCitation":"(Allin 2023b)","plainCitation":"(Allin 2023b)","noteIndex":0},"citationItems":[{"id":5457,"uris":["http://zotero.org/users/8977980/items/MLRCMRHM"],"itemData":{"id":5457,"type":"article-newspaper","abstract":"Residents are fighting compulsory purchase orders over 3,000 new homes and commercial developments.","container-title":"BBC News","language":"en-GB","publisher-place":"London (UK), United Kingdom","section":"London","source":"www.bbc.co.uk","title":"Tottenham: Council accused of 'social cleansing' over development","title-short":"Tottenham","URL":"https://www.bbc.com/news/uk-england-london-67462190","author":[{"family":"Allin","given":"Simon"}],"accessed":{"date-parts":[["2023",11,21]]},"issued":{"date-parts":[["2023",11,18]]}}}],"schema":"https://github.com/citation-style-language/schema/raw/master/csl-citation.json"} </w:instrText>
      </w:r>
      <w:r w:rsidR="00527AFB" w:rsidRPr="00662E51">
        <w:rPr>
          <w:szCs w:val="24"/>
        </w:rPr>
        <w:fldChar w:fldCharType="separate"/>
      </w:r>
      <w:r w:rsidR="00527AFB" w:rsidRPr="00662E51">
        <w:rPr>
          <w:szCs w:val="24"/>
        </w:rPr>
        <w:t>(Allin 2023b)</w:t>
      </w:r>
      <w:r w:rsidR="00527AFB" w:rsidRPr="00662E51">
        <w:rPr>
          <w:szCs w:val="24"/>
        </w:rPr>
        <w:fldChar w:fldCharType="end"/>
      </w:r>
      <w:r w:rsidR="00527AFB" w:rsidRPr="00662E51">
        <w:rPr>
          <w:szCs w:val="24"/>
        </w:rPr>
        <w:t xml:space="preserve">. Local traders also opposed High </w:t>
      </w:r>
      <w:r w:rsidR="00527AFB" w:rsidRPr="00662E51">
        <w:rPr>
          <w:szCs w:val="24"/>
        </w:rPr>
        <w:lastRenderedPageBreak/>
        <w:t xml:space="preserve">Road West, arguing that it would dispossess them of their businesses (many of which they own outright) and be incredibly disruptive </w:t>
      </w:r>
      <w:r w:rsidR="00527AFB" w:rsidRPr="00662E51">
        <w:rPr>
          <w:szCs w:val="24"/>
        </w:rPr>
        <w:fldChar w:fldCharType="begin"/>
      </w:r>
      <w:r w:rsidR="00527AFB" w:rsidRPr="00662E51">
        <w:rPr>
          <w:szCs w:val="24"/>
        </w:rPr>
        <w:instrText xml:space="preserve"> ADDIN ZOTERO_ITEM CSL_CITATION {"citationID":"7QJ5cElq","properties":{"formattedCitation":"(Toms 2024)","plainCitation":"(Toms 2024)","noteIndex":0},"citationItems":[{"id":5768,"uris":["http://zotero.org/users/8977980/items/NZIA8PSP"],"itemData":{"id":5768,"type":"article-newspaper","abstract":"A number of businesspeople are angry, whereas others are more resigned to the change","container-title":"MyLondon","language":"en","note":"section: North London News","section":"North London News","title":"Shop owners distraught as council ‘forces them out' after 50 years","URL":"https://www.mylondon.news/news/north-london-news/shop-owners-distraught-north-london-28460206","author":[{"family":"Toms","given":"Adam"}],"accessed":{"date-parts":[["2024",6,19]]},"issued":{"date-parts":[["2024",1,21]]}}}],"schema":"https://github.com/citation-style-language/schema/raw/master/csl-citation.json"} </w:instrText>
      </w:r>
      <w:r w:rsidR="00527AFB" w:rsidRPr="00662E51">
        <w:rPr>
          <w:szCs w:val="24"/>
        </w:rPr>
        <w:fldChar w:fldCharType="separate"/>
      </w:r>
      <w:r w:rsidR="00527AFB" w:rsidRPr="00662E51">
        <w:rPr>
          <w:szCs w:val="24"/>
        </w:rPr>
        <w:t>(Toms 2024)</w:t>
      </w:r>
      <w:r w:rsidR="00527AFB" w:rsidRPr="00662E51">
        <w:rPr>
          <w:szCs w:val="24"/>
        </w:rPr>
        <w:fldChar w:fldCharType="end"/>
      </w:r>
      <w:r w:rsidR="00527AFB" w:rsidRPr="00662E51">
        <w:rPr>
          <w:szCs w:val="24"/>
        </w:rPr>
        <w:t xml:space="preserve">. Unlike with the Vehicle, however, this resistance is far quieter: there is no community-wide opposition to High Road West, and the scheme is overwhelmingly supported by the Council’s Labour Group. As such, High Road West is ongoing. Its longer-term impacts are still yet to be seen—but its value as a case study is both in its comparison with the Haringey Development Vehicle and as a regeneration scheme that is openly contested. </w:t>
      </w:r>
    </w:p>
    <w:p w14:paraId="30EAC99D" w14:textId="77777777" w:rsidR="00527AFB" w:rsidRPr="00662E51" w:rsidRDefault="00527AFB" w:rsidP="00527AFB">
      <w:pPr>
        <w:spacing w:line="360" w:lineRule="auto"/>
        <w:ind w:left="0"/>
        <w:rPr>
          <w:szCs w:val="24"/>
        </w:rPr>
      </w:pPr>
    </w:p>
    <w:p w14:paraId="3A45619B" w14:textId="610F03FB" w:rsidR="00527AFB" w:rsidRPr="00662E51" w:rsidRDefault="00527AFB" w:rsidP="00527AFB">
      <w:pPr>
        <w:pStyle w:val="Heading3"/>
      </w:pPr>
      <w:bookmarkStart w:id="68" w:name="_Toc221184304"/>
      <w:bookmarkStart w:id="69" w:name="_Toc231215227"/>
      <w:r w:rsidRPr="00662E51">
        <w:t>Tying the Case Studies Together</w:t>
      </w:r>
      <w:bookmarkEnd w:id="68"/>
      <w:r w:rsidR="00836748">
        <w:t>:</w:t>
      </w:r>
      <w:bookmarkEnd w:id="69"/>
    </w:p>
    <w:p w14:paraId="12BE3B6C" w14:textId="77777777" w:rsidR="00527AFB" w:rsidRPr="00662E51" w:rsidRDefault="00527AFB" w:rsidP="00527AFB">
      <w:pPr>
        <w:spacing w:line="360" w:lineRule="auto"/>
        <w:ind w:left="0" w:firstLine="576"/>
        <w:rPr>
          <w:szCs w:val="24"/>
        </w:rPr>
      </w:pPr>
      <w:r w:rsidRPr="00662E51">
        <w:rPr>
          <w:szCs w:val="24"/>
        </w:rPr>
        <w:t>On first glance, the HDV and HRW case studies are quite different from my investigation into the Broadwater Farm Youth Association. The former two consider regeneration schemes, their development and sustainment through the Labour Party, and organised resistance against them. BFYA, however, concentrates on a group of activists who fought Haringey Council for more resources and attention. This section consequently elucidates some of the important overlaps between the three illustrations.</w:t>
      </w:r>
    </w:p>
    <w:p w14:paraId="26FA55FC" w14:textId="41026B80" w:rsidR="00527AFB" w:rsidRPr="00662E51" w:rsidRDefault="00527AFB" w:rsidP="00527AFB">
      <w:pPr>
        <w:spacing w:line="360" w:lineRule="auto"/>
        <w:ind w:left="0" w:firstLine="576"/>
        <w:rPr>
          <w:szCs w:val="24"/>
        </w:rPr>
      </w:pPr>
      <w:r w:rsidRPr="00662E51">
        <w:rPr>
          <w:szCs w:val="24"/>
        </w:rPr>
        <w:t xml:space="preserve">First, all three examples consider activism against and during illiberalism or authoritarian governance </w:t>
      </w:r>
      <w:r w:rsidRPr="00662E51">
        <w:rPr>
          <w:szCs w:val="24"/>
        </w:rPr>
        <w:fldChar w:fldCharType="begin"/>
      </w:r>
      <w:r w:rsidRPr="00662E51">
        <w:rPr>
          <w:szCs w:val="24"/>
        </w:rPr>
        <w:instrText xml:space="preserve"> ADDIN ZOTERO_ITEM CSL_CITATION {"citationID":"uOhaYewe","properties":{"formattedCitation":"(Bruff 2014)","plainCitation":"(Bruff 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Neoliberalism","volume":"26","author":[{"family":"Bruff","given":"Ian"}],"issued":{"date-parts":[["2014",1,2]]}}}],"schema":"https://github.com/citation-style-language/schema/raw/master/csl-citation.json"} </w:instrText>
      </w:r>
      <w:r w:rsidRPr="00662E51">
        <w:rPr>
          <w:szCs w:val="24"/>
        </w:rPr>
        <w:fldChar w:fldCharType="separate"/>
      </w:r>
      <w:r w:rsidRPr="00662E51">
        <w:t>(Bruff 2014)</w:t>
      </w:r>
      <w:r w:rsidRPr="00662E51">
        <w:rPr>
          <w:szCs w:val="24"/>
        </w:rPr>
        <w:fldChar w:fldCharType="end"/>
      </w:r>
      <w:r w:rsidRPr="00662E51">
        <w:rPr>
          <w:szCs w:val="24"/>
        </w:rPr>
        <w:t>. As is suggested throughou</w:t>
      </w:r>
      <w:r w:rsidR="00466E12">
        <w:rPr>
          <w:szCs w:val="24"/>
        </w:rPr>
        <w:t>t the thesis</w:t>
      </w:r>
      <w:r w:rsidRPr="00662E51">
        <w:rPr>
          <w:szCs w:val="24"/>
        </w:rPr>
        <w:t xml:space="preserve">, major policy changes were implemented with little democratic accountability and significant pressure (if not coercion) from the council. </w:t>
      </w:r>
      <w:r w:rsidR="003E42A1">
        <w:rPr>
          <w:szCs w:val="24"/>
        </w:rPr>
        <w:t xml:space="preserve">This stands in sharp contrast to the atmosphere of solidarity I experienced in the opening vignette at the beginning of Chapter 1. </w:t>
      </w:r>
      <w:r w:rsidRPr="00662E51">
        <w:rPr>
          <w:szCs w:val="24"/>
        </w:rPr>
        <w:t xml:space="preserve">Contemporary urban development in London often progresses with little in the way of material engagement with residents, even though councils are legally required to consult communities </w:t>
      </w:r>
      <w:r w:rsidRPr="00662E51">
        <w:rPr>
          <w:szCs w:val="24"/>
        </w:rPr>
        <w:fldChar w:fldCharType="begin"/>
      </w:r>
      <w:r w:rsidR="001B2CAA">
        <w:rPr>
          <w:szCs w:val="24"/>
        </w:rPr>
        <w:instrText xml:space="preserve"> ADDIN ZOTERO_ITEM CSL_CITATION {"citationID":"fYQKrzIN","properties":{"formattedCitation":"(Ball 2004; Ormerod and MacLeod 2019; Watt 2021b)","plainCitation":"(Ball 2004; Ormerod and MacLeod 2019; Watt 2021b)","noteIndex":0},"citationItems":[{"id":6995,"uris":["http://zotero.org/users/8977980/items/VLA9Z82L"],"itemData":{"id":6995,"type":"article-journal","abstract":"Community involvement is a requirement for the public sector funding of urban regeneration in the UK. As a result, it has a major effect on the governance of property</w:instrText>
      </w:r>
      <w:r w:rsidR="001B2CAA">
        <w:rPr>
          <w:rFonts w:ascii="Cambria Math" w:hAnsi="Cambria Math" w:cs="Cambria Math"/>
          <w:szCs w:val="24"/>
        </w:rPr>
        <w:instrText>‐</w:instrText>
      </w:r>
      <w:r w:rsidR="001B2CAA">
        <w:rPr>
          <w:szCs w:val="24"/>
        </w:rPr>
        <w:instrText>led regeneration. How well has this new governance structure functioned? This question is addressed here through some deductions regarding the potential benefits and costs of community involvement. These highlight potential ambiguities in the nature of community involvement and difficulties in creating the appropriate conditions for successful co</w:instrText>
      </w:r>
      <w:r w:rsidR="001B2CAA">
        <w:rPr>
          <w:rFonts w:ascii="Cambria Math" w:hAnsi="Cambria Math" w:cs="Cambria Math"/>
          <w:szCs w:val="24"/>
        </w:rPr>
        <w:instrText>‐</w:instrText>
      </w:r>
      <w:r w:rsidR="001B2CAA">
        <w:rPr>
          <w:szCs w:val="24"/>
        </w:rPr>
        <w:instrText>operation. This analysis is then compared with the results of a survey of the views on community representatives by non</w:instrText>
      </w:r>
      <w:r w:rsidR="001B2CAA">
        <w:rPr>
          <w:rFonts w:ascii="Cambria Math" w:hAnsi="Cambria Math" w:cs="Cambria Math"/>
          <w:szCs w:val="24"/>
        </w:rPr>
        <w:instrText>‐</w:instrText>
      </w:r>
      <w:r w:rsidR="001B2CAA">
        <w:rPr>
          <w:szCs w:val="24"/>
        </w:rPr>
        <w:instrText>community participants in partnerships associated with property</w:instrText>
      </w:r>
      <w:r w:rsidR="001B2CAA">
        <w:rPr>
          <w:rFonts w:ascii="Cambria Math" w:hAnsi="Cambria Math" w:cs="Cambria Math"/>
          <w:szCs w:val="24"/>
        </w:rPr>
        <w:instrText>‐</w:instrText>
      </w:r>
      <w:r w:rsidR="001B2CAA">
        <w:rPr>
          <w:szCs w:val="24"/>
        </w:rPr>
        <w:instrText>led urban regeneration. In general, the other partners found community representatives difficult to co</w:instrText>
      </w:r>
      <w:r w:rsidR="001B2CAA">
        <w:rPr>
          <w:rFonts w:ascii="Cambria Math" w:hAnsi="Cambria Math" w:cs="Cambria Math"/>
          <w:szCs w:val="24"/>
        </w:rPr>
        <w:instrText>‐</w:instrText>
      </w:r>
      <w:r w:rsidR="001B2CAA">
        <w:rPr>
          <w:szCs w:val="24"/>
        </w:rPr>
        <w:instrText>operate with. Problems arose in particular over representativeness, trust and efficient working practices.","container-title":"Journal of Property Research","DOI":"10.1080/0959991042000328810","ISSN":"0959-9916","issue":"2","note":"_eprint: https://doi.org/10.1080/0959991042000328810","page":"119-142","publisher":"Routledge","source":"Taylor and Francis+NEJM","title":"Co</w:instrText>
      </w:r>
      <w:r w:rsidR="001B2CAA">
        <w:rPr>
          <w:rFonts w:ascii="Cambria Math" w:hAnsi="Cambria Math" w:cs="Cambria Math"/>
          <w:szCs w:val="24"/>
        </w:rPr>
        <w:instrText>‐</w:instrText>
      </w:r>
      <w:r w:rsidR="001B2CAA">
        <w:rPr>
          <w:szCs w:val="24"/>
        </w:rPr>
        <w:instrText>operation with the community in property</w:instrText>
      </w:r>
      <w:r w:rsidR="001B2CAA">
        <w:rPr>
          <w:rFonts w:ascii="Cambria Math" w:hAnsi="Cambria Math" w:cs="Cambria Math"/>
          <w:szCs w:val="24"/>
        </w:rPr>
        <w:instrText>‐</w:instrText>
      </w:r>
      <w:r w:rsidR="001B2CAA">
        <w:rPr>
          <w:szCs w:val="24"/>
        </w:rPr>
        <w:instrText xml:space="preserve">led urban regeneration","volume":"21","author":[{"family":"Ball","given":"Michael"}],"issued":{"date-parts":[["2004",6,1]]}}},{"id":3317,"uris":["http://zotero.org/users/8977980/items/3FKCPYR3"],"itemData":{"id":3317,"type":"article-journal","abstract":"This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id":"n0Saldgp/r7qNchtf","uris":["http://zotero.org/users/8977980/items/BHKUJBH9"],"itemData":{"id":"p3wpPMHL/WKzq5Y3Q","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Pr="00662E51">
        <w:rPr>
          <w:szCs w:val="24"/>
        </w:rPr>
        <w:fldChar w:fldCharType="separate"/>
      </w:r>
      <w:r w:rsidRPr="00662E51">
        <w:t>(Ball 2004; Ormerod and MacLeod 2019; Watt 2021b)</w:t>
      </w:r>
      <w:r w:rsidRPr="00662E51">
        <w:rPr>
          <w:szCs w:val="24"/>
        </w:rPr>
        <w:fldChar w:fldCharType="end"/>
      </w:r>
      <w:r w:rsidRPr="00662E51">
        <w:rPr>
          <w:szCs w:val="24"/>
        </w:rPr>
        <w:t xml:space="preserve">. This does not imply outright authoritarianism—rather, it reflects a set of governance practices that foreclose proper democratic engagement, with the aim of ensuring regeneration succeeds. Estate balloting, for instance, hardly rejects a regeneration scheme </w:t>
      </w:r>
      <w:r w:rsidRPr="00662E51">
        <w:rPr>
          <w:szCs w:val="24"/>
        </w:rPr>
        <w:fldChar w:fldCharType="begin"/>
      </w:r>
      <w:r w:rsidRPr="00662E51">
        <w:rPr>
          <w:szCs w:val="24"/>
        </w:rPr>
        <w:instrText xml:space="preserve"> ADDIN ZOTERO_ITEM CSL_CITATION {"citationID":"FvUmv1a1","properties":{"formattedCitation":"(with the first \\uc0\\u8216{}no\\uc0\\u8217{} vote only happening two years after balloting began; Brady 2020)","plainCitation":"(with the first ‘no’ vote only happening two years after balloting began; Brady 2020)","noteIndex":0},"citationItems":[{"id":6996,"uris":["http://zotero.org/users/8977980/items/P6CIXBC3"],"itemData":{"id":6996,"type":"article-newspaper","abstract":"A trusted source of up-to-date news for social housing professionals – the only place to get comprehensive coverage of all the big topics.","container-title":"Inside Housing","language":"En","publisher-place":"London","title":"London regeneration ballot rejected by residents for the first time over social rent concerns","URL":"https://www.insidehousing.co.uk/news/london-regeneration-ballot-rejected-by-residents-for-the-first-time-over-social-rent-concerns-67849","author":[{"family":"Brady","given":"Dominic"}],"accessed":{"date-parts":[["2025",9,23]]},"issued":{"date-parts":[["2020",9,11]]}},"prefix":"with the first 'no' vote only happening two years after balloting began;"}],"schema":"https://github.com/citation-style-language/schema/raw/master/csl-citation.json"} </w:instrText>
      </w:r>
      <w:r w:rsidRPr="00662E51">
        <w:rPr>
          <w:szCs w:val="24"/>
        </w:rPr>
        <w:fldChar w:fldCharType="separate"/>
      </w:r>
      <w:r w:rsidRPr="00662E51">
        <w:rPr>
          <w:rFonts w:cs="Times New Roman"/>
          <w:kern w:val="0"/>
          <w:szCs w:val="24"/>
        </w:rPr>
        <w:t>(with the first ‘no’ vote only happening two years after balloting began; Brady 2020)</w:t>
      </w:r>
      <w:r w:rsidRPr="00662E51">
        <w:rPr>
          <w:szCs w:val="24"/>
        </w:rPr>
        <w:fldChar w:fldCharType="end"/>
      </w:r>
      <w:r w:rsidRPr="00662E51">
        <w:rPr>
          <w:szCs w:val="24"/>
        </w:rPr>
        <w:t xml:space="preserve">, even though regeneration often appears to be incredibly unpopular and destructive </w:t>
      </w:r>
      <w:r w:rsidRPr="00662E51">
        <w:rPr>
          <w:szCs w:val="24"/>
        </w:rPr>
        <w:fldChar w:fldCharType="begin"/>
      </w:r>
      <w:r w:rsidR="001B2CAA">
        <w:rPr>
          <w:szCs w:val="24"/>
        </w:rPr>
        <w:instrText xml:space="preserve"> ADDIN ZOTERO_ITEM CSL_CITATION {"citationID":"g3Z1qF7F","properties":{"formattedCitation":"(Watt 2021b)","plainCitation":"(Watt 2021b)","noteIndex":0},"citationItems":[{"id":"n0Saldgp/r7qNchtf","uris":["http://zotero.org/users/8977980/items/BHKUJBH9"],"itemData":{"id":"p3wpPMHL/WKzq5Y3Q","type":"book","abstract":"Public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Pr="00662E51">
        <w:rPr>
          <w:szCs w:val="24"/>
        </w:rPr>
        <w:fldChar w:fldCharType="separate"/>
      </w:r>
      <w:r w:rsidRPr="00662E51">
        <w:t>(Watt 2021b)</w:t>
      </w:r>
      <w:r w:rsidRPr="00662E51">
        <w:rPr>
          <w:szCs w:val="24"/>
        </w:rPr>
        <w:fldChar w:fldCharType="end"/>
      </w:r>
      <w:r w:rsidRPr="00662E51">
        <w:rPr>
          <w:szCs w:val="24"/>
        </w:rPr>
        <w:t xml:space="preserve">. Alongside others </w:t>
      </w:r>
      <w:r w:rsidRPr="00662E51">
        <w:rPr>
          <w:szCs w:val="24"/>
        </w:rPr>
        <w:fldChar w:fldCharType="begin"/>
      </w:r>
      <w:r w:rsidRPr="00662E51">
        <w:rPr>
          <w:szCs w:val="24"/>
        </w:rPr>
        <w:instrText xml:space="preserve"> ADDIN ZOTERO_ITEM CSL_CITATION {"citationID":"wSq6FqJY","properties":{"formattedCitation":"(e.g., Lees and Hubbard 2022; Ormerod and MacLeod 2019)","plainCitation":"(e.g., Lees and Hubbard 2022; Ormerod and MacLeod 2019)","noteIndex":0},"citationItems":[{"id":2758,"uris":["http://zotero.org/users/8977980/items/3IEJLJZ9"],"itemData":{"id":2758,"type":"article-journal","abstract":"Since 1997, over 50,000 homes have been demolished to allow for the “renewal” of council estates in London. This has involved the “decanting” of short and long-term tenants, as well as those lease­ holders who bought their homes under “right to buy” legislation. Often described as “social cleansing”, the racialized dimensions of these displacements remain under-explored despite asizable litera­ ture documenting the connections between race, place and statesubsidized housing in Britain. Drawing on interviews with Black, Asian, and Minority Ethnic estate residents– including many active in housing movements– this paper shows that this displacement is understood in relation to histories of racial discrimination, the destruction of ethno-cultural infrastructures, and long-stand­ ing racialized inequalities. These themes resonate with apolitics of resistance grounded in aracialized class consciousness that seeks to intervene more broadly in the politics of capital and the state.","container-title":"Housing, Theory and Society","DOI":"10.1080/14036096.2021.1959392","ISSN":"1403-6096, 1651-2278","issue":"3","journalAbbreviation":"Housing, Theory and Society","language":"en","page":"341-358","source":"DOI.org (Crossref)","title":"“So, Don’t You Want Us Here No More?” Slow Violence, Frustrated Hope, and Racialized Struggle on London’s Council Estates","title-short":"“So, Don’t You Want Us Here No More?","volume":"39","author":[{"family":"Lees","given":"Loretta"},{"family":"Hubbard","given":"Phil"}],"issued":{"date-parts":[["2022",5,27]]}},"prefix":"e.g., "},{"id":3317,"uris":["http://zotero.org/users/8977980/items/3FKCPYR3"],"itemData":{"id":3317,"type":"article-journal","abstract":"This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Pr="00662E51">
        <w:rPr>
          <w:szCs w:val="24"/>
        </w:rPr>
        <w:t>(e.g., Lees and Hubbard 2022; Ormerod and MacLeod 2019)</w:t>
      </w:r>
      <w:r w:rsidRPr="00662E51">
        <w:rPr>
          <w:szCs w:val="24"/>
        </w:rPr>
        <w:fldChar w:fldCharType="end"/>
      </w:r>
      <w:r w:rsidRPr="00662E51">
        <w:rPr>
          <w:szCs w:val="24"/>
        </w:rPr>
        <w:t xml:space="preserve">, my scholarship </w:t>
      </w:r>
      <w:r w:rsidRPr="00662E51">
        <w:rPr>
          <w:szCs w:val="24"/>
        </w:rPr>
        <w:lastRenderedPageBreak/>
        <w:t xml:space="preserve">indicates that these ballot processes are imbalanced, with councils retaining significant advantages over advocates. For example, councils often misrepresent their findings on reports or apply heavy pressure on residents to convince them to vote for a demolition. Consultation processes similarly continue for years, fatiguing residents who often already contend with various interlocking forms of oppression </w:t>
      </w:r>
      <w:r w:rsidRPr="00662E51">
        <w:rPr>
          <w:szCs w:val="24"/>
        </w:rPr>
        <w:fldChar w:fldCharType="begin"/>
      </w:r>
      <w:r w:rsidRPr="00662E51">
        <w:rPr>
          <w:szCs w:val="24"/>
        </w:rPr>
        <w:instrText xml:space="preserve"> ADDIN ZOTERO_ITEM CSL_CITATION {"citationID":"Y10nbXL6","properties":{"formattedCitation":"(Davidson et al. 2013)","plainCitation":"(Davidson et al. 2013)","noteIndex":0},"citationItems":[{"id":5771,"uris":["http://zotero.org/users/8977980/items/DC73HLP5"],"itemData":{"id":5771,"type":"article-journal","container-title":"Journal of Urban Regeneration and Renewal","language":"en","source":"hstalks.com","title":"‘It’ll get worse before it gets better’: Local experiences of living in a regeneration area","title-short":"‘It’ll get worse before it gets better’","URL":"doi.org/10.69554/WREP1300","author":[{"family":"Davidson","given":"Gill"},{"family":"Mcguinness","given":"David"},{"family":"Greenhalgh","given":"Paul"},{"family":"Braidford","given":"Paul"},{"family":"Robinson","given":"Fred"}],"accessed":{"date-parts":[["2024",6,21]]},"issued":{"date-parts":[["2013",9,1]]}}}],"schema":"https://github.com/citation-style-language/schema/raw/master/csl-citation.json"} </w:instrText>
      </w:r>
      <w:r w:rsidRPr="00662E51">
        <w:rPr>
          <w:szCs w:val="24"/>
        </w:rPr>
        <w:fldChar w:fldCharType="separate"/>
      </w:r>
      <w:r w:rsidRPr="00662E51">
        <w:rPr>
          <w:szCs w:val="24"/>
        </w:rPr>
        <w:t>(Davidson et al. 2013)</w:t>
      </w:r>
      <w:r w:rsidRPr="00662E51">
        <w:rPr>
          <w:szCs w:val="24"/>
        </w:rPr>
        <w:fldChar w:fldCharType="end"/>
      </w:r>
      <w:r w:rsidRPr="00662E51">
        <w:rPr>
          <w:szCs w:val="24"/>
        </w:rPr>
        <w:t xml:space="preserve">. Such dynamics work to wear down resistance and silence opposition to regeneration. The Broadwater Farm Youth Association experienced similarly illiberal governance—but of the kind that was far more violent. Thatcherism was associated with racialised policing that stifled Black radical activism </w:t>
      </w:r>
      <w:r w:rsidRPr="00662E51">
        <w:rPr>
          <w:szCs w:val="24"/>
        </w:rPr>
        <w:fldChar w:fldCharType="begin"/>
      </w:r>
      <w:r w:rsidR="00213B80">
        <w:rPr>
          <w:szCs w:val="24"/>
        </w:rPr>
        <w:instrText xml:space="preserve"> ADDIN ZOTERO_ITEM CSL_CITATION {"citationID":"h1gDwNUD","properties":{"formattedCitation":"(S. Hall et al. [1978] 2019; Perera 2019a)","plainCitation":"(S. Hall et al. [1978] 2019; Perera 2019a)","noteIndex":0},"citationItems":[{"id":5777,"uris":["http://zotero.org/users/8977980/items/3K89WG2H"],"itemData":{"id":5777,"type":"book","edition":"2nd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id":3141,"uris":["http://zotero.org/users/8977980/items/CB3BBSPP"],"itemData":{"id":3141,"type":"report","language":"en","number":"12","publisher":"Institute of Race Relations","publisher-place":"London","source":"Zotero","title":"The London Clearances: Race, Housing and Policing","URL":"https://irr.org.uk/wp-content/uploads/2020/09/The-London-Clearances-Race-Housing-and-Policing-1.pdf","author":[{"family":"Perera","given":"Jessica"}],"issued":{"date-parts":[["2019"]]}}}],"schema":"https://github.com/citation-style-language/schema/raw/master/csl-citation.json"} </w:instrText>
      </w:r>
      <w:r w:rsidRPr="00662E51">
        <w:rPr>
          <w:szCs w:val="24"/>
        </w:rPr>
        <w:fldChar w:fldCharType="separate"/>
      </w:r>
      <w:r w:rsidR="00213B80" w:rsidRPr="00213B80">
        <w:t>(S. Hall et al. [1978] 2019; Perera 2019a)</w:t>
      </w:r>
      <w:r w:rsidRPr="00662E51">
        <w:rPr>
          <w:szCs w:val="24"/>
        </w:rPr>
        <w:fldChar w:fldCharType="end"/>
      </w:r>
      <w:r w:rsidRPr="00662E51">
        <w:rPr>
          <w:szCs w:val="24"/>
        </w:rPr>
        <w:t xml:space="preserve"> with the goal of managing political economic shifts such that capital accumulation could continue even during a time of militant labour resistance </w:t>
      </w:r>
      <w:r w:rsidRPr="00662E51">
        <w:rPr>
          <w:szCs w:val="24"/>
        </w:rPr>
        <w:fldChar w:fldCharType="begin"/>
      </w:r>
      <w:r w:rsidRPr="00662E51">
        <w:rPr>
          <w:szCs w:val="24"/>
        </w:rPr>
        <w:instrText xml:space="preserve"> ADDIN ZOTERO_ITEM CSL_CITATION {"citationID":"AqNcDW3k","properties":{"formattedCitation":"(Gamble 1989)","plainCitation":"(Gamble 1989)","noteIndex":0},"citationItems":[{"id":3,"uris":["http://zotero.org/users/8977980/items/U4XCFRW8"],"itemData":{"id":3,"type":"book","ISBN":"978-1-349-19438-4","publisher":"Palgrave Macmillan UK","publisher-place":"London","title":"The Free Economy and the Strong State: The Politics of Thatcherism","author":[{"family":"Gamble","given":"Andrew"}],"issued":{"date-parts":[["1989"]]}}}],"schema":"https://github.com/citation-style-language/schema/raw/master/csl-citation.json"} </w:instrText>
      </w:r>
      <w:r w:rsidRPr="00662E51">
        <w:rPr>
          <w:szCs w:val="24"/>
        </w:rPr>
        <w:fldChar w:fldCharType="separate"/>
      </w:r>
      <w:r w:rsidRPr="00662E51">
        <w:rPr>
          <w:szCs w:val="24"/>
        </w:rPr>
        <w:t>(Gamble 1989)</w:t>
      </w:r>
      <w:r w:rsidRPr="00662E51">
        <w:rPr>
          <w:szCs w:val="24"/>
        </w:rPr>
        <w:fldChar w:fldCharType="end"/>
      </w:r>
      <w:r w:rsidRPr="00662E51">
        <w:rPr>
          <w:szCs w:val="24"/>
        </w:rPr>
        <w:t>. Authoritarian neoliberalism threads through each case, albeit with varying intensities. Section 3.</w:t>
      </w:r>
      <w:r>
        <w:rPr>
          <w:szCs w:val="24"/>
        </w:rPr>
        <w:t>3</w:t>
      </w:r>
      <w:r w:rsidRPr="00662E51">
        <w:rPr>
          <w:szCs w:val="24"/>
        </w:rPr>
        <w:t xml:space="preserve">. </w:t>
      </w:r>
      <w:r w:rsidRPr="00662E51">
        <w:rPr>
          <w:rStyle w:val="CommentReference"/>
          <w:sz w:val="24"/>
          <w:szCs w:val="24"/>
        </w:rPr>
        <w:t>d</w:t>
      </w:r>
      <w:r w:rsidRPr="00662E51">
        <w:rPr>
          <w:szCs w:val="24"/>
        </w:rPr>
        <w:t>iscusses this theory in more detail.</w:t>
      </w:r>
    </w:p>
    <w:p w14:paraId="6CC15D6A" w14:textId="19314925" w:rsidR="00527AFB" w:rsidRPr="00662E51" w:rsidRDefault="00527AFB" w:rsidP="00527AFB">
      <w:pPr>
        <w:spacing w:line="360" w:lineRule="auto"/>
        <w:ind w:left="0" w:firstLine="576"/>
        <w:rPr>
          <w:szCs w:val="24"/>
        </w:rPr>
      </w:pPr>
      <w:r w:rsidRPr="00662E51">
        <w:rPr>
          <w:szCs w:val="24"/>
        </w:rPr>
        <w:t xml:space="preserve">Resistance, too, surfaces across the empirical cases. BFYA is a prominent example of struggle but one that </w:t>
      </w:r>
      <w:r w:rsidRPr="00662E51">
        <w:rPr>
          <w:i/>
          <w:iCs/>
          <w:szCs w:val="24"/>
        </w:rPr>
        <w:t>accommodates</w:t>
      </w:r>
      <w:r w:rsidRPr="00662E51">
        <w:rPr>
          <w:szCs w:val="24"/>
        </w:rPr>
        <w:t xml:space="preserve"> the state rather than fights it at every turn. Mirroring, but ultimately different from other forms of everyday resistance, the Association’s accommodative resistance </w:t>
      </w:r>
      <w:r w:rsidRPr="00662E51">
        <w:rPr>
          <w:szCs w:val="24"/>
        </w:rPr>
        <w:fldChar w:fldCharType="begin"/>
      </w:r>
      <w:r w:rsidRPr="00662E51">
        <w:rPr>
          <w:szCs w:val="24"/>
        </w:rPr>
        <w:instrText xml:space="preserve"> ADDIN ZOTERO_ITEM CSL_CITATION {"citationID":"usiQ6lzA","properties":{"formattedCitation":"(Jakim\\uc0\\u243{}w 2017)","plainCitation":"(Jakimów 2017)","noteIndex":0},"citationItems":[{"id":5120,"uris":["http://zotero.org/users/8977980/items/LAMKT3ES"],"itemData":{"id":5120,"type":"article-journal","abstract":"Based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Accommodation","volume":"26","author":[{"family":"Jakimów","given":"Małgorzata"}],"issued":{"date-parts":[["2017",11,2]]}}}],"schema":"https://github.com/citation-style-language/schema/raw/master/csl-citation.json"} </w:instrText>
      </w:r>
      <w:r w:rsidRPr="00662E51">
        <w:rPr>
          <w:szCs w:val="24"/>
        </w:rPr>
        <w:fldChar w:fldCharType="separate"/>
      </w:r>
      <w:r w:rsidRPr="00662E51">
        <w:rPr>
          <w:rFonts w:cs="Times New Roman"/>
          <w:kern w:val="0"/>
          <w:szCs w:val="24"/>
        </w:rPr>
        <w:t>(Jakimów 2017)</w:t>
      </w:r>
      <w:r w:rsidRPr="00662E51">
        <w:rPr>
          <w:szCs w:val="24"/>
        </w:rPr>
        <w:fldChar w:fldCharType="end"/>
      </w:r>
      <w:r w:rsidRPr="00662E51">
        <w:rPr>
          <w:szCs w:val="24"/>
        </w:rPr>
        <w:t xml:space="preserve"> is explored more in-depth in Chapter 5. Their activism is also considered through the lens of citizenship and political subjectivity </w:t>
      </w:r>
      <w:r w:rsidRPr="00662E51">
        <w:rPr>
          <w:szCs w:val="24"/>
        </w:rPr>
        <w:fldChar w:fldCharType="begin"/>
      </w:r>
      <w:r w:rsidR="008E2F28">
        <w:rPr>
          <w:szCs w:val="24"/>
        </w:rPr>
        <w:instrText xml:space="preserve"> ADDIN ZOTERO_ITEM CSL_CITATION {"citationID":"Zv8mMnqJ","properties":{"formattedCitation":"(Isin 2008)","plainCitation":"(Isin 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Marc"}],"author":[{"family":"Isin","given":"Engin"}],"accessed":{"date-parts":[["2022",2,3]]},"issued":{"date-parts":[["2008"]]}}}],"schema":"https://github.com/citation-style-language/schema/raw/master/csl-citation.json"} </w:instrText>
      </w:r>
      <w:r w:rsidRPr="00662E51">
        <w:rPr>
          <w:szCs w:val="24"/>
        </w:rPr>
        <w:fldChar w:fldCharType="separate"/>
      </w:r>
      <w:r w:rsidR="008E2F28" w:rsidRPr="008E2F28">
        <w:t>(Isin 2008)</w:t>
      </w:r>
      <w:r w:rsidRPr="00662E51">
        <w:rPr>
          <w:szCs w:val="24"/>
        </w:rPr>
        <w:fldChar w:fldCharType="end"/>
      </w:r>
      <w:r w:rsidRPr="00662E51">
        <w:rPr>
          <w:szCs w:val="24"/>
        </w:rPr>
        <w:t xml:space="preserve">, highlighting how accommodation does not rid their work of radicality; rather, it emphasises its radical nature. The HDV case is another instance of resistance but this time it involves a state </w:t>
      </w:r>
      <w:r w:rsidRPr="00662E51">
        <w:rPr>
          <w:i/>
          <w:iCs/>
          <w:szCs w:val="24"/>
        </w:rPr>
        <w:t>takeover</w:t>
      </w:r>
      <w:r w:rsidRPr="00662E51">
        <w:rPr>
          <w:szCs w:val="24"/>
        </w:rPr>
        <w:t xml:space="preserve"> as opposed to accommodation. The state—here, Haringey Council—is turned back on itself and used to execute revolutionary change. Campaigners fashioned this ‘state revolutionary’ </w:t>
      </w:r>
      <w:r w:rsidRPr="00662E51">
        <w:rPr>
          <w:szCs w:val="24"/>
        </w:rPr>
        <w:fldChar w:fldCharType="begin"/>
      </w:r>
      <w:r w:rsidRPr="00662E51">
        <w:rPr>
          <w:szCs w:val="24"/>
        </w:rPr>
        <w:instrText xml:space="preserve"> ADDIN ZOTERO_ITEM CSL_CITATION {"citationID":"BGboYKaJ","properties":{"formattedCitation":"(Paccoud 2019)","plainCitation":"(Paccoud 2019)","noteIndex":0},"citationItems":[{"id":5584,"uris":["http://zotero.org/users/8977980/items/ASA2TBJM"],"itemData":{"id":5584,"type":"article-journal","abstract":"The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Saint-Simon","volume":"18","author":[{"family":"Paccoud","given":"Antoine"}],"issued":{"date-parts":[["2019",8,1]]}}}],"schema":"https://github.com/citation-style-language/schema/raw/master/csl-citation.json"} </w:instrText>
      </w:r>
      <w:r w:rsidRPr="00662E51">
        <w:rPr>
          <w:szCs w:val="24"/>
        </w:rPr>
        <w:fldChar w:fldCharType="separate"/>
      </w:r>
      <w:r w:rsidRPr="00662E51">
        <w:rPr>
          <w:szCs w:val="24"/>
        </w:rPr>
        <w:t>(Paccoud 2019)</w:t>
      </w:r>
      <w:r w:rsidRPr="00662E51">
        <w:rPr>
          <w:szCs w:val="24"/>
        </w:rPr>
        <w:fldChar w:fldCharType="end"/>
      </w:r>
      <w:r w:rsidRPr="00662E51">
        <w:rPr>
          <w:szCs w:val="24"/>
        </w:rPr>
        <w:t xml:space="preserve"> through typical forms of opposition like marches as well as working through the structures of the Labour Party. Chapter 6 outlines this resistance in more detail. For High Road West, resistance is a far less visible thread. Though housing activists have waged a campaign against the scheme, they are unable to stop it. As such, Chapter 7 considers how and why this opposition has failed whilst the opposition to the HDV succeeded. </w:t>
      </w:r>
    </w:p>
    <w:p w14:paraId="5129A68A" w14:textId="34BD0B6E" w:rsidR="00527AFB" w:rsidRPr="00662E51" w:rsidRDefault="00527AFB" w:rsidP="00527AFB">
      <w:pPr>
        <w:spacing w:line="360" w:lineRule="auto"/>
        <w:ind w:left="0" w:firstLine="576"/>
        <w:rPr>
          <w:szCs w:val="24"/>
        </w:rPr>
      </w:pPr>
      <w:r w:rsidRPr="00662E51">
        <w:rPr>
          <w:szCs w:val="24"/>
        </w:rPr>
        <w:lastRenderedPageBreak/>
        <w:t xml:space="preserve">Finally, a core overlap is the state. The state is everywhere in the three cases: a target, a collaborator, a regulator, and a constrainer. Specifically, the </w:t>
      </w:r>
      <w:r w:rsidRPr="00662E51">
        <w:rPr>
          <w:i/>
          <w:iCs/>
          <w:szCs w:val="24"/>
        </w:rPr>
        <w:t>local</w:t>
      </w:r>
      <w:r w:rsidRPr="00662E51">
        <w:rPr>
          <w:szCs w:val="24"/>
        </w:rPr>
        <w:t xml:space="preserve"> state is one of my main objects of inquiry. The Broadwater Farm Youth Association had an ambivalent relationship with Haringey Council, frequently collaborating with and working against it. The local state shaped both regeneration schemes: it planned, justified, supports, and funds them. As I explain in Chapter 3, the state should not be treated as a discrete entity; rather, it is embedded in wider set of social relations that mean it is unstable </w:t>
      </w:r>
      <w:r w:rsidRPr="00662E51">
        <w:rPr>
          <w:szCs w:val="24"/>
        </w:rPr>
        <w:fldChar w:fldCharType="begin"/>
      </w:r>
      <w:r w:rsidR="00F15CF8">
        <w:rPr>
          <w:szCs w:val="24"/>
        </w:rPr>
        <w:instrText xml:space="preserve"> ADDIN ZOTERO_ITEM CSL_CITATION {"citationID":"65Xt9u3O","properties":{"formattedCitation":"(Jessop 2010, 2016)","plainCitation":"(Jessop 2010, 2016)","noteIndex":0},"citationItems":[{"id":5755,"uris":["http://zotero.org/users/8977980/items/2VETAAYR"],"itemData":{"id":5755,"type":"book","edition":"Reprinted","ISBN":"978-0-7456-3320-6","language":"eng","number-of-pages":"301","publisher":"Polity Press","publisher-place":"Cambridge","source":"K10plus ISBN","title":"State Power: a strategic-relational approach","title-short":"State power","author":[{"family":"Jessop","given":"Bob"}],"issued":{"date-parts":[["2010"]]}}},{"id":6781,"uris":["http://zotero.org/users/8977980/items/6VKLXRIF"],"itemData":{"id":6781,"type":"book","abstract":"Intro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state","author":[{"family":"Jessop","given":"Bob"}],"issued":{"date-parts":[["2016"]]}}}],"schema":"https://github.com/citation-style-language/schema/raw/master/csl-citation.json"} </w:instrText>
      </w:r>
      <w:r w:rsidRPr="00662E51">
        <w:rPr>
          <w:szCs w:val="24"/>
        </w:rPr>
        <w:fldChar w:fldCharType="separate"/>
      </w:r>
      <w:r w:rsidR="00F15CF8" w:rsidRPr="00F15CF8">
        <w:t>(Jessop 2010, 2016)</w:t>
      </w:r>
      <w:r w:rsidRPr="00662E51">
        <w:rPr>
          <w:szCs w:val="24"/>
        </w:rPr>
        <w:fldChar w:fldCharType="end"/>
      </w:r>
      <w:r w:rsidRPr="00662E51">
        <w:rPr>
          <w:szCs w:val="24"/>
        </w:rPr>
        <w:t xml:space="preserve">. My analysis of HRW and HDV thus leans into consider the intersections between the local state and its main political party (here, Labour).  </w:t>
      </w:r>
    </w:p>
    <w:p w14:paraId="45E6DFDD" w14:textId="77777777" w:rsidR="00527AFB" w:rsidRPr="00662E51" w:rsidRDefault="00527AFB" w:rsidP="00527AFB">
      <w:pPr>
        <w:spacing w:line="360" w:lineRule="auto"/>
        <w:ind w:left="0" w:firstLine="576"/>
        <w:rPr>
          <w:szCs w:val="24"/>
        </w:rPr>
      </w:pPr>
      <w:r w:rsidRPr="00662E51">
        <w:rPr>
          <w:szCs w:val="24"/>
        </w:rPr>
        <w:t xml:space="preserve">The main threads of the state, activism, and illiberalism tie together the three case studies—beyond the simple fact of geography. The research analyses how these threads fit together across the examples, stressing how they mutually reinforce each other. </w:t>
      </w:r>
    </w:p>
    <w:p w14:paraId="0D1373CA" w14:textId="77777777" w:rsidR="00702A09" w:rsidRPr="00662E51" w:rsidRDefault="00702A09" w:rsidP="00702A09">
      <w:pPr>
        <w:spacing w:line="360" w:lineRule="auto"/>
        <w:ind w:left="0"/>
        <w:jc w:val="center"/>
        <w:rPr>
          <w:szCs w:val="24"/>
        </w:rPr>
      </w:pPr>
      <w:r w:rsidRPr="00662E51">
        <w:rPr>
          <w:sz w:val="32"/>
          <w:szCs w:val="32"/>
        </w:rPr>
        <w:t>† † †</w:t>
      </w:r>
    </w:p>
    <w:p w14:paraId="3ABE4630" w14:textId="3CE25422" w:rsidR="008E31FF" w:rsidRPr="00662E51" w:rsidRDefault="00EF70A9" w:rsidP="00F56305">
      <w:pPr>
        <w:spacing w:line="360" w:lineRule="auto"/>
        <w:ind w:left="0"/>
        <w:rPr>
          <w:szCs w:val="24"/>
        </w:rPr>
      </w:pPr>
      <w:r w:rsidRPr="00662E51">
        <w:rPr>
          <w:szCs w:val="24"/>
        </w:rPr>
        <w:tab/>
        <w:t xml:space="preserve">To sum up, </w:t>
      </w:r>
      <w:r w:rsidR="00100747" w:rsidRPr="00662E51">
        <w:rPr>
          <w:szCs w:val="24"/>
        </w:rPr>
        <w:t>t</w:t>
      </w:r>
      <w:r w:rsidRPr="00662E51">
        <w:rPr>
          <w:szCs w:val="24"/>
        </w:rPr>
        <w:t>his research offers a nuanced assessment of the scalar intersections between the Labour Party and the local state in Haringey, London. By doing so, it adds to wider discussions on the relational state and contemporary forms of capitalist accumulation. The research provides important insights for scholarship, policy initiatives, and political debates aimed at more equitable urban transformation in the UK. In the next chapter, I turn to the literature review and framework used in this work.</w:t>
      </w:r>
    </w:p>
    <w:p w14:paraId="7AE2413F" w14:textId="77777777" w:rsidR="008E31FF" w:rsidRPr="00662E51" w:rsidRDefault="008E31FF">
      <w:pPr>
        <w:rPr>
          <w:szCs w:val="24"/>
        </w:rPr>
      </w:pPr>
      <w:r w:rsidRPr="00662E51">
        <w:rPr>
          <w:szCs w:val="24"/>
        </w:rPr>
        <w:br w:type="page"/>
      </w:r>
    </w:p>
    <w:p w14:paraId="4B35C1D4" w14:textId="063E32D0" w:rsidR="00CA6F09" w:rsidRPr="00662E51" w:rsidRDefault="00433C10" w:rsidP="00DB0DB6">
      <w:pPr>
        <w:pStyle w:val="Style1"/>
      </w:pPr>
      <w:bookmarkStart w:id="70" w:name="_Toc216096142"/>
      <w:bookmarkStart w:id="71" w:name="_Toc221184305"/>
      <w:bookmarkStart w:id="72" w:name="_Toc231215228"/>
      <w:r w:rsidRPr="00662E51">
        <w:lastRenderedPageBreak/>
        <w:t xml:space="preserve">Chapter 2: </w:t>
      </w:r>
      <w:r w:rsidR="00CA6F09" w:rsidRPr="00662E51">
        <w:t>A Brief History of Council Housing</w:t>
      </w:r>
      <w:bookmarkEnd w:id="70"/>
      <w:bookmarkEnd w:id="71"/>
      <w:bookmarkEnd w:id="72"/>
    </w:p>
    <w:p w14:paraId="6859B7A8" w14:textId="30C70EA3" w:rsidR="00CA6F09" w:rsidRPr="00662E51" w:rsidRDefault="00CA6F09" w:rsidP="00F56305">
      <w:pPr>
        <w:spacing w:line="360" w:lineRule="auto"/>
        <w:ind w:left="0"/>
        <w:contextualSpacing/>
        <w:rPr>
          <w:szCs w:val="24"/>
        </w:rPr>
      </w:pPr>
      <w:r w:rsidRPr="00662E51">
        <w:rPr>
          <w:szCs w:val="24"/>
        </w:rPr>
        <w:t xml:space="preserve">Given the </w:t>
      </w:r>
      <w:r w:rsidR="0024539B">
        <w:rPr>
          <w:szCs w:val="24"/>
        </w:rPr>
        <w:t xml:space="preserve">importance </w:t>
      </w:r>
      <w:r w:rsidRPr="00662E51">
        <w:rPr>
          <w:szCs w:val="24"/>
        </w:rPr>
        <w:t xml:space="preserve">of council housing </w:t>
      </w:r>
      <w:r w:rsidR="0024539B">
        <w:rPr>
          <w:szCs w:val="24"/>
        </w:rPr>
        <w:t xml:space="preserve">(and, later, its regeneration) </w:t>
      </w:r>
      <w:r w:rsidRPr="00662E51">
        <w:rPr>
          <w:szCs w:val="24"/>
        </w:rPr>
        <w:t xml:space="preserve">to this </w:t>
      </w:r>
      <w:r w:rsidR="003B286F" w:rsidRPr="00662E51">
        <w:rPr>
          <w:szCs w:val="24"/>
        </w:rPr>
        <w:t>investigation</w:t>
      </w:r>
      <w:r w:rsidRPr="00662E51">
        <w:rPr>
          <w:szCs w:val="24"/>
        </w:rPr>
        <w:t xml:space="preserve">, it is important to provide a brief history and background of council housing policy from 1979 to the present day. In this section, I provide a review of council housing’s progression from popular, supported tenancy to residualised safety net </w:t>
      </w:r>
      <w:r w:rsidRPr="00662E51">
        <w:rPr>
          <w:szCs w:val="24"/>
        </w:rPr>
        <w:fldChar w:fldCharType="begin"/>
      </w:r>
      <w:r w:rsidRPr="00662E51">
        <w:rPr>
          <w:szCs w:val="24"/>
        </w:rPr>
        <w:instrText xml:space="preserve"> ADDIN ZOTERO_ITEM CSL_CITATION {"citationID":"yZnjS9zf","properties":{"formattedCitation":"(Forrest and Murie 1983)","plainCitation":"(Forrest and Murie 1983)","noteIndex":0},"citationItems":[{"id":7073,"uris":["http://zotero.org/users/8977980/items/SHBGGKD7"],"itemData":{"id":7073,"type":"article-journal","abstract":"It is commonly argued that council housing in Britain is becoming a residual service. This paper explores the various dimensions of residualization such as the size of the council house sector, the quality of the service, the characteristics of tenants and the nature of the stock. Whilst changes in these areas are significant it is suggested that we must look beyond housing processes to fully understand the downgrading of council housing. Specifically it is argued that explanations must take account of questions of economic and political powerlessness, the marginalization of certain sections of the working class from the labour market and the uneven impact of the recession.","container-title":"Journal of Social Policy","DOI":"10.1017/S0047279400013088","ISSN":"1469-7823, 0047-2794","issue":"4","language":"en","page":"453-468","source":"Cambridge University Press","title":"Residualization and Council Housing: Aspects of the Changing Social Relations of Housing Tenure","title-short":"Residualization and Council Housing","volume":"12","author":[{"family":"Forrest","given":"Ray"},{"family":"Murie","given":"Alan"}],"issued":{"date-parts":[["1983",10]]}}}],"schema":"https://github.com/citation-style-language/schema/raw/master/csl-citation.json"} </w:instrText>
      </w:r>
      <w:r w:rsidRPr="00662E51">
        <w:rPr>
          <w:szCs w:val="24"/>
        </w:rPr>
        <w:fldChar w:fldCharType="separate"/>
      </w:r>
      <w:r w:rsidRPr="00662E51">
        <w:rPr>
          <w:szCs w:val="24"/>
        </w:rPr>
        <w:t>(Forrest and Murie 1983)</w:t>
      </w:r>
      <w:r w:rsidRPr="00662E51">
        <w:rPr>
          <w:szCs w:val="24"/>
        </w:rPr>
        <w:fldChar w:fldCharType="end"/>
      </w:r>
      <w:r w:rsidRPr="00662E51">
        <w:rPr>
          <w:szCs w:val="24"/>
        </w:rPr>
        <w:t>. This evaluation considers important threads in council housing policy like right-to-buy, stigmatisation, regeneration, and other forms of privatisation. It also reflects on the importance of racial and ethnic status to council housing.</w:t>
      </w:r>
    </w:p>
    <w:p w14:paraId="54E79979" w14:textId="050D01CC" w:rsidR="00CA6F09" w:rsidRPr="00662E51" w:rsidRDefault="00CA6F09" w:rsidP="00F56305">
      <w:pPr>
        <w:spacing w:line="360" w:lineRule="auto"/>
        <w:ind w:left="0" w:firstLine="720"/>
        <w:contextualSpacing/>
        <w:rPr>
          <w:szCs w:val="24"/>
        </w:rPr>
      </w:pPr>
      <w:r w:rsidRPr="00662E51">
        <w:rPr>
          <w:szCs w:val="24"/>
        </w:rPr>
        <w:t xml:space="preserve">The country’s first council or public homes were built on the Boundary Estate in </w:t>
      </w:r>
      <w:r w:rsidR="00132ACA" w:rsidRPr="00662E51">
        <w:rPr>
          <w:szCs w:val="24"/>
        </w:rPr>
        <w:t xml:space="preserve">Bethnal Green, </w:t>
      </w:r>
      <w:r w:rsidRPr="00662E51">
        <w:rPr>
          <w:szCs w:val="24"/>
        </w:rPr>
        <w:t xml:space="preserve">London in 1900. Although the model of homes owned by councils and let to tenants had been practiced before, the Boundary Estate marked the start of a permanent fixture of British life </w:t>
      </w:r>
      <w:r w:rsidRPr="00662E51">
        <w:rPr>
          <w:szCs w:val="24"/>
        </w:rPr>
        <w:fldChar w:fldCharType="begin"/>
      </w:r>
      <w:r w:rsidR="008835AB" w:rsidRPr="00662E51">
        <w:rPr>
          <w:szCs w:val="24"/>
        </w:rPr>
        <w:instrText xml:space="preserve"> ADDIN ZOTERO_ITEM CSL_CITATION {"citationID":"M0OkSwll","properties":{"formattedCitation":"(Boughton 2019; Ravetz 2003)","plainCitation":"(Boughton 2019; Ravetz 2003)","noteIndex":0},"citationItems":[{"id":6337,"uris":["http://zotero.org/users/8977980/items/KV6DQMDT"],"itemData":{"id":6337,"type":"book","edition":"paperback edition","ISBN":"978-1-78478-740-0","language":"eng","number-of-pages":"330","publisher":"Verso","publisher-place":"London New York","source":"K10plus ISBN","title":"Municipal dreams: the rise and fall of council housing","title-short":"Municipal dreams","author":[{"family":"Boughton","given":"John"}],"issued":{"date-parts":[["2019"]]}}},{"id":7072,"uris":["http://zotero.org/users/8977980/items/BKXP7TKP"],"itemData":{"id":7072,"type":"book","abstract":"Named one of the Top 10 books about council housing - the Guardian online\nBorn of idealism, and once an icon of the Labour movement and pillar of the Welfare State, council housing is now nearing its end. But do its many failings outweigh its positive contributions to public health and wellbeing?Alison Ravetz here provides the first comprehensive and apolitical history from which to arrive at a balanced judgement. Drawing on the widest possible evidence, from tenant and government records to the built environment itself, she tells the story of British council housing, from its seeds in Victorian reactions to 'the Poor', in philanthropy and model villages, Christian and other varieties of socialism. Her depiction of council housing in its mature years shows the often bizarre persistence of 'utopian' attitudes (whether in architectural design or management styles); its rise to a monopoly position in working-class family housing; the many compromises consequent on its state finance and local authority control; and the impact on working-class lives as an intellectuals' 'utopian dream' was converted into a social policy for the masses.","DOI":"10.4324/9780203451601","ISBN":"978-0-203-45160-1","number-of-pages":"272","publisher":"Routledge","publisher-place":"London","title":"Council Housing and Culture: The History of a Social Experiment","title-short":"Council Housing and Culture","author":[{"family":"Ravetz","given":"Alison"}],"issued":{"date-parts":[["2003",12,16]]}}}],"schema":"https://github.com/citation-style-language/schema/raw/master/csl-citation.json"} </w:instrText>
      </w:r>
      <w:r w:rsidRPr="00662E51">
        <w:rPr>
          <w:szCs w:val="24"/>
        </w:rPr>
        <w:fldChar w:fldCharType="separate"/>
      </w:r>
      <w:r w:rsidRPr="00662E51">
        <w:rPr>
          <w:szCs w:val="24"/>
        </w:rPr>
        <w:t>(Boughton 2019; Ravetz 2003)</w:t>
      </w:r>
      <w:r w:rsidRPr="00662E51">
        <w:rPr>
          <w:szCs w:val="24"/>
        </w:rPr>
        <w:fldChar w:fldCharType="end"/>
      </w:r>
      <w:r w:rsidRPr="00662E51">
        <w:rPr>
          <w:szCs w:val="24"/>
        </w:rPr>
        <w:t>. The aftermath of the First World War provided an impetus for councils to start building ‘Homes for Heroes’—the veterans of the war—given the perceived poor physical and health conditions of recruits from cities. From 1911 to 1938, the national proportion of council stock increased to about 10 per cent. This share increased after the Second World War during the administration of Clement Attlee</w:t>
      </w:r>
      <w:r w:rsidRPr="00BD17AF">
        <w:rPr>
          <w:rStyle w:val="FootnoteReference"/>
        </w:rPr>
        <w:footnoteReference w:id="27"/>
      </w:r>
      <w:r w:rsidRPr="00662E51">
        <w:rPr>
          <w:szCs w:val="24"/>
        </w:rPr>
        <w:t xml:space="preserve"> with councils constructing between 125,000 and 147,000 new homes per year from 1945 to 1951—for a total of around a million new dwellings, 85 per cent of which were council-owned </w:t>
      </w:r>
      <w:r w:rsidRPr="00662E51">
        <w:rPr>
          <w:szCs w:val="24"/>
        </w:rPr>
        <w:fldChar w:fldCharType="begin"/>
      </w:r>
      <w:r w:rsidR="008835AB" w:rsidRPr="00662E51">
        <w:rPr>
          <w:szCs w:val="24"/>
        </w:rPr>
        <w:instrText xml:space="preserve"> ADDIN ZOTERO_ITEM CSL_CITATION {"citationID":"QGXabd82","properties":{"formattedCitation":"(Boughton 2019; Ravetz 2003)","plainCitation":"(Boughton 2019; Ravetz 2003)","noteIndex":0},"citationItems":[{"id":6337,"uris":["http://zotero.org/users/8977980/items/KV6DQMDT"],"itemData":{"id":6337,"type":"book","edition":"paperback edition","ISBN":"978-1-78478-740-0","language":"eng","number-of-pages":"330","publisher":"Verso","publisher-place":"London New York","source":"K10plus ISBN","title":"Municipal dreams: the rise and fall of council housing","title-short":"Municipal dreams","author":[{"family":"Boughton","given":"John"}],"issued":{"date-parts":[["2019"]]}}},{"id":7072,"uris":["http://zotero.org/users/8977980/items/BKXP7TKP"],"itemData":{"id":7072,"type":"book","abstract":"Named one of the Top 10 books about council housing - the Guardian online\nBorn of idealism, and once an icon of the Labour movement and pillar of the Welfare State, council housing is now nearing its end. But do its many failings outweigh its positive contributions to public health and wellbeing?Alison Ravetz here provides the first comprehensive and apolitical history from which to arrive at a balanced judgement. Drawing on the widest possible evidence, from tenant and government records to the built environment itself, she tells the story of British council housing, from its seeds in Victorian reactions to 'the Poor', in philanthropy and model villages, Christian and other varieties of socialism. Her depiction of council housing in its mature years shows the often bizarre persistence of 'utopian' attitudes (whether in architectural design or management styles); its rise to a monopoly position in working-class family housing; the many compromises consequent on its state finance and local authority control; and the impact on working-class lives as an intellectuals' 'utopian dream' was converted into a social policy for the masses.","DOI":"10.4324/9780203451601","ISBN":"978-0-203-45160-1","number-of-pages":"272","publisher":"Routledge","publisher-place":"London","title":"Council Housing and Culture: The History of a Social Experiment","title-short":"Council Housing and Culture","author":[{"family":"Ravetz","given":"Alison"}],"issued":{"date-parts":[["2003",12,16]]}}}],"schema":"https://github.com/citation-style-language/schema/raw/master/csl-citation.json"} </w:instrText>
      </w:r>
      <w:r w:rsidRPr="00662E51">
        <w:rPr>
          <w:szCs w:val="24"/>
        </w:rPr>
        <w:fldChar w:fldCharType="separate"/>
      </w:r>
      <w:r w:rsidRPr="00662E51">
        <w:rPr>
          <w:szCs w:val="24"/>
        </w:rPr>
        <w:t>(Boughton 2019; Ravetz 2003)</w:t>
      </w:r>
      <w:r w:rsidRPr="00662E51">
        <w:rPr>
          <w:szCs w:val="24"/>
        </w:rPr>
        <w:fldChar w:fldCharType="end"/>
      </w:r>
      <w:r w:rsidRPr="00662E51">
        <w:rPr>
          <w:szCs w:val="24"/>
        </w:rPr>
        <w:t xml:space="preserve">. Simultaneously, the government engaged in significant slum clearances, demolishing rundown Victorian and Georgian terraced homes throughout the country. Tenants of these dwellings were relocated to high rise blocks in city centres or suburban estates located on the outskirts. In some circumstances, tenants were relocated to new towns built in the image of American suburbs. Although such new dwellings were often larger, better equipped, more spaced out, and more modern, their location in suburbia often made them ill replacements for the high-density homes they replaced </w:t>
      </w:r>
      <w:r w:rsidRPr="00662E51">
        <w:rPr>
          <w:szCs w:val="24"/>
        </w:rPr>
        <w:fldChar w:fldCharType="begin"/>
      </w:r>
      <w:r w:rsidR="008C5C4C">
        <w:rPr>
          <w:szCs w:val="24"/>
        </w:rPr>
        <w:instrText xml:space="preserve"> ADDIN ZOTERO_ITEM CSL_CITATION {"citationID":"LO3j223p","properties":{"formattedCitation":"(Wetherell 2025; Yelling 2000)","plainCitation":"(Wetherell 2025; Yelling 2000)","noteIndex":0},"citationItems":[{"id":6494,"uris":["http://zotero.org/users/8977980/items/JDTFD4IU"],"itemData":{"id":6494,"type":"book","abstract":"The city is equally notorious for its poverty, its ethnic and racial divides and, above all, its decline. For Liverpool was once a major port, growing rich on slavery, on trade with the Americas and the British Empire's outposts in Africa and Asia. In the 1980s, it was described as 'obsolete'. Yet the city fights on. This is the epic history of Liverpool since the Second World War. It is a story of vast docklands shrinking and eventually vanishing when corporations discovered they could shift goods in containers and dispense with human workers, of industries like car manufacturing mushrooming and disappearing, of huge new suburbs being built and neglected. It is a moving and horrifying narrative of casual racism - Chinese sailors deported en masse in the aftermath of the war, systematic discrimination against the city's Black population - and of resistance, culminating in the Toxteth riots in 1981. It is the story of a city fighting against a descent into obsolescence. Liverpool also becomes a prism through which recent British history is brought into a new focus. It is the fascinating history of a single, iconic city. But it is also a warning of what the future may hold for many more communities","ISBN":"978-1-80110-888-1","language":"eng","number-of-pages":"438","publisher":"Apollo","publisher-place":"London","source":"K10plus ISBN","title":"Liverpool and the Unmaking of Britain","title-short":"Liverpool","author":[{"family":"Wetherell","given":"Sam"}],"issued":{"date-parts":[["2025"]]}}},{"id":6895,"uris":["http://zotero.org/users/8977980/items/JJEPZXD5"],"itemData":{"id":6895,"type":"article-journal","abstract":"The article begins by showing the differential impact of slum clearance on regions, conurbations and major cities through the three decades of the slum clearance campaign which began in 1955. It discusses the main methods of clearance procedure, the nature of compensation and the relation of clearance to ‘unfit’ housing. House condition surveys revealed an increasing mismatch between patterns of unfit housing and those of slum clearance and this began, it is argued, in the 1960s. Factors such as the development of property markets, and the rise of owner occupation, had differential economic and political effects which in turn reacted on the incidence of clearance.","container-title":"Urban History","DOI":"10.1017/S0963926800000249","ISSN":"1469-8706, 0963-9268","issue":"2","language":"en","page":"234-254","source":"Cambridge University Press","title":"The incidence of slum clearance in England and Wales, 1955–85","volume":"27","author":[{"family":"Yelling","given":"Jim"}],"issued":{"date-parts":[["2000",8]]}}}],"schema":"https://github.com/citation-style-language/schema/raw/master/csl-citation.json"} </w:instrText>
      </w:r>
      <w:r w:rsidRPr="00662E51">
        <w:rPr>
          <w:szCs w:val="24"/>
        </w:rPr>
        <w:fldChar w:fldCharType="separate"/>
      </w:r>
      <w:r w:rsidR="008C5C4C" w:rsidRPr="008C5C4C">
        <w:t>(Wetherell 2025; Yelling 2000)</w:t>
      </w:r>
      <w:r w:rsidRPr="00662E51">
        <w:rPr>
          <w:szCs w:val="24"/>
        </w:rPr>
        <w:fldChar w:fldCharType="end"/>
      </w:r>
      <w:r w:rsidRPr="00662E51">
        <w:rPr>
          <w:szCs w:val="24"/>
        </w:rPr>
        <w:t xml:space="preserve">. Yet, building continued apace. </w:t>
      </w:r>
    </w:p>
    <w:p w14:paraId="53F790F2" w14:textId="7AB19FC8" w:rsidR="00CA6F09" w:rsidRPr="00662E51" w:rsidRDefault="00CA6F09" w:rsidP="00F56305">
      <w:pPr>
        <w:spacing w:line="360" w:lineRule="auto"/>
        <w:ind w:left="0" w:firstLine="720"/>
        <w:contextualSpacing/>
        <w:rPr>
          <w:szCs w:val="24"/>
        </w:rPr>
      </w:pPr>
      <w:r w:rsidRPr="00662E51">
        <w:rPr>
          <w:szCs w:val="24"/>
        </w:rPr>
        <w:lastRenderedPageBreak/>
        <w:t xml:space="preserve">By 1970, nearly one-in-three Britons lived in a council home where they paid rent to their local council and had security in their tenure </w:t>
      </w:r>
      <w:r w:rsidRPr="00662E51">
        <w:rPr>
          <w:szCs w:val="24"/>
        </w:rPr>
        <w:fldChar w:fldCharType="begin"/>
      </w:r>
      <w:r w:rsidRPr="00662E51">
        <w:rPr>
          <w:szCs w:val="24"/>
        </w:rPr>
        <w:instrText xml:space="preserve"> ADDIN ZOTERO_ITEM CSL_CITATION {"citationID":"43M2FK0e","properties":{"formattedCitation":"(Jones and Murie 2008)","plainCitation":"(Jones and Murie 2008)","noteIndex":0},"citationItems":[{"id":1914,"uris":["http://zotero.org/groups/4816685/items/Q7PA9KP5"],"itemData":{"id":1914,"type":"book","abstract":"An evaluation of the most enduring privatisation of the Thatcher era ... Written in an accessible style, this is a key reference for students and researchers in housing and planning; geography; and social policy.  The book analyses the operation and impact of the right to buy policy (RTB). It includes a critique of the Housing Act and the 2001 Housing (Scotland) Act. The enactment of these changes under a Labour government affirms the continuance of the RTB. The authors take stock of its profound effect on housing policy, reversing the growth in social housing developed over the twentieth century, transforming the nation's tenure structure and revolutionising the UK housing system.  The Right to Buy: analysis and evaluation of a housing policy begins with an examination of the policy background to the establishment of the RTB and the main features of the legislation. This is followed by chapters that review its take-up and the pattern of sales and their impact on social housing; a chapter examining the financial aspects of the RTB from the viewpoints of tenants, local authorities and central government; one looking at the impact of the RTB via subsequent re-sales on the open market and on the private rented sector; and a chapter drawing on the information already reviewed to consider the potential of the RTB to create sustainable and diverse communities. In the final chapters the international experience of parallel policies are considered and the future take-up of the RTB is assessed in the light of recent reforms together with alternatives.","ISBN":"978-0-470-75962-2","language":"en","note":"Google-Books-ID: JVYpmlZ9BCgC","number-of-pages":"267","publisher":"John Wiley &amp; Sons","source":"Google Books","title":"The Right to Buy: Analysis and Evaluation of a Housing Policy","title-short":"The Right to Buy","author":[{"family":"Jones","given":"Colin"},{"family":"Murie","given":"Alan"}],"issued":{"date-parts":[["2008",4,15]]}}}],"schema":"https://github.com/citation-style-language/schema/raw/master/csl-citation.json"} </w:instrText>
      </w:r>
      <w:r w:rsidRPr="00662E51">
        <w:rPr>
          <w:szCs w:val="24"/>
        </w:rPr>
        <w:fldChar w:fldCharType="separate"/>
      </w:r>
      <w:r w:rsidRPr="00662E51">
        <w:rPr>
          <w:szCs w:val="24"/>
        </w:rPr>
        <w:t>(Jones and Murie 2008)</w:t>
      </w:r>
      <w:r w:rsidRPr="00662E51">
        <w:rPr>
          <w:szCs w:val="24"/>
        </w:rPr>
        <w:fldChar w:fldCharType="end"/>
      </w:r>
      <w:r w:rsidRPr="00662E51">
        <w:rPr>
          <w:szCs w:val="24"/>
        </w:rPr>
        <w:t xml:space="preserve">. Noteworthy is the broad political support for council housing at this time, making it part of what some scholars call the post-war consensus or settlement between Labour and the Conservatives </w:t>
      </w:r>
      <w:r w:rsidRPr="00662E51">
        <w:rPr>
          <w:szCs w:val="24"/>
        </w:rPr>
        <w:fldChar w:fldCharType="begin"/>
      </w:r>
      <w:r w:rsidR="008835AB" w:rsidRPr="00662E51">
        <w:rPr>
          <w:szCs w:val="24"/>
        </w:rPr>
        <w:instrText xml:space="preserve"> ADDIN ZOTERO_ITEM CSL_CITATION {"citationID":"ndPfHrkS","properties":{"formattedCitation":"(Dutton 1997)","plainCitation":"(Dutton 1997)","noteIndex":0},"citationItems":[{"id":7011,"uris":["http://zotero.org/users/8977980/items/U8QSNG4R"],"itemData":{"id":7011,"type":"book","collection-title":"Historical Association studies","edition":"2. ed., 1. publ","ISBN":"978-0-631-20320-9","language":"eng","number-of-pages":"197","publisher":"Blackwell","publisher-place":"Oxford","source":"K10plus ISBN","title":"British politics since 1945: the rise, fall, and rebirth of consensus","title-short":"British politics since 1945","author":[{"family":"Dutton","given":"David"}],"issued":{"date-parts":[["1997"]]}}}],"schema":"https://github.com/citation-style-language/schema/raw/master/csl-citation.json"} </w:instrText>
      </w:r>
      <w:r w:rsidRPr="00662E51">
        <w:rPr>
          <w:szCs w:val="24"/>
        </w:rPr>
        <w:fldChar w:fldCharType="separate"/>
      </w:r>
      <w:r w:rsidRPr="00662E51">
        <w:rPr>
          <w:szCs w:val="24"/>
        </w:rPr>
        <w:t>(Dutton 1997)</w:t>
      </w:r>
      <w:r w:rsidRPr="00662E51">
        <w:rPr>
          <w:szCs w:val="24"/>
        </w:rPr>
        <w:fldChar w:fldCharType="end"/>
      </w:r>
      <w:r w:rsidRPr="00662E51">
        <w:rPr>
          <w:szCs w:val="24"/>
        </w:rPr>
        <w:t xml:space="preserve">. While the existence and influence of this settlement is up for debate </w:t>
      </w:r>
      <w:r w:rsidRPr="00662E51">
        <w:rPr>
          <w:szCs w:val="24"/>
        </w:rPr>
        <w:fldChar w:fldCharType="begin"/>
      </w:r>
      <w:r w:rsidR="008835AB" w:rsidRPr="00662E51">
        <w:rPr>
          <w:szCs w:val="24"/>
        </w:rPr>
        <w:instrText xml:space="preserve"> ADDIN ZOTERO_ITEM CSL_CITATION {"citationID":"oKoKXuUr","properties":{"formattedCitation":"(Kerr 2005)","plainCitation":"(Kerr 2005)","noteIndex":0},"citationItems":[{"id":7015,"uris":["http://zotero.org/users/8977980/items/H4NPXU3Q"],"itemData":{"id":7015,"type":"book","abstract":"This book offers a fresh view of postwar British politics, very much at odds to the dominant view in contemporary scholarship. The author argues that postwar British politics, up to and including the Blair Government, can be largely characterised in terms of continuity and a gradual evolution from a period of conflict over the primary aims of government strategy to one of recent relative consensus. This book provides a provocative and challenging account of the historical background to the election of the Blair Government and will be of interest to a wide audience.","DOI":"10.4324/9780203991794","ISBN":"978-0-203-99179-4","number-of-pages":"256","publisher":"Routledge","publisher-place":"London","title":"Postwar British Politics: From Conflict to Consensus","title-short":"Postwar British Politics","author":[{"family":"Kerr","given":"Peter"}],"issued":{"date-parts":[["2005",7,26]]}}}],"schema":"https://github.com/citation-style-language/schema/raw/master/csl-citation.json"} </w:instrText>
      </w:r>
      <w:r w:rsidRPr="00662E51">
        <w:rPr>
          <w:szCs w:val="24"/>
        </w:rPr>
        <w:fldChar w:fldCharType="separate"/>
      </w:r>
      <w:r w:rsidRPr="00662E51">
        <w:rPr>
          <w:szCs w:val="24"/>
        </w:rPr>
        <w:t>(Kerr 2005)</w:t>
      </w:r>
      <w:r w:rsidRPr="00662E51">
        <w:rPr>
          <w:szCs w:val="24"/>
        </w:rPr>
        <w:fldChar w:fldCharType="end"/>
      </w:r>
      <w:r w:rsidRPr="00662E51">
        <w:rPr>
          <w:szCs w:val="24"/>
        </w:rPr>
        <w:t>, council homes were a significant area of overlap: the portion of public housing in fact increased during the ministries of Winston Churchill</w:t>
      </w:r>
      <w:r w:rsidRPr="00BD17AF">
        <w:rPr>
          <w:rStyle w:val="FootnoteReference"/>
        </w:rPr>
        <w:footnoteReference w:id="28"/>
      </w:r>
      <w:r w:rsidRPr="00662E51">
        <w:rPr>
          <w:szCs w:val="24"/>
        </w:rPr>
        <w:t xml:space="preserve"> and successors, rising from 18 to 27 percent between 1950 and 1960 </w:t>
      </w:r>
      <w:r w:rsidRPr="00662E51">
        <w:rPr>
          <w:szCs w:val="24"/>
        </w:rPr>
        <w:fldChar w:fldCharType="begin"/>
      </w:r>
      <w:r w:rsidR="00213B80">
        <w:rPr>
          <w:szCs w:val="24"/>
        </w:rPr>
        <w:instrText xml:space="preserve"> ADDIN ZOTERO_ITEM CSL_CITATION {"citationID":"6pyFY1Z1","properties":{"formattedCitation":"(A. Davies 2013)","plainCitation":"(A. Davies 2013)","noteIndex":0},"citationItems":[{"id":413,"uris":["http://zotero.org/users/8977980/items/JA5DTWQL"],"itemData":{"id":413,"type":"article-journal","container-title":"Contemporary British History","DOI":"10.1080/13619462.2013.824660","ISSN":"1361-9462, 1743-7997","issue":"4","journalAbbreviation":"Contemporary British History","language":"en","page":"421-444","source":"DOI.org (Crossref)","title":"‘Right to Buy’: The Development of a Conservative Housing Policy, 1945–1980","title-short":"‘Right to Buy’","volume":"27","author":[{"family":"Davies","given":"Aled"}],"issued":{"date-parts":[["2013",12]]}}}],"schema":"https://github.com/citation-style-language/schema/raw/master/csl-citation.json"} </w:instrText>
      </w:r>
      <w:r w:rsidRPr="00662E51">
        <w:rPr>
          <w:szCs w:val="24"/>
        </w:rPr>
        <w:fldChar w:fldCharType="separate"/>
      </w:r>
      <w:r w:rsidR="00213B80" w:rsidRPr="00213B80">
        <w:t>(A. Davies 2013)</w:t>
      </w:r>
      <w:r w:rsidRPr="00662E51">
        <w:rPr>
          <w:szCs w:val="24"/>
        </w:rPr>
        <w:fldChar w:fldCharType="end"/>
      </w:r>
      <w:r w:rsidRPr="00662E51">
        <w:rPr>
          <w:szCs w:val="24"/>
        </w:rPr>
        <w:t xml:space="preserve">. For example, 1954 remains a highpoint in council home construction with 220,000 new dwellings built that year </w:t>
      </w:r>
      <w:r w:rsidRPr="00662E51">
        <w:rPr>
          <w:szCs w:val="24"/>
        </w:rPr>
        <w:fldChar w:fldCharType="begin"/>
      </w:r>
      <w:r w:rsidRPr="00662E51">
        <w:rPr>
          <w:szCs w:val="24"/>
        </w:rPr>
        <w:instrText xml:space="preserve"> ADDIN ZOTERO_ITEM CSL_CITATION {"citationID":"VWoqTJ51","properties":{"formattedCitation":"(Malpass 2004, 216)","plainCitation":"(Malpass 2004, 216)","noteIndex":0},"citationItems":[{"id":2086,"uris":["http://zotero.org/users/8977980/items/KWEPETEA"],"itemData":{"id":2086,"type":"article-journal","abstract":"This article seeks to develop a new perspective on the housing – welfare state relationship in Britain. Housing is conventionally seen as part of the post-war welfare state, but as different from other core services because of the persistence of a large market sector. Housing is also seen as having been targeted for change in the post-1975 restructuring of the welfare state, and this has been depicted in terms implying that the housing arm of the welfare state is being amputated or sold off. Social rented housing has declined signiﬁcantly, both numerically and proportionately, in this period. In the present period the British government sees itself as engaged in a process of modernizing public services, but there is little mention of housing. The argument advanced in this article is that the development of housing policy after 1945 was shaped more by housing market restructuring than by ideas associated with the welfare state, and that from 1954 housing was clearly moving further away. But in more recent times developments in housing have been congruent with the modernization of the wider welfare state and a convergence is apparent, challenging the notion of housing as the wobbly pillar under the welfare state.","container-title":"European Journal of Housing Policy","DOI":"10.1080/1461671042000269038","ISSN":"1461-6718, 1473-3269","issue":"2","journalAbbreviation":"European Journal of Housing Policy","language":"en","page":"209-227","source":"DOI.org (Crossref)","title":"Fifty Years of British Housing Policy: Leaving or Leading the Welfare State?","title-short":"Fifty Years of British Housing Policy","volume":"4","author":[{"family":"Malpass","given":"Peter"}],"issued":{"date-parts":[["2004",1]]}},"locator":"216"}],"schema":"https://github.com/citation-style-language/schema/raw/master/csl-citation.json"} </w:instrText>
      </w:r>
      <w:r w:rsidRPr="00662E51">
        <w:rPr>
          <w:szCs w:val="24"/>
        </w:rPr>
        <w:fldChar w:fldCharType="separate"/>
      </w:r>
      <w:r w:rsidRPr="00662E51">
        <w:rPr>
          <w:szCs w:val="24"/>
        </w:rPr>
        <w:t>(Malpass 2004, 216)</w:t>
      </w:r>
      <w:r w:rsidRPr="00662E51">
        <w:rPr>
          <w:szCs w:val="24"/>
        </w:rPr>
        <w:fldChar w:fldCharType="end"/>
      </w:r>
      <w:r w:rsidRPr="00662E51">
        <w:rPr>
          <w:szCs w:val="24"/>
        </w:rPr>
        <w:t xml:space="preserve">. It is tempting to view such high numbers as a victory for a strong and popular welfare state, as is often implied by critical housing scholars </w:t>
      </w:r>
      <w:r w:rsidRPr="00662E51">
        <w:rPr>
          <w:szCs w:val="24"/>
        </w:rPr>
        <w:fldChar w:fldCharType="begin"/>
      </w:r>
      <w:r w:rsidR="001B2CAA">
        <w:rPr>
          <w:szCs w:val="24"/>
        </w:rPr>
        <w:instrText xml:space="preserve"> ADDIN ZOTERO_ITEM CSL_CITATION {"citationID":"sMR0hPPk","properties":{"formattedCitation":"(e.g., Hodkinson and Robbins 2013)","plainCitation":"(e.g., Hodkinson and Robbins 2013)","noteIndex":0},"citationItems":[{"id":"n0Saldgp/DJsUT16i","uris":["http://zotero.org/users/8977980/items/NPC6BY6T"],"itemData":{"id":"XdhC6I6B/CPUwVuXM","type":"article-journal","abstract":"The May 2010 election of a Conservative-dominated UK coalition government unleashed an unprecedented austerity drive under the auspices of ‘deficit reduction’ in the wake of the global financial crisis. This article focuses on housing policy to show how the ‘cuts’ are being used as an ideological cover for a far-reaching, market-driven restructuring of social welfare policy that amounts to a return of what Ralph Miliband called ‘class war conservatism’. We revisit the main ideological contours and materialist drivers of Thatcherism as a hegemonic strategy, discussing the central role played by housing privatization in the neoliberal project that was continued, but not completed, by New Labour. We then discuss the Coalition’s assault on the housing welfare safety net it inherited, arguing this has rapidly shut down alternative directions for housing and represents a strategic intervention designed to unblock and expand the market, complete the residualization of social housing and draw people into an ever more economically precarious housing experience in order to boost capitalist interests.","container-title":"Critical Social Policy","DOI":"10.1177/0261018312457871","ISSN":"0261-0183","issue":"1","journalAbbreviation":"Critical Social Policy","language":"en","note":"publisher: SAGE Publications Ltd","page":"57-77","source":"SAGE Journals","title":"The return of class war conservatism? Housing under the UK Coalition Government","title-short":"The return of class war conservatism?","volume":"33","author":[{"family":"Hodkinson","given":"Stuart"},{"family":"Robbins","given":"Glyn"}],"issued":{"date-parts":[["2013",2,1]]}},"prefix":"e.g., "}],"schema":"https://github.com/citation-style-language/schema/raw/master/csl-citation.json"} </w:instrText>
      </w:r>
      <w:r w:rsidRPr="00662E51">
        <w:rPr>
          <w:szCs w:val="24"/>
        </w:rPr>
        <w:fldChar w:fldCharType="separate"/>
      </w:r>
      <w:r w:rsidRPr="00662E51">
        <w:rPr>
          <w:szCs w:val="24"/>
        </w:rPr>
        <w:t>(e.g., Hodkinson and Robbins 2013)</w:t>
      </w:r>
      <w:r w:rsidRPr="00662E51">
        <w:rPr>
          <w:szCs w:val="24"/>
        </w:rPr>
        <w:fldChar w:fldCharType="end"/>
      </w:r>
      <w:r w:rsidRPr="00662E51">
        <w:rPr>
          <w:szCs w:val="24"/>
        </w:rPr>
        <w:t xml:space="preserve">. While these years do reflect a strong commitment to building public homes, Malpass </w:t>
      </w:r>
      <w:r w:rsidRPr="00662E51">
        <w:rPr>
          <w:szCs w:val="24"/>
        </w:rPr>
        <w:fldChar w:fldCharType="begin"/>
      </w:r>
      <w:r w:rsidR="00213B80">
        <w:rPr>
          <w:szCs w:val="24"/>
        </w:rPr>
        <w:instrText xml:space="preserve"> ADDIN ZOTERO_ITEM CSL_CITATION {"citationID":"UO2n2KAh","properties":{"formattedCitation":"(2003, 2004; see also A. Davies 2013)","plainCitation":"(2003, 2004; see also A. Davies 2013)","noteIndex":0},"citationItems":[{"id":7016,"uris":["http://zotero.org/users/8977980/items/8ZJ49W5W"],"itemData":{"id":7016,"type":"article-journal","abstract":"The image of housing as the wobbly pillar under the welfare state has been widely used in recent years, and is clearly an attractive metaphor in the present period as residualisation deepens and privatisation continues. However, this paper is concerned with the early years of the postwar welfare state, when conditions for a securely founded housing service were, arguably, more conducive than they are today. Accordingly the paper focuses on policy work in the 1940s, drawing on new research on Public Record Office files, to reveal the amount of wartime planning within Whitehall for postwar housing policy, and the extent of continuity between the pre and post 1945 periods. It is shown that under the wartime coalition government there was considerably more planning for housing after the war than is acknowledged in the existing literature, and that this work shaped policy under the Labour government of 1945–51. Housing emerged as the wobbly pillar under the welfare state because of the amount of detailed wartime planning and Labour's acceptance of its analysis and prescriptions. Whereas most accounts concentrate on the size of the late 1940s building programme (and judge the government accordingly), the argument here is that to understand how housing emerged as the wobbly pillar it is necessary to look beyond quantity to the question of why a self-proclaimed socialist government failed to challenge the market dominance of housing provision.","container-title":"Journal of Social Policy","DOI":"10.1017/S0047279403007177","ISSN":"1469-7823, 0047-2794","issue":"4","language":"en","page":"589-606","source":"Cambridge University Press","title":"The Wobbly Pillar? Housing and the British Postwar Welfare State","title-short":"The Wobbly Pillar?","volume":"32","author":[{"family":"Malpass","given":"Peter"}],"issued":{"date-parts":[["2003",10]]}},"suppress-author":true},{"id":2086,"uris":["http://zotero.org/users/8977980/items/KWEPETEA"],"itemData":{"id":2086,"type":"article-journal","abstract":"This article seeks to develop a new perspective on the housing – welfare state relationship in Britain. Housing is conventionally seen as part of the post-war welfare state, but as different from other core services because of the persistence of a large market sector. Housing is also seen as having been targeted for change in the post-1975 restructuring of the welfare state, and this has been depicted in terms implying that the housing arm of the welfare state is being amputated or sold off. Social rented housing has declined signiﬁcantly, both numerically and proportionately, in this period. In the present period the British government sees itself as engaged in a process of modernizing public services, but there is little mention of housing. The argument advanced in this article is that the development of housing policy after 1945 was shaped more by housing market restructuring than by ideas associated with the welfare state, and that from 1954 housing was clearly moving further away. But in more recent times developments in housing have been congruent with the modernization of the wider welfare state and a convergence is apparent, challenging the notion of housing as the wobbly pillar under the welfare state.","container-title":"European Journal of Housing Policy","DOI":"10.1080/1461671042000269038","ISSN":"1461-6718, 1473-3269","issue":"2","journalAbbreviation":"European Journal of Housing Policy","language":"en","page":"209-227","source":"DOI.org (Crossref)","title":"Fifty Years of British Housing Policy: Leaving or Leading the Welfare State?","title-short":"Fifty Years of British Housing Policy","volume":"4","author":[{"family":"Malpass","given":"Peter"}],"issued":{"date-parts":[["2004",1]]}},"suppress-author":true},{"id":413,"uris":["http://zotero.org/users/8977980/items/JA5DTWQL"],"itemData":{"id":413,"type":"article-journal","container-title":"Contemporary British History","DOI":"10.1080/13619462.2013.824660","ISSN":"1361-9462, 1743-7997","issue":"4","journalAbbreviation":"Contemporary British History","language":"en","page":"421-444","source":"DOI.org (Crossref)","title":"‘Right to Buy’: The Development of a Conservative Housing Policy, 1945–1980","title-short":"‘Right to Buy’","volume":"27","author":[{"family":"Davies","given":"Aled"}],"issued":{"date-parts":[["2013",12]]}},"prefix":"see also"}],"schema":"https://github.com/citation-style-language/schema/raw/master/csl-citation.json"} </w:instrText>
      </w:r>
      <w:r w:rsidRPr="00662E51">
        <w:rPr>
          <w:szCs w:val="24"/>
        </w:rPr>
        <w:fldChar w:fldCharType="separate"/>
      </w:r>
      <w:r w:rsidR="00213B80" w:rsidRPr="00213B80">
        <w:t>(2003, 2004; see also A. Davies 2013)</w:t>
      </w:r>
      <w:r w:rsidRPr="00662E51">
        <w:rPr>
          <w:szCs w:val="24"/>
        </w:rPr>
        <w:fldChar w:fldCharType="end"/>
      </w:r>
      <w:r w:rsidRPr="00662E51">
        <w:rPr>
          <w:szCs w:val="24"/>
        </w:rPr>
        <w:t xml:space="preserve"> conversely argues that the policy’s underlying logic was shaped far more by political and economic forces than ideological concerns. The government’s approach did not attempt to challenge commodified, market logics but rather attempted to fill urgent material needs brought on by the Second World War, which </w:t>
      </w:r>
      <w:r w:rsidR="00D05B7F" w:rsidRPr="00662E51">
        <w:rPr>
          <w:szCs w:val="24"/>
        </w:rPr>
        <w:t xml:space="preserve">had </w:t>
      </w:r>
      <w:r w:rsidRPr="00662E51">
        <w:rPr>
          <w:szCs w:val="24"/>
        </w:rPr>
        <w:t xml:space="preserve">demolished hundreds of thousands of homes and displaced </w:t>
      </w:r>
      <w:r w:rsidR="005A5C32" w:rsidRPr="00662E51">
        <w:rPr>
          <w:szCs w:val="24"/>
        </w:rPr>
        <w:t>millions</w:t>
      </w:r>
      <w:r w:rsidRPr="00662E51">
        <w:rPr>
          <w:szCs w:val="24"/>
        </w:rPr>
        <w:t xml:space="preserve">. The construction market was similarly in shambles and so there was little private capacity to respond to a high demand for new homes. Indeed, both Labour and Conservative governments were rhetorically open to homeownership from the 1950s </w:t>
      </w:r>
      <w:r w:rsidRPr="00662E51">
        <w:rPr>
          <w:szCs w:val="24"/>
        </w:rPr>
        <w:fldChar w:fldCharType="begin"/>
      </w:r>
      <w:r w:rsidR="00213B80">
        <w:rPr>
          <w:szCs w:val="24"/>
        </w:rPr>
        <w:instrText xml:space="preserve"> ADDIN ZOTERO_ITEM CSL_CITATION {"citationID":"EyZYB5n2","properties":{"formattedCitation":"(A. Davies 2013)","plainCitation":"(A. Davies 2013)","noteIndex":0},"citationItems":[{"id":413,"uris":["http://zotero.org/users/8977980/items/JA5DTWQL"],"itemData":{"id":413,"type":"article-journal","container-title":"Contemporary British History","DOI":"10.1080/13619462.2013.824660","ISSN":"1361-9462, 1743-7997","issue":"4","journalAbbreviation":"Contemporary British History","language":"en","page":"421-444","source":"DOI.org (Crossref)","title":"‘Right to Buy’: The Development of a Conservative Housing Policy, 1945–1980","title-short":"‘Right to Buy’","volume":"27","author":[{"family":"Davies","given":"Aled"}],"issued":{"date-parts":[["2013",12]]}}}],"schema":"https://github.com/citation-style-language/schema/raw/master/csl-citation.json"} </w:instrText>
      </w:r>
      <w:r w:rsidRPr="00662E51">
        <w:rPr>
          <w:szCs w:val="24"/>
        </w:rPr>
        <w:fldChar w:fldCharType="separate"/>
      </w:r>
      <w:r w:rsidR="00213B80" w:rsidRPr="00213B80">
        <w:t>(A. Davies 2013)</w:t>
      </w:r>
      <w:r w:rsidRPr="00662E51">
        <w:rPr>
          <w:szCs w:val="24"/>
        </w:rPr>
        <w:fldChar w:fldCharType="end"/>
      </w:r>
      <w:r w:rsidRPr="00662E51">
        <w:rPr>
          <w:szCs w:val="24"/>
        </w:rPr>
        <w:t xml:space="preserve"> and tried to grow the private market beginning in the 1960s </w:t>
      </w:r>
      <w:r w:rsidRPr="00662E51">
        <w:rPr>
          <w:szCs w:val="24"/>
        </w:rPr>
        <w:fldChar w:fldCharType="begin"/>
      </w:r>
      <w:r w:rsidRPr="00662E51">
        <w:rPr>
          <w:szCs w:val="24"/>
        </w:rPr>
        <w:instrText xml:space="preserve"> ADDIN ZOTERO_ITEM CSL_CITATION {"citationID":"LcpVWEnb","properties":{"formattedCitation":"(Malpass 2004)","plainCitation":"(Malpass 2004)","noteIndex":0},"citationItems":[{"id":2086,"uris":["http://zotero.org/users/8977980/items/KWEPETEA"],"itemData":{"id":2086,"type":"article-journal","abstract":"This article seeks to develop a new perspective on the housing – welfare state relationship in Britain. Housing is conventionally seen as part of the post-war welfare state, but as different from other core services because of the persistence of a large market sector. Housing is also seen as having been targeted for change in the post-1975 restructuring of the welfare state, and this has been depicted in terms implying that the housing arm of the welfare state is being amputated or sold off. Social rented housing has declined signiﬁcantly, both numerically and proportionately, in this period. In the present period the British government sees itself as engaged in a process of modernizing public services, but there is little mention of housing. The argument advanced in this article is that the development of housing policy after 1945 was shaped more by housing market restructuring than by ideas associated with the welfare state, and that from 1954 housing was clearly moving further away. But in more recent times developments in housing have been congruent with the modernization of the wider welfare state and a convergence is apparent, challenging the notion of housing as the wobbly pillar under the welfare state.","container-title":"European Journal of Housing Policy","DOI":"10.1080/1461671042000269038","ISSN":"1461-6718, 1473-3269","issue":"2","journalAbbreviation":"European Journal of Housing Policy","language":"en","page":"209-227","source":"DOI.org (Crossref)","title":"Fifty Years of British Housing Policy: Leaving or Leading the Welfare State?","title-short":"Fifty Years of British Housing Policy","volume":"4","author":[{"family":"Malpass","given":"Peter"}],"issued":{"date-parts":[["2004",1]]}}}],"schema":"https://github.com/citation-style-language/schema/raw/master/csl-citation.json"} </w:instrText>
      </w:r>
      <w:r w:rsidRPr="00662E51">
        <w:rPr>
          <w:szCs w:val="24"/>
        </w:rPr>
        <w:fldChar w:fldCharType="separate"/>
      </w:r>
      <w:r w:rsidRPr="00662E51">
        <w:rPr>
          <w:szCs w:val="24"/>
        </w:rPr>
        <w:t>(Malpass 2004)</w:t>
      </w:r>
      <w:r w:rsidRPr="00662E51">
        <w:rPr>
          <w:szCs w:val="24"/>
        </w:rPr>
        <w:fldChar w:fldCharType="end"/>
      </w:r>
      <w:r w:rsidRPr="00662E51">
        <w:rPr>
          <w:szCs w:val="24"/>
        </w:rPr>
        <w:t xml:space="preserve">. As such, when the Conservatives returned to power in 1951, the government began eliminating rent controls and siphoning resources away from construction of publicly owned dwellings. Yet, as Malpass </w:t>
      </w:r>
      <w:r w:rsidRPr="00662E51">
        <w:rPr>
          <w:szCs w:val="24"/>
        </w:rPr>
        <w:fldChar w:fldCharType="begin"/>
      </w:r>
      <w:r w:rsidRPr="00662E51">
        <w:rPr>
          <w:szCs w:val="24"/>
        </w:rPr>
        <w:instrText xml:space="preserve"> ADDIN ZOTERO_ITEM CSL_CITATION {"citationID":"QLBiKuz8","properties":{"formattedCitation":"(2004)","plainCitation":"(2004)","noteIndex":0},"citationItems":[{"id":2086,"uris":["http://zotero.org/users/8977980/items/KWEPETEA"],"itemData":{"id":2086,"type":"article-journal","abstract":"This article seeks to develop a new perspective on the housing – welfare state relationship in Britain. Housing is conventionally seen as part of the post-war welfare state, but as different from other core services because of the persistence of a large market sector. Housing is also seen as having been targeted for change in the post-1975 restructuring of the welfare state, and this has been depicted in terms implying that the housing arm of the welfare state is being amputated or sold off. Social rented housing has declined signiﬁcantly, both numerically and proportionately, in this period. In the present period the British government sees itself as engaged in a process of modernizing public services, but there is little mention of housing. The argument advanced in this article is that the development of housing policy after 1945 was shaped more by housing market restructuring than by ideas associated with the welfare state, and that from 1954 housing was clearly moving further away. But in more recent times developments in housing have been congruent with the modernization of the wider welfare state and a convergence is apparent, challenging the notion of housing as the wobbly pillar under the welfare state.","container-title":"European Journal of Housing Policy","DOI":"10.1080/1461671042000269038","ISSN":"1461-6718, 1473-3269","issue":"2","journalAbbreviation":"European Journal of Housing Policy","language":"en","page":"209-227","source":"DOI.org (Crossref)","title":"Fifty Years of British Housing Policy: Leaving or Leading the Welfare State?","title-short":"Fifty Years of British Housing Policy","volume":"4","author":[{"family":"Malpass","given":"Peter"}],"issued":{"date-parts":[["2004",1]]}},"suppress-author":true}],"schema":"https://github.com/citation-style-language/schema/raw/master/csl-citation.json"} </w:instrText>
      </w:r>
      <w:r w:rsidRPr="00662E51">
        <w:rPr>
          <w:szCs w:val="24"/>
        </w:rPr>
        <w:fldChar w:fldCharType="separate"/>
      </w:r>
      <w:r w:rsidRPr="00662E51">
        <w:rPr>
          <w:szCs w:val="24"/>
        </w:rPr>
        <w:t>(2004)</w:t>
      </w:r>
      <w:r w:rsidRPr="00662E51">
        <w:rPr>
          <w:szCs w:val="24"/>
        </w:rPr>
        <w:fldChar w:fldCharType="end"/>
      </w:r>
      <w:r w:rsidRPr="00662E51">
        <w:rPr>
          <w:szCs w:val="24"/>
        </w:rPr>
        <w:t xml:space="preserve"> points out, maintaining existing and constructing new public homes remained an important element of the welfare state into the 1970s—at least for the white working class. As I develop below in Section 2.1, the benefits primarily accrued to white Britons, leaving out large swaths of the population.</w:t>
      </w:r>
    </w:p>
    <w:p w14:paraId="5B807385" w14:textId="10C83913" w:rsidR="00CA6F09" w:rsidRPr="00662E51" w:rsidRDefault="00CA6F09" w:rsidP="00F56305">
      <w:pPr>
        <w:spacing w:line="360" w:lineRule="auto"/>
        <w:ind w:left="0" w:firstLine="720"/>
        <w:contextualSpacing/>
        <w:rPr>
          <w:szCs w:val="24"/>
        </w:rPr>
      </w:pPr>
      <w:r w:rsidRPr="00662E51">
        <w:rPr>
          <w:szCs w:val="24"/>
        </w:rPr>
        <w:lastRenderedPageBreak/>
        <w:t xml:space="preserve">Having started the 1950s as a generally </w:t>
      </w:r>
      <w:r w:rsidRPr="00662E51">
        <w:rPr>
          <w:i/>
          <w:iCs/>
          <w:szCs w:val="24"/>
        </w:rPr>
        <w:t>decommodifying</w:t>
      </w:r>
      <w:r w:rsidRPr="00662E51">
        <w:rPr>
          <w:szCs w:val="24"/>
        </w:rPr>
        <w:t xml:space="preserve"> force, then, the British state reversed course and has since become a chief facilitator in the </w:t>
      </w:r>
      <w:r w:rsidRPr="00662E51">
        <w:rPr>
          <w:i/>
          <w:iCs/>
          <w:szCs w:val="24"/>
        </w:rPr>
        <w:t>recommodification</w:t>
      </w:r>
      <w:r w:rsidRPr="00662E51">
        <w:rPr>
          <w:szCs w:val="24"/>
        </w:rPr>
        <w:t xml:space="preserve"> of housing after Margaret Thatcher</w:t>
      </w:r>
      <w:r w:rsidRPr="00BD17AF">
        <w:rPr>
          <w:rStyle w:val="FootnoteReference"/>
        </w:rPr>
        <w:footnoteReference w:id="29"/>
      </w:r>
      <w:r w:rsidRPr="00662E51">
        <w:rPr>
          <w:szCs w:val="24"/>
        </w:rPr>
        <w:t xml:space="preserve"> became Prime Minister in 1979 </w:t>
      </w:r>
      <w:r w:rsidRPr="00662E51">
        <w:rPr>
          <w:szCs w:val="24"/>
        </w:rPr>
        <w:fldChar w:fldCharType="begin"/>
      </w:r>
      <w:r w:rsidR="008835AB" w:rsidRPr="00662E51">
        <w:rPr>
          <w:szCs w:val="24"/>
        </w:rPr>
        <w:instrText xml:space="preserve"> ADDIN ZOTERO_ITEM CSL_CITATION {"citationID":"Oop7k6lc","properties":{"formattedCitation":"(Gamble 1989; Ronald 2008)","plainCitation":"(Gamble 1989; Ronald 2008)","noteIndex":0},"citationItems":[{"id":3,"uris":["http://zotero.org/users/8977980/items/U4XCFRW8"],"itemData":{"id":3,"type":"book","ISBN":"978-1-349-19438-4","publisher":"Palgrave Macmillan UK","publisher-place":"London","title":"The Free Economy and the Strong State: The Politics of Thatcherism","author":[{"family":"Gamble","given":"Andrew"}],"issued":{"date-parts":[["1989"]]}}},{"id":193,"uris":["http://zotero.org/users/8977980/items/K3JMMC6P"],"itemData":{"id":193,"type":"book","ISBN":"978-1-4039-8945-1","language":"English","number-of-pages":"294","publisher":"Palgrave Macmillan","publisher-place":"Basingstoke ; New York","source":"Amazon","title":"The Ideology of Home Ownership: Homeowner Societies and the Role of Housing","title-short":"The Ideology of Home Ownership","author":[{"family":"Ronald","given":"Richard"}],"issued":{"date-parts":[["2008",5,29]]}}}],"schema":"https://github.com/citation-style-language/schema/raw/master/csl-citation.json"} </w:instrText>
      </w:r>
      <w:r w:rsidRPr="00662E51">
        <w:rPr>
          <w:szCs w:val="24"/>
        </w:rPr>
        <w:fldChar w:fldCharType="separate"/>
      </w:r>
      <w:r w:rsidRPr="00662E51">
        <w:rPr>
          <w:szCs w:val="24"/>
        </w:rPr>
        <w:t>(Gamble 1989; Ronald 2008)</w:t>
      </w:r>
      <w:r w:rsidRPr="00662E51">
        <w:rPr>
          <w:szCs w:val="24"/>
        </w:rPr>
        <w:fldChar w:fldCharType="end"/>
      </w:r>
      <w:r w:rsidRPr="00662E51">
        <w:rPr>
          <w:szCs w:val="24"/>
        </w:rPr>
        <w:t xml:space="preserve">. Thatcher’s government aggressively pursued privatisation and the formation of a “property owning democracy” through the Right-to-Buy (RTB) scheme: the one-off sale of council homes to their tenants at a discounted rate, with little in the way of replacement of sold homes </w:t>
      </w:r>
      <w:r w:rsidRPr="00662E51">
        <w:rPr>
          <w:szCs w:val="24"/>
        </w:rPr>
        <w:fldChar w:fldCharType="begin"/>
      </w:r>
      <w:r w:rsidR="008835AB" w:rsidRPr="00662E51">
        <w:rPr>
          <w:szCs w:val="24"/>
        </w:rPr>
        <w:instrText xml:space="preserve"> ADDIN ZOTERO_ITEM CSL_CITATION {"citationID":"VnnpNJsF","properties":{"formattedCitation":"(Gamble 1989, 29)","plainCitation":"(Gamble 1989, 29)","noteIndex":0},"citationItems":[{"id":3,"uris":["http://zotero.org/users/8977980/items/U4XCFRW8"],"itemData":{"id":3,"type":"book","ISBN":"978-1-349-19438-4","publisher":"Palgrave Macmillan UK","publisher-place":"London","title":"The Free Economy and the Strong State: The Politics of Thatcherism","author":[{"family":"Gamble","given":"Andrew"}],"issued":{"date-parts":[["1989"]]}},"locator":"29"}],"schema":"https://github.com/citation-style-language/schema/raw/master/csl-citation.json"} </w:instrText>
      </w:r>
      <w:r w:rsidRPr="00662E51">
        <w:rPr>
          <w:szCs w:val="24"/>
        </w:rPr>
        <w:fldChar w:fldCharType="separate"/>
      </w:r>
      <w:r w:rsidRPr="00662E51">
        <w:rPr>
          <w:szCs w:val="24"/>
        </w:rPr>
        <w:t>(Gamble 1989, 29)</w:t>
      </w:r>
      <w:r w:rsidRPr="00662E51">
        <w:rPr>
          <w:szCs w:val="24"/>
        </w:rPr>
        <w:fldChar w:fldCharType="end"/>
      </w:r>
      <w:r w:rsidRPr="00662E51">
        <w:rPr>
          <w:szCs w:val="24"/>
        </w:rPr>
        <w:t xml:space="preserve">. Although frequently associated with Thatcher, the idea did not begin with her leadership. As early as 1946, senior Conservative leaders espoused a belief in a ‘property owning democracy,’ linking it back to the party’s right-wing ideological heritage. </w:t>
      </w:r>
      <w:r w:rsidR="00A14BFF" w:rsidRPr="00662E51">
        <w:rPr>
          <w:szCs w:val="24"/>
        </w:rPr>
        <w:t>Yet</w:t>
      </w:r>
      <w:r w:rsidRPr="00662E51">
        <w:rPr>
          <w:szCs w:val="24"/>
        </w:rPr>
        <w:t xml:space="preserve"> political and economic considerations of the post-war era (a weak housing construction market and the perceived popularity of council homes, among others), meant that converting public homes to private ownership was not feasible. After the British economy recovered into the 1960s, it became easier for Conservatives to imagine—and argue for—a right to buy for council tenants. It was the local scale that initially experimented with selling council homes to tenants. Conservative-led Birmingham City Council, as an illustration, sold around 2,500 homes to tenants in 1967. Once the sales were successful, the right-to-buy became a Conservative policy. Labour was initially interested in private ownership in the 1950s as aforementioned, but this reversed in the late 1960s due to worries about reduced public housing stock. As such, the concept of the ‘property owning democracy,’ was always in the background of housing policy from 1945 to 1979 </w:t>
      </w:r>
      <w:r w:rsidRPr="00662E51">
        <w:rPr>
          <w:szCs w:val="24"/>
        </w:rPr>
        <w:fldChar w:fldCharType="begin"/>
      </w:r>
      <w:r w:rsidR="00213B80">
        <w:rPr>
          <w:szCs w:val="24"/>
        </w:rPr>
        <w:instrText xml:space="preserve"> ADDIN ZOTERO_ITEM CSL_CITATION {"citationID":"bTpTCatb","properties":{"formattedCitation":"(A. Davies 2013)","plainCitation":"(A. Davies 2013)","noteIndex":0},"citationItems":[{"id":413,"uris":["http://zotero.org/users/8977980/items/JA5DTWQL"],"itemData":{"id":413,"type":"article-journal","container-title":"Contemporary British History","DOI":"10.1080/13619462.2013.824660","ISSN":"1361-9462, 1743-7997","issue":"4","journalAbbreviation":"Contemporary British History","language":"en","page":"421-444","source":"DOI.org (Crossref)","title":"‘Right to Buy’: The Development of a Conservative Housing Policy, 1945–1980","title-short":"‘Right to Buy’","volume":"27","author":[{"family":"Davies","given":"Aled"}],"issued":{"date-parts":[["2013",12]]}}}],"schema":"https://github.com/citation-style-language/schema/raw/master/csl-citation.json"} </w:instrText>
      </w:r>
      <w:r w:rsidRPr="00662E51">
        <w:rPr>
          <w:szCs w:val="24"/>
        </w:rPr>
        <w:fldChar w:fldCharType="separate"/>
      </w:r>
      <w:r w:rsidR="00213B80" w:rsidRPr="00213B80">
        <w:t>(A. Davies 2013)</w:t>
      </w:r>
      <w:r w:rsidRPr="00662E51">
        <w:rPr>
          <w:szCs w:val="24"/>
        </w:rPr>
        <w:fldChar w:fldCharType="end"/>
      </w:r>
      <w:r w:rsidRPr="00662E51">
        <w:rPr>
          <w:szCs w:val="24"/>
        </w:rPr>
        <w:t>. Thatcher popularised the policy and it became law in 1980, thereby fundamentally changing the state of British housing.</w:t>
      </w:r>
    </w:p>
    <w:p w14:paraId="69DCACD3" w14:textId="0B0FA035" w:rsidR="00CA6F09" w:rsidRPr="00662E51" w:rsidRDefault="00CA6F09" w:rsidP="00F56305">
      <w:pPr>
        <w:spacing w:line="360" w:lineRule="auto"/>
        <w:ind w:left="0" w:firstLine="720"/>
        <w:contextualSpacing/>
        <w:rPr>
          <w:szCs w:val="24"/>
        </w:rPr>
      </w:pPr>
      <w:r w:rsidRPr="00662E51">
        <w:rPr>
          <w:szCs w:val="24"/>
        </w:rPr>
        <w:t xml:space="preserve">RTB was incredibly successful in achieving the goal of expanding property ownership. Between 1980 and 2025, over 2 million homes have been sold via RTB </w:t>
      </w:r>
      <w:r w:rsidRPr="00662E51">
        <w:rPr>
          <w:szCs w:val="24"/>
        </w:rPr>
        <w:fldChar w:fldCharType="begin"/>
      </w:r>
      <w:r w:rsidR="008835AB" w:rsidRPr="00662E51">
        <w:rPr>
          <w:szCs w:val="24"/>
        </w:rPr>
        <w:instrText xml:space="preserve"> ADDIN ZOTERO_ITEM CSL_CITATION {"citationID":"bEhCoBOJ","properties":{"formattedCitation":"(MHCLG 2025)","plainCitation":"(MHCLG 2025)","noteIndex":0},"citationItems":[{"id":6876,"uris":["http://zotero.org/users/8977980/items/DNN5BP49"],"itemData":{"id":6876,"type":"webpage","container-title":"GOV.UK","language":"en","publisher":"Ministry of Housing, Communities &amp; Local Government","title":"Right to Buy sales and replacements, England: April 2024 to March 2025","title-short":"Right to Buy sales and replacements, England","URL":"https://www.gov.uk/government/statistics/right-to-buy-sales-and-replacements-england-2024-to-2025/right-to-buy-sales-and-replacements-england-april-2024-to-march-2025","author":[{"literal":"MHCLG"}],"accessed":{"date-parts":[["2025",9,5]]},"issued":{"date-parts":[["2025",8,21]]}}}],"schema":"https://github.com/citation-style-language/schema/raw/master/csl-citation.json"} </w:instrText>
      </w:r>
      <w:r w:rsidRPr="00662E51">
        <w:rPr>
          <w:szCs w:val="24"/>
        </w:rPr>
        <w:fldChar w:fldCharType="separate"/>
      </w:r>
      <w:r w:rsidRPr="00662E51">
        <w:rPr>
          <w:szCs w:val="24"/>
        </w:rPr>
        <w:t>(MHCLG 2025)</w:t>
      </w:r>
      <w:r w:rsidRPr="00662E51">
        <w:rPr>
          <w:szCs w:val="24"/>
        </w:rPr>
        <w:fldChar w:fldCharType="end"/>
      </w:r>
      <w:r w:rsidRPr="00662E51">
        <w:rPr>
          <w:szCs w:val="24"/>
        </w:rPr>
        <w:t xml:space="preserve">. The rate of homeownership reached above 65 per cent in the late 2000s, though the portion has fallen slightly in the last two decades </w:t>
      </w:r>
      <w:r w:rsidRPr="00662E51">
        <w:rPr>
          <w:szCs w:val="24"/>
        </w:rPr>
        <w:fldChar w:fldCharType="begin"/>
      </w:r>
      <w:r w:rsidRPr="00662E51">
        <w:rPr>
          <w:szCs w:val="24"/>
        </w:rPr>
        <w:instrText xml:space="preserve"> ADDIN ZOTERO_ITEM CSL_CITATION {"citationID":"FLVyndZH","properties":{"formattedCitation":"(Jones and Murie 2008)","plainCitation":"(Jones and Murie 2008)","noteIndex":0},"citationItems":[{"id":1914,"uris":["http://zotero.org/groups/4816685/items/Q7PA9KP5"],"itemData":{"id":1914,"type":"book","abstract":"An evaluation of the most enduring privatisation of the Thatcher era ... Written in an accessible style, this is a key reference for students and researchers in housing and planning; geography; and social policy.  The book analyses the operation and impact of the right to buy policy (RTB). It includes a critique of the Housing Act and the 2001 Housing (Scotland) Act. The enactment of these changes under a Labour government affirms the continuance of the RTB. The authors take stock of its profound effect on housing policy, reversing the growth in social housing developed over the twentieth century, transforming the nation's tenure structure and revolutionising the UK housing system.  The Right to Buy: analysis and evaluation of a housing policy begins with an examination of the policy background to the establishment of the RTB and the main features of the legislation. This is followed by chapters that review its take-up and the pattern of sales and their impact on social housing; a chapter examining the financial aspects of the RTB from the viewpoints of tenants, local authorities and central government; one looking at the impact of the RTB via subsequent re-sales on the open market and on the private rented sector; and a chapter drawing on the information already reviewed to consider the potential of the RTB to create sustainable and diverse communities. In the final chapters the international experience of parallel policies are considered and the future take-up of the RTB is assessed in the light of recent reforms together with alternatives.","ISBN":"978-0-470-75962-2","language":"en","note":"Google-Books-ID: JVYpmlZ9BCgC","number-of-pages":"267","publisher":"John Wiley &amp; Sons","source":"Google Books","title":"The Right to Buy: Analysis and Evaluation of a Housing Policy","title-short":"The Right to Buy","author":[{"family":"Jones","given":"Colin"},{"family":"Murie","given":"Alan"}],"issued":{"date-parts":[["2008",4,15]]}}}],"schema":"https://github.com/citation-style-language/schema/raw/master/csl-citation.json"} </w:instrText>
      </w:r>
      <w:r w:rsidRPr="00662E51">
        <w:rPr>
          <w:szCs w:val="24"/>
        </w:rPr>
        <w:fldChar w:fldCharType="separate"/>
      </w:r>
      <w:r w:rsidRPr="00662E51">
        <w:rPr>
          <w:szCs w:val="24"/>
        </w:rPr>
        <w:t>(Jones and Murie 2008)</w:t>
      </w:r>
      <w:r w:rsidRPr="00662E51">
        <w:rPr>
          <w:szCs w:val="24"/>
        </w:rPr>
        <w:fldChar w:fldCharType="end"/>
      </w:r>
      <w:r w:rsidRPr="00662E51">
        <w:rPr>
          <w:szCs w:val="24"/>
        </w:rPr>
        <w:t xml:space="preserve">. Within two decades of the policy’s start, over 30 per cent of tenants had exercised their right to buy their property at a discount of up to 50 per cent of </w:t>
      </w:r>
      <w:r w:rsidRPr="00662E51">
        <w:rPr>
          <w:szCs w:val="24"/>
        </w:rPr>
        <w:lastRenderedPageBreak/>
        <w:t xml:space="preserve">the market value </w:t>
      </w:r>
      <w:r w:rsidRPr="00662E51">
        <w:rPr>
          <w:szCs w:val="24"/>
        </w:rPr>
        <w:fldChar w:fldCharType="begin"/>
      </w:r>
      <w:r w:rsidR="00213B80">
        <w:rPr>
          <w:szCs w:val="24"/>
        </w:rPr>
        <w:instrText xml:space="preserve"> ADDIN ZOTERO_ITEM CSL_CITATION {"citationID":"2cFjSMRz","properties":{"formattedCitation":"(A. Davies 2013)","plainCitation":"(A. Davies 2013)","noteIndex":0},"citationItems":[{"id":413,"uris":["http://zotero.org/users/8977980/items/JA5DTWQL"],"itemData":{"id":413,"type":"article-journal","container-title":"Contemporary British History","DOI":"10.1080/13619462.2013.824660","ISSN":"1361-9462, 1743-7997","issue":"4","journalAbbreviation":"Contemporary British History","language":"en","page":"421-444","source":"DOI.org (Crossref)","title":"‘Right to Buy’: The Development of a Conservative Housing Policy, 1945–1980","title-short":"‘Right to Buy’","volume":"27","author":[{"family":"Davies","given":"Aled"}],"issued":{"date-parts":[["2013",12]]}}}],"schema":"https://github.com/citation-style-language/schema/raw/master/csl-citation.json"} </w:instrText>
      </w:r>
      <w:r w:rsidRPr="00662E51">
        <w:rPr>
          <w:szCs w:val="24"/>
        </w:rPr>
        <w:fldChar w:fldCharType="separate"/>
      </w:r>
      <w:r w:rsidR="00213B80" w:rsidRPr="00213B80">
        <w:t>(A. Davies 2013)</w:t>
      </w:r>
      <w:r w:rsidRPr="00662E51">
        <w:rPr>
          <w:szCs w:val="24"/>
        </w:rPr>
        <w:fldChar w:fldCharType="end"/>
      </w:r>
      <w:r w:rsidRPr="00662E51">
        <w:rPr>
          <w:szCs w:val="24"/>
        </w:rPr>
        <w:t xml:space="preserve">. Right-to-buy is therefore one of the largest and most </w:t>
      </w:r>
      <w:r w:rsidR="007717B5" w:rsidRPr="00662E51">
        <w:rPr>
          <w:szCs w:val="24"/>
        </w:rPr>
        <w:t>effective</w:t>
      </w:r>
      <w:r w:rsidRPr="00662E51">
        <w:rPr>
          <w:szCs w:val="24"/>
        </w:rPr>
        <w:t xml:space="preserve"> privatisation schemes in the United Kingdom </w:t>
      </w:r>
      <w:r w:rsidRPr="00662E51">
        <w:rPr>
          <w:szCs w:val="24"/>
        </w:rPr>
        <w:fldChar w:fldCharType="begin"/>
      </w:r>
      <w:r w:rsidR="008835AB" w:rsidRPr="00662E51">
        <w:rPr>
          <w:szCs w:val="24"/>
        </w:rPr>
        <w:instrText xml:space="preserve"> ADDIN ZOTERO_ITEM CSL_CITATION {"citationID":"TId7AAct","properties":{"formattedCitation":"(Wetherell 2020)","plainCitation":"(Wetherell 2020)","noteIndex":0},"citationItems":[{"id":6861,"uris":["http://zotero.org/users/8977980/items/T7XS82TX"],"itemData":{"id":6861,"type":"article-journal","abstract":"&lt;em&gt;Gale&lt;/em&gt; Academic OneFile includes 'Redlining' the British city. by Sam Wetherell. Read the beginning or sign in for the full text.","container-title":"Renewal","ISSN":"0968252X","issue":"2","language":"English","page":"81-90","publisher":"Lawrence &amp;amp; Wishart Ltd.","source":"go-gale-com.ezphost.dur.ac.uk","title":"'Redlining' the British city.","volume":"28","author":[{"family":"Wetherell","given":"Sam"}],"issued":{"date-parts":[["2020",6,22]]}}}],"schema":"https://github.com/citation-style-language/schema/raw/master/csl-citation.json"} </w:instrText>
      </w:r>
      <w:r w:rsidRPr="00662E51">
        <w:rPr>
          <w:szCs w:val="24"/>
        </w:rPr>
        <w:fldChar w:fldCharType="separate"/>
      </w:r>
      <w:r w:rsidRPr="00662E51">
        <w:rPr>
          <w:szCs w:val="24"/>
        </w:rPr>
        <w:t>(Wetherell 2020)</w:t>
      </w:r>
      <w:r w:rsidRPr="00662E51">
        <w:rPr>
          <w:szCs w:val="24"/>
        </w:rPr>
        <w:fldChar w:fldCharType="end"/>
      </w:r>
      <w:r w:rsidRPr="00662E51">
        <w:rPr>
          <w:szCs w:val="24"/>
        </w:rPr>
        <w:t>. Successive governments have continued with RTB, although with significant modifications. New Labour decreased the maximum discount available for RTB in the 2000s, causing sales to fall nearly 90 percent. Conversely, the Conservative-Liberal Democrat coalition elected in 2010</w:t>
      </w:r>
      <w:r w:rsidRPr="00BD17AF">
        <w:rPr>
          <w:rStyle w:val="FootnoteReference"/>
        </w:rPr>
        <w:footnoteReference w:id="30"/>
      </w:r>
      <w:r w:rsidRPr="00662E51">
        <w:rPr>
          <w:szCs w:val="24"/>
        </w:rPr>
        <w:t xml:space="preserve"> increased the discount, precipitating a fivefold spike in sales </w:t>
      </w:r>
      <w:r w:rsidRPr="00662E51">
        <w:rPr>
          <w:szCs w:val="24"/>
        </w:rPr>
        <w:fldChar w:fldCharType="begin"/>
      </w:r>
      <w:r w:rsidR="008835AB" w:rsidRPr="00662E51">
        <w:rPr>
          <w:szCs w:val="24"/>
        </w:rPr>
        <w:instrText xml:space="preserve"> ADDIN ZOTERO_ITEM CSL_CITATION {"citationID":"pZjncDx5","properties":{"formattedCitation":"(Stephens and Stephenson 2016)","plainCitation":"(Stephens and Stephenson 2016)","noteIndex":0},"citationItems":[{"id":7038,"uris":["http://zotero.org/users/8977980/items/LW6EYICH"],"itemData":{"id":7038,"type":"chapter","container-title":"Social Policy Review 28","DOI":"10.51952/9781447331803.ch004","ISBN":"978-1-4473-3180-3","page":"63-86","publisher":"Policy Press","source":"DOI.org (Crossref)","title":"Housing policy in the austerity age and beyond","URL":"https://bristoluniversitypressdigital.com/view/book/9781447331803/ch004.xml","editor":[{"family":"Fenger","given":"Menno"},{"family":"Hudson","given":"John"},{"family":"Needham","given":"Catherine"}],"author":[{"family":"Stephens","given":"Mark"},{"family":"Stephenson","given":"Adam"}],"accessed":{"date-parts":[["2025",10,9]]},"issued":{"date-parts":[["2016",6,29]]}}}],"schema":"https://github.com/citation-style-language/schema/raw/master/csl-citation.json"} </w:instrText>
      </w:r>
      <w:r w:rsidRPr="00662E51">
        <w:rPr>
          <w:szCs w:val="24"/>
        </w:rPr>
        <w:fldChar w:fldCharType="separate"/>
      </w:r>
      <w:r w:rsidRPr="00662E51">
        <w:rPr>
          <w:szCs w:val="24"/>
        </w:rPr>
        <w:t>(Stephens and Stephenson 2016)</w:t>
      </w:r>
      <w:r w:rsidRPr="00662E51">
        <w:rPr>
          <w:szCs w:val="24"/>
        </w:rPr>
        <w:fldChar w:fldCharType="end"/>
      </w:r>
      <w:r w:rsidRPr="00662E51">
        <w:rPr>
          <w:szCs w:val="24"/>
        </w:rPr>
        <w:t xml:space="preserve">. Tenants who were transferred into housing associations retained their right to buy </w:t>
      </w:r>
      <w:r w:rsidRPr="00662E51">
        <w:rPr>
          <w:szCs w:val="24"/>
        </w:rPr>
        <w:fldChar w:fldCharType="begin"/>
      </w:r>
      <w:r w:rsidRPr="00662E51">
        <w:rPr>
          <w:szCs w:val="24"/>
        </w:rPr>
        <w:instrText xml:space="preserve"> ADDIN ZOTERO_ITEM CSL_CITATION {"citationID":"6JNQhFxN","properties":{"formattedCitation":"(Jones and Murie 2008)","plainCitation":"(Jones and Murie 2008)","noteIndex":0},"citationItems":[{"id":1914,"uris":["http://zotero.org/groups/4816685/items/Q7PA9KP5"],"itemData":{"id":1914,"type":"book","abstract":"An evaluation of the most enduring privatisation of the Thatcher era ... Written in an accessible style, this is a key reference for students and researchers in housing and planning; geography; and social policy.  The book analyses the operation and impact of the right to buy policy (RTB). It includes a critique of the Housing Act and the 2001 Housing (Scotland) Act. The enactment of these changes under a Labour government affirms the continuance of the RTB. The authors take stock of its profound effect on housing policy, reversing the growth in social housing developed over the twentieth century, transforming the nation's tenure structure and revolutionising the UK housing system.  The Right to Buy: analysis and evaluation of a housing policy begins with an examination of the policy background to the establishment of the RTB and the main features of the legislation. This is followed by chapters that review its take-up and the pattern of sales and their impact on social housing; a chapter examining the financial aspects of the RTB from the viewpoints of tenants, local authorities and central government; one looking at the impact of the RTB via subsequent re-sales on the open market and on the private rented sector; and a chapter drawing on the information already reviewed to consider the potential of the RTB to create sustainable and diverse communities. In the final chapters the international experience of parallel policies are considered and the future take-up of the RTB is assessed in the light of recent reforms together with alternatives.","ISBN":"978-0-470-75962-2","language":"en","note":"Google-Books-ID: JVYpmlZ9BCgC","number-of-pages":"267","publisher":"John Wiley &amp; Sons","source":"Google Books","title":"The Right to Buy: Analysis and Evaluation of a Housing Policy","title-short":"The Right to Buy","author":[{"family":"Jones","given":"Colin"},{"family":"Murie","given":"Alan"}],"issued":{"date-parts":[["2008",4,15]]}}}],"schema":"https://github.com/citation-style-language/schema/raw/master/csl-citation.json"} </w:instrText>
      </w:r>
      <w:r w:rsidRPr="00662E51">
        <w:rPr>
          <w:szCs w:val="24"/>
        </w:rPr>
        <w:fldChar w:fldCharType="separate"/>
      </w:r>
      <w:r w:rsidRPr="00662E51">
        <w:rPr>
          <w:szCs w:val="24"/>
        </w:rPr>
        <w:t>(Jones and Murie 2008)</w:t>
      </w:r>
      <w:r w:rsidRPr="00662E51">
        <w:rPr>
          <w:szCs w:val="24"/>
        </w:rPr>
        <w:fldChar w:fldCharType="end"/>
      </w:r>
      <w:r w:rsidRPr="00662E51">
        <w:rPr>
          <w:szCs w:val="24"/>
        </w:rPr>
        <w:t xml:space="preserve">, but new </w:t>
      </w:r>
      <w:r w:rsidR="005760E4" w:rsidRPr="00662E51">
        <w:rPr>
          <w:szCs w:val="24"/>
        </w:rPr>
        <w:t xml:space="preserve">housing association </w:t>
      </w:r>
      <w:r w:rsidRPr="00662E51">
        <w:rPr>
          <w:szCs w:val="24"/>
        </w:rPr>
        <w:t>tenants were not immediately granted this right. The Cameron-led government</w:t>
      </w:r>
      <w:r w:rsidRPr="00BD17AF">
        <w:rPr>
          <w:rStyle w:val="FootnoteReference"/>
        </w:rPr>
        <w:footnoteReference w:id="31"/>
      </w:r>
      <w:r w:rsidRPr="00662E51">
        <w:rPr>
          <w:szCs w:val="24"/>
        </w:rPr>
        <w:t xml:space="preserve"> promised to extend RTB to such tenants but ultimately agreed to a voluntary process. Now, </w:t>
      </w:r>
      <w:r w:rsidR="005760E4" w:rsidRPr="00662E51">
        <w:rPr>
          <w:szCs w:val="24"/>
        </w:rPr>
        <w:t xml:space="preserve">housing association </w:t>
      </w:r>
      <w:r w:rsidRPr="00662E51">
        <w:rPr>
          <w:szCs w:val="24"/>
        </w:rPr>
        <w:t xml:space="preserve">tenants have a ‘right to acquire,’ which allows them to purchase their home </w:t>
      </w:r>
      <w:r w:rsidRPr="00662E51">
        <w:rPr>
          <w:szCs w:val="24"/>
        </w:rPr>
        <w:fldChar w:fldCharType="begin"/>
      </w:r>
      <w:r w:rsidR="008835AB" w:rsidRPr="00662E51">
        <w:rPr>
          <w:szCs w:val="24"/>
        </w:rPr>
        <w:instrText xml:space="preserve"> ADDIN ZOTERO_ITEM CSL_CITATION {"citationID":"0aEgeGv0","properties":{"formattedCitation":"(Stephens and Stephenson 2016)","plainCitation":"(Stephens and Stephenson 2016)","noteIndex":0},"citationItems":[{"id":7038,"uris":["http://zotero.org/users/8977980/items/LW6EYICH"],"itemData":{"id":7038,"type":"chapter","container-title":"Social Policy Review 28","DOI":"10.51952/9781447331803.ch004","ISBN":"978-1-4473-3180-3","page":"63-86","publisher":"Policy Press","source":"DOI.org (Crossref)","title":"Housing policy in the austerity age and beyond","URL":"https://bristoluniversitypressdigital.com/view/book/9781447331803/ch004.xml","editor":[{"family":"Fenger","given":"Menno"},{"family":"Hudson","given":"John"},{"family":"Needham","given":"Catherine"}],"author":[{"family":"Stephens","given":"Mark"},{"family":"Stephenson","given":"Adam"}],"accessed":{"date-parts":[["2025",10,9]]},"issued":{"date-parts":[["2016",6,29]]}}}],"schema":"https://github.com/citation-style-language/schema/raw/master/csl-citation.json"} </w:instrText>
      </w:r>
      <w:r w:rsidRPr="00662E51">
        <w:rPr>
          <w:szCs w:val="24"/>
        </w:rPr>
        <w:fldChar w:fldCharType="separate"/>
      </w:r>
      <w:r w:rsidRPr="00662E51">
        <w:rPr>
          <w:szCs w:val="24"/>
        </w:rPr>
        <w:t>(Stephens and Stephenson 2016)</w:t>
      </w:r>
      <w:r w:rsidRPr="00662E51">
        <w:rPr>
          <w:szCs w:val="24"/>
        </w:rPr>
        <w:fldChar w:fldCharType="end"/>
      </w:r>
      <w:r w:rsidRPr="00662E51">
        <w:rPr>
          <w:szCs w:val="24"/>
        </w:rPr>
        <w:t xml:space="preserve">. The right-to-buy policy has thus historically been a cross-party and rarely contested endeavour </w:t>
      </w:r>
      <w:r w:rsidRPr="00662E51">
        <w:rPr>
          <w:szCs w:val="24"/>
        </w:rPr>
        <w:fldChar w:fldCharType="begin"/>
      </w:r>
      <w:r w:rsidR="001B2CAA">
        <w:rPr>
          <w:szCs w:val="24"/>
        </w:rPr>
        <w:instrText xml:space="preserve"> ADDIN ZOTERO_ITEM CSL_CITATION {"citationID":"9ICqw2i9","properties":{"formattedCitation":"(Hodkinson and Robbins 2013; Jones and Murie 2008)","plainCitation":"(Hodkinson and Robbins 2013; Jones and Murie 2008)","noteIndex":0},"citationItems":[{"id":"n0Saldgp/DJsUT16i","uris":["http://zotero.org/users/8977980/items/NPC6BY6T"],"itemData":{"id":22,"type":"article-journal","abstract":"The May 2010 election of a Conservative-dominated UK coalition government unleashed an unprecedented austerity drive under the auspices of ‘deficit reduction’ in the wake of the global financial crisis. This article focuses on housing policy to show how the ‘cuts’ are being used as an ideological cover for a far-reaching, market-driven restructuring of social welfare policy that amounts to a return of what Ralph Miliband called ‘class war conservatism’. We revisit the main ideological contours and materialist drivers of Thatcherism as a hegemonic strategy, discussing the central role played by housing privatization in the neoliberal project that was continued, but not completed, by New Labour. We then discuss the Coalition’s assault on the housing welfare safety net it inherited, arguing this has rapidly shut down alternative directions for housing and represents a strategic intervention designed to unblock and expand the market, complete the residualization of social housing and draw people into an ever more economically precarious housing experience in order to boost capitalist interests.","container-title":"Critical Social Policy","DOI":"10.1177/0261018312457871","ISSN":"0261-0183","issue":"1","journalAbbreviation":"Critical Social Policy","language":"en","note":"publisher: SAGE Publications Ltd","page":"57-77","source":"SAGE Journals","title":"The return of class war conservatism? Housing under the UK Coalition Government","title-short":"The return of class war conservatism?","volume":"33","author":[{"family":"Hodkinson","given":"Stuart"},{"family":"Robbins","given":"Glyn"}],"issued":{"date-parts":[["2013",2,1]]}}},{"id":1914,"uris":["http://zotero.org/groups/4816685/items/Q7PA9KP5"],"itemData":{"id":1914,"type":"book","abstract":"An evaluation of the most enduring privatisation of the Thatcher era ... Written in an accessible style, this is a key reference for students and researchers in housing and planning; geography; and social policy.  The book analyses the operation and impact of the right to buy policy (RTB). It includes a critique of the Housing Act and the 2001 Housing (Scotland) Act. The enactment of these changes under a Labour government affirms the continuance of the RTB. The authors take stock of its profound effect on housing policy, reversing the growth in social housing developed over the twentieth century, transforming the nation's tenure structure and revolutionising the UK housing system.  The Right to Buy: analysis and evaluation of a housing policy begins with an examination of the policy background to the establishment of the RTB and the main features of the legislation. This is followed by chapters that review its take-up and the pattern of sales and their impact on social housing; a chapter examining the financial aspects of the RTB from the viewpoints of tenants, local authorities and central government; one looking at the impact of the RTB via subsequent re-sales on the open market and on the private rented sector; and a chapter drawing on the information already reviewed to consider the potential of the RTB to create sustainable and diverse communities. In the final chapters the international experience of parallel policies are considered and the future take-up of the RTB is assessed in the light of recent reforms together with alternatives.","ISBN":"978-0-470-75962-2","language":"en","note":"Google-Books-ID: JVYpmlZ9BCgC","number-of-pages":"267","publisher":"John Wiley &amp; Sons","source":"Google Books","title":"The Right to Buy: Analysis and Evaluation of a Housing Policy","title-short":"The Right to Buy","author":[{"family":"Jones","given":"Colin"},{"family":"Murie","given":"Alan"}],"issued":{"date-parts":[["2008",4,15]]}}}],"schema":"https://github.com/citation-style-language/schema/raw/master/csl-citation.json"} </w:instrText>
      </w:r>
      <w:r w:rsidRPr="00662E51">
        <w:rPr>
          <w:szCs w:val="24"/>
        </w:rPr>
        <w:fldChar w:fldCharType="separate"/>
      </w:r>
      <w:r w:rsidRPr="00662E51">
        <w:rPr>
          <w:szCs w:val="24"/>
        </w:rPr>
        <w:t>(Hodkinson and Robbins 2013; Jones and Murie 2008)</w:t>
      </w:r>
      <w:r w:rsidRPr="00662E51">
        <w:rPr>
          <w:szCs w:val="24"/>
        </w:rPr>
        <w:fldChar w:fldCharType="end"/>
      </w:r>
      <w:r w:rsidRPr="00662E51">
        <w:rPr>
          <w:szCs w:val="24"/>
        </w:rPr>
        <w:t xml:space="preserve">. Indeed, despite repeated calls to end the policy altogether, the </w:t>
      </w:r>
      <w:r w:rsidR="007E4171">
        <w:rPr>
          <w:szCs w:val="24"/>
        </w:rPr>
        <w:t xml:space="preserve">current </w:t>
      </w:r>
      <w:r w:rsidRPr="00662E51">
        <w:rPr>
          <w:szCs w:val="24"/>
        </w:rPr>
        <w:t xml:space="preserve">Labour government </w:t>
      </w:r>
      <w:r w:rsidR="00DE755D" w:rsidRPr="00662E51">
        <w:rPr>
          <w:szCs w:val="24"/>
        </w:rPr>
        <w:t xml:space="preserve">during </w:t>
      </w:r>
      <w:r w:rsidR="004621F1" w:rsidRPr="00662E51">
        <w:rPr>
          <w:szCs w:val="24"/>
        </w:rPr>
        <w:t xml:space="preserve">the period of research has been </w:t>
      </w:r>
      <w:r w:rsidRPr="00662E51">
        <w:rPr>
          <w:szCs w:val="24"/>
        </w:rPr>
        <w:t xml:space="preserve">content to tinker on its edges rather than commit to abolishing the practice </w:t>
      </w:r>
      <w:r w:rsidRPr="00662E51">
        <w:rPr>
          <w:szCs w:val="24"/>
        </w:rPr>
        <w:fldChar w:fldCharType="begin"/>
      </w:r>
      <w:r w:rsidRPr="00662E51">
        <w:rPr>
          <w:szCs w:val="24"/>
        </w:rPr>
        <w:instrText xml:space="preserve"> ADDIN ZOTERO_ITEM CSL_CITATION {"citationID":"hCVVirV3","properties":{"formattedCitation":"(Seddon 2025)","plainCitation":"(Seddon 2025)","noteIndex":0},"citationItems":[{"id":6931,"uris":["http://zotero.org/users/8977980/items/8BQREAKZ"],"itemData":{"id":6931,"type":"webpage","abstract":"Tenants will also face longer to qualify, under government plans for the social home discount scheme.","container-title":"BBC News","language":"en-GB","note":"section: Politics","title":"Labour plans further Right to Buy restrictions in England","URL":"https://www.bbc.com/news/articles/c6257pr3q76o","author":[{"family":"Seddon","given":"Paul"}],"accessed":{"date-parts":[["2025",9,11]]},"issued":{"date-parts":[["2025",7,3]]}}}],"schema":"https://github.com/citation-style-language/schema/raw/master/csl-citation.json"} </w:instrText>
      </w:r>
      <w:r w:rsidRPr="00662E51">
        <w:rPr>
          <w:szCs w:val="24"/>
        </w:rPr>
        <w:fldChar w:fldCharType="separate"/>
      </w:r>
      <w:r w:rsidRPr="00662E51">
        <w:rPr>
          <w:szCs w:val="24"/>
        </w:rPr>
        <w:t>(Seddon 2025)</w:t>
      </w:r>
      <w:r w:rsidRPr="00662E51">
        <w:rPr>
          <w:szCs w:val="24"/>
        </w:rPr>
        <w:fldChar w:fldCharType="end"/>
      </w:r>
      <w:r w:rsidRPr="00662E51">
        <w:rPr>
          <w:szCs w:val="24"/>
        </w:rPr>
        <w:t xml:space="preserve">. Beyond the transfer of public property directly to private hands, right-to-buy has also fed into the private renting sector: nearly 40 percent of homes bought under the policy have ended up as private rentals </w:t>
      </w:r>
      <w:r w:rsidRPr="00662E51">
        <w:rPr>
          <w:szCs w:val="24"/>
        </w:rPr>
        <w:fldChar w:fldCharType="begin"/>
      </w:r>
      <w:r w:rsidR="008835AB" w:rsidRPr="00662E51">
        <w:rPr>
          <w:szCs w:val="24"/>
        </w:rPr>
        <w:instrText xml:space="preserve"> ADDIN ZOTERO_ITEM CSL_CITATION {"citationID":"LVaMTi1R","properties":{"formattedCitation":"(Diner and Wright 2024)","plainCitation":"(Diner and Wright 2024)","noteIndex":0},"citationItems":[{"id":7084,"uris":["http://zotero.org/users/8977980/items/A2DIKBAN"],"itemData":{"id":7084,"type":"report","publisher":"New Economics Foundation","publisher-place":"London","title":"Reforming Right to Buy","URL":"https://new-economicsf.files.svdcdn.com/production/files/Right-to-Buy-final-web.pdf?dm=1715259720","author":[{"family":"Diner","given":"Alex"},{"family":"Wright","given":"Hollie"}],"issued":{"date-parts":[["2024",5]]}}}],"schema":"https://github.com/citation-style-language/schema/raw/master/csl-citation.json"} </w:instrText>
      </w:r>
      <w:r w:rsidRPr="00662E51">
        <w:rPr>
          <w:szCs w:val="24"/>
        </w:rPr>
        <w:fldChar w:fldCharType="separate"/>
      </w:r>
      <w:r w:rsidRPr="00662E51">
        <w:rPr>
          <w:szCs w:val="24"/>
        </w:rPr>
        <w:t>(Diner and Wright 2024)</w:t>
      </w:r>
      <w:r w:rsidRPr="00662E51">
        <w:rPr>
          <w:szCs w:val="24"/>
        </w:rPr>
        <w:fldChar w:fldCharType="end"/>
      </w:r>
      <w:r w:rsidRPr="00662E51">
        <w:rPr>
          <w:szCs w:val="24"/>
        </w:rPr>
        <w:t xml:space="preserve">. RTB has therefore solidified homeownership as desired tenure among the British population </w:t>
      </w:r>
      <w:r w:rsidRPr="00662E51">
        <w:rPr>
          <w:szCs w:val="24"/>
        </w:rPr>
        <w:fldChar w:fldCharType="begin"/>
      </w:r>
      <w:r w:rsidRPr="00662E51">
        <w:rPr>
          <w:szCs w:val="24"/>
        </w:rPr>
        <w:instrText xml:space="preserve"> ADDIN ZOTERO_ITEM CSL_CITATION {"citationID":"4Os2I2z0","properties":{"formattedCitation":"(McKee et al. 2020)","plainCitation":"(McKee et al. 2020)","noteIndex":0},"citationItems":[{"id":2700,"uris":["http://zotero.org/users/8977980/items/AWSZDMIJ"],"itemData":{"id":2700,"type":"article-journal","abstract":"The UK private-rented sector is increasingly accommodating a diverse range of households, many of whom are young people struggling to access other forms of housing. For those at the bottom end of the sector, who typically have limited economic resources, it is a precarious housing tenure due to its expense and insecurity, yet few studies have explored qualitatively the emotional consequences of this for well-being. We address this gap in the ‘generation rent’ literature by focusing attention on those voices that have been less prominent in the literature. Informed by the theoretical lens of ‘residential alienation’, our study illustrates the emotional toll of private renting upon low-income groups in a national context where state regulation is more limited. In doing so, we add nuance to the literature surrounding socio-economic differentiation within the UK private-rented sector. Our arguments are also relevant to an international audience given global concerns about housing precarity and the politics of housing.","container-title":"Housing Studies","DOI":"10.1080/02673037.2019.1676400","ISSN":"0267-3037, 1466-1810","issue":"8","journalAbbreviation":"Housing Studies","language":"en","page":"1468-1487","source":"DOI.org (Crossref)","title":"‘Generation rent’ and the emotions of private renting: self-worth, status and insecurity amongst low-income renters","title-short":"‘Generation rent’ and the emotions of private renting","volume":"35","author":[{"family":"McKee","given":"Kim"},{"family":"Soaita","given":"Adriana Mihaela"},{"family":"Hoolachan","given":"Jennifer"}],"issued":{"date-parts":[["2020",9,13]]}}}],"schema":"https://github.com/citation-style-language/schema/raw/master/csl-citation.json"} </w:instrText>
      </w:r>
      <w:r w:rsidRPr="00662E51">
        <w:rPr>
          <w:szCs w:val="24"/>
        </w:rPr>
        <w:fldChar w:fldCharType="separate"/>
      </w:r>
      <w:r w:rsidRPr="00662E51">
        <w:rPr>
          <w:szCs w:val="24"/>
        </w:rPr>
        <w:t>(McKee et al. 2020)</w:t>
      </w:r>
      <w:r w:rsidRPr="00662E51">
        <w:rPr>
          <w:szCs w:val="24"/>
        </w:rPr>
        <w:fldChar w:fldCharType="end"/>
      </w:r>
      <w:r w:rsidRPr="00662E51">
        <w:rPr>
          <w:szCs w:val="24"/>
        </w:rPr>
        <w:t xml:space="preserve">, thus ensuring its democracy relies on property ownership </w:t>
      </w:r>
      <w:r w:rsidRPr="00662E51">
        <w:rPr>
          <w:szCs w:val="24"/>
        </w:rPr>
        <w:fldChar w:fldCharType="begin"/>
      </w:r>
      <w:r w:rsidR="008835AB" w:rsidRPr="00662E51">
        <w:rPr>
          <w:szCs w:val="24"/>
        </w:rPr>
        <w:instrText xml:space="preserve"> ADDIN ZOTERO_ITEM CSL_CITATION {"citationID":"WonhQekr","properties":{"formattedCitation":"(Ronald 2008)","plainCitation":"(Ronald 2008)","noteIndex":0},"citationItems":[{"id":193,"uris":["http://zotero.org/users/8977980/items/K3JMMC6P"],"itemData":{"id":193,"type":"book","ISBN":"978-1-4039-8945-1","language":"English","number-of-pages":"294","publisher":"Palgrave Macmillan","publisher-place":"Basingstoke ; New York","source":"Amazon","title":"The Ideology of Home Ownership: Homeowner Societies and the Role of Housing","title-short":"The Ideology of Home Ownership","author":[{"family":"Ronald","given":"Richard"}],"issued":{"date-parts":[["2008",5,29]]}}}],"schema":"https://github.com/citation-style-language/schema/raw/master/csl-citation.json"} </w:instrText>
      </w:r>
      <w:r w:rsidRPr="00662E51">
        <w:rPr>
          <w:szCs w:val="24"/>
        </w:rPr>
        <w:fldChar w:fldCharType="separate"/>
      </w:r>
      <w:r w:rsidRPr="00662E51">
        <w:rPr>
          <w:szCs w:val="24"/>
        </w:rPr>
        <w:t>(Ronald 2008)</w:t>
      </w:r>
      <w:r w:rsidRPr="00662E51">
        <w:rPr>
          <w:szCs w:val="24"/>
        </w:rPr>
        <w:fldChar w:fldCharType="end"/>
      </w:r>
      <w:r w:rsidRPr="00662E51">
        <w:rPr>
          <w:szCs w:val="24"/>
        </w:rPr>
        <w:t>.</w:t>
      </w:r>
    </w:p>
    <w:p w14:paraId="51DF0FFD" w14:textId="7A2AC888" w:rsidR="00CA6F09" w:rsidRPr="00662E51" w:rsidRDefault="00CA6F09" w:rsidP="00F56305">
      <w:pPr>
        <w:spacing w:line="360" w:lineRule="auto"/>
        <w:ind w:left="0" w:firstLine="720"/>
        <w:contextualSpacing/>
        <w:rPr>
          <w:szCs w:val="24"/>
        </w:rPr>
      </w:pPr>
      <w:r w:rsidRPr="00662E51">
        <w:rPr>
          <w:szCs w:val="24"/>
        </w:rPr>
        <w:t xml:space="preserve">Right-to-Buy was not the only policy supporting a privatisation agenda. Large-scale voluntary transfers (LSVTs) are a process by which a council can legally transfer ownership of an estate to separate entity (typically a charity). These charities, called Housing Associations (HAs), are non-profit entities and so are not subject to the same rules that restrict a council’s ability to borrow funds to pay for upkeep of dwellings </w:t>
      </w:r>
      <w:r w:rsidRPr="00662E51">
        <w:rPr>
          <w:szCs w:val="24"/>
        </w:rPr>
        <w:fldChar w:fldCharType="begin"/>
      </w:r>
      <w:r w:rsidRPr="00662E51">
        <w:rPr>
          <w:szCs w:val="24"/>
        </w:rPr>
        <w:instrText xml:space="preserve"> ADDIN ZOTERO_ITEM CSL_CITATION {"citationID":"yUgzIrjq","properties":{"formattedCitation":"(Clare et al. 2022)","plainCitation":"(Clare et al. 2022)","noteIndex":0},"citationItems":[{"id":7034,"uris":["http://zotero.org/users/8977980/items/UK77BGAR"],"itemData":{"id":7034,"type":"article-journal","abstract":"This paper provides a critical intervention into recent geographical debates on racial capitalism, interrogating the role that Housing Associations (HAs), the main form of UK social housing, play in its (re)production. Housing Associations are institutional, third-sector spaces within which novel forms of financialisation and bordering take place. Race is central to these processes, but insufficient critical attention has been afforded to the intersections of class, race, and migratory status in extant research on UK HAs. Moreover, existing research into housing and racial capitalism is provincial in its North American focus, typically examining home ownership and private renting. We argue this is a significant lacuna given that new and multiple forms of racialised exclusion, inequality, and extraction cohere in social housing. There is accordingly a pressing need for a robust interrogation of racial capitalisms through UK HAs, and of the role of HAs via the conceptual lens of racial capitalism. In concluding, the paper argues for a new focus on ‘actually existing’ racial capitalisms, and the need for detailed analyses of the logics and practices of racial capitalisms across a variety of sites and scales, helping debates move beyond their conceptual heartland in North America.","container-title":"Geography Compass","DOI":"10.1111/gec3.12665","ISSN":"1749-8198","issue":"11","language":"en","license":"© 2022 The Authors. Geography Compass published by John Wiley &amp; Sons Ltd.","note":"_eprint: https://compass.onlinelibrary.wiley.com/doi/pdf/10.1111/gec3.12665","page":"e12665","source":"Wiley Online Library","title":"Actually existing racial capitalism: Financialisation and bordering in UK housing associations","title-short":"Actually existing racial capitalism","volume":"16","author":[{"family":"Clare","given":"Nick"},{"family":"Noronha","given":"Nigel","non-dropping-particle":"de"},{"family":"French","given":"Shaun"},{"family":"Goulding","given":"Richard"}],"issued":{"date-parts":[["2022"]]}}}],"schema":"https://github.com/citation-style-language/schema/raw/master/csl-citation.json"} </w:instrText>
      </w:r>
      <w:r w:rsidRPr="00662E51">
        <w:rPr>
          <w:szCs w:val="24"/>
        </w:rPr>
        <w:fldChar w:fldCharType="separate"/>
      </w:r>
      <w:r w:rsidRPr="00662E51">
        <w:rPr>
          <w:szCs w:val="24"/>
        </w:rPr>
        <w:t>(Clare et al. 2022)</w:t>
      </w:r>
      <w:r w:rsidRPr="00662E51">
        <w:rPr>
          <w:szCs w:val="24"/>
        </w:rPr>
        <w:fldChar w:fldCharType="end"/>
      </w:r>
      <w:r w:rsidRPr="00662E51">
        <w:rPr>
          <w:szCs w:val="24"/>
        </w:rPr>
        <w:t xml:space="preserve">. Like with RTB, stock-transfers </w:t>
      </w:r>
      <w:r w:rsidRPr="00662E51">
        <w:rPr>
          <w:szCs w:val="24"/>
        </w:rPr>
        <w:lastRenderedPageBreak/>
        <w:t xml:space="preserve">began as a local experiment </w:t>
      </w:r>
      <w:r w:rsidR="0074425F" w:rsidRPr="00662E51">
        <w:rPr>
          <w:szCs w:val="24"/>
        </w:rPr>
        <w:t xml:space="preserve">in rural areas </w:t>
      </w:r>
      <w:r w:rsidRPr="00662E51">
        <w:rPr>
          <w:szCs w:val="24"/>
        </w:rPr>
        <w:t xml:space="preserve">that then became a national approach in the late 1980s. Labour-run councils were initially wary of the transfers due to fears of privatisation—but were enticed with funds flowing from central government </w:t>
      </w:r>
      <w:r w:rsidRPr="00662E51">
        <w:rPr>
          <w:szCs w:val="24"/>
        </w:rPr>
        <w:fldChar w:fldCharType="begin"/>
      </w:r>
      <w:r w:rsidR="008835AB" w:rsidRPr="00662E51">
        <w:rPr>
          <w:szCs w:val="24"/>
        </w:rPr>
        <w:instrText xml:space="preserve"> ADDIN ZOTERO_ITEM CSL_CITATION {"citationID":"A2WfMsvX","properties":{"formattedCitation":"(Smyth 2013)","plainCitation":"(Smyth 2013)","noteIndex":0},"citationItems":[{"id":7031,"uris":["http://zotero.org/users/8977980/items/K9DSNTUN"],"itemData":{"id":7031,"type":"article-journal","abstract":"A central element in the privatization of council housing has been the development of stock transfer policy. A variety of perspectives on this process have been explored including the impact on accountability relations; however, the tenants’ experience is almost completely absent from this literature. The paper develops a case study that draws on the experience of the tenants involved in a stock transfer. In the process stock transfers, and related accountability relations, are shown to be contested with tenant-led campaigns challenging this neoliberal inspired policy. The case study illustrates the power and financial resource asymmetries in transfer campaigns with a range of anti-democratic tactics employed by those pursuing the transfer. On the basis of a critique of neoliberalism, the stock transfer process is seen as an attack on the previous democratic control of council housing, which is replaced with ‘governance by experts and elites’ and private sector inspired corporate governance forms of accountability. Thus the paper seeks to answer two questions; how democratic is the transfer process and what are the long-term implications for democratic accountability in the social housing sector.","container-title":"Critical Social Policy","DOI":"10.1177/0261018312457870","ISSN":"0261-0183","issue":"1","language":"EN","page":"37-56","publisher":"SAGE Publications Ltd","source":"SAGE Journals","title":"The privatization of council housing: Stock transfer and the struggle for accountable housing","title-short":"The privatization of council housing","volume":"33","author":[{"family":"Smyth","given":"Stewart"}],"issued":{"date-parts":[["2013",2,1]]}}}],"schema":"https://github.com/citation-style-language/schema/raw/master/csl-citation.json"} </w:instrText>
      </w:r>
      <w:r w:rsidRPr="00662E51">
        <w:rPr>
          <w:szCs w:val="24"/>
        </w:rPr>
        <w:fldChar w:fldCharType="separate"/>
      </w:r>
      <w:r w:rsidRPr="00662E51">
        <w:rPr>
          <w:szCs w:val="24"/>
        </w:rPr>
        <w:t>(Smyth 2013)</w:t>
      </w:r>
      <w:r w:rsidRPr="00662E51">
        <w:rPr>
          <w:szCs w:val="24"/>
        </w:rPr>
        <w:fldChar w:fldCharType="end"/>
      </w:r>
      <w:r w:rsidRPr="00662E51">
        <w:rPr>
          <w:szCs w:val="24"/>
        </w:rPr>
        <w:t xml:space="preserve">. Positioned as a way of reducing government expenditure without compromising tenants’ quality of life, LSVTs were soon taken up by New Labour as pathway to ‘modernising’ and ‘reforming’ social housing </w:t>
      </w:r>
      <w:r w:rsidRPr="00662E51">
        <w:rPr>
          <w:szCs w:val="24"/>
        </w:rPr>
        <w:fldChar w:fldCharType="begin"/>
      </w:r>
      <w:r w:rsidR="008835AB" w:rsidRPr="00662E51">
        <w:rPr>
          <w:szCs w:val="24"/>
        </w:rPr>
        <w:instrText xml:space="preserve"> ADDIN ZOTERO_ITEM CSL_CITATION {"citationID":"nwXiNWnA","properties":{"formattedCitation":"(Daly et al. 2005; Malpass and Mullins 2002)","plainCitation":"(Daly et al. 2005; Malpass and Mullins 2002)","noteIndex":0},"citationItems":[{"id":7032,"uris":["http://zotero.org/users/8977980/items/L5XKLVT5"],"itemData":{"id":7032,"type":"article-journal","abstract":"Housing stock transfer is arguably one of the more controversial aspects of New Labour's housing policy. It was a policy originally pursued under the Conservative governments from the 1980s into th...","archive_location":"world","container-title":"European Journal of Housing Policy","DOI":"10.1080/14616710500342234","language":"EN","license":"Copyright Taylor &amp; Francis Group, LLC","publisher":"Taylor &amp; Francis Group","source":"www.tandfonline.com","title":"Housing Stock Transfer in Birmingham and Glasgow: The Contrasting Experiences of Two UK Cities","title-short":"Housing Stock Transfer in Birmingham and Glasgow","URL":"https://www.tandfonline.com/doi/abs/10.1080/14616710500342234","author":[{"family":"Daly","given":"Guy"},{"family":"Mooney","given":"Gerry"},{"family":"Poole","given":"Lynne"},{"family":"Davis","given":"Howard"}],"accessed":{"date-parts":[["2025",10,8]]},"issued":{"date-parts":[["2005",12,1]]}}},{"id":7030,"uris":["http://zotero.org/users/8977980/items/5GH2QW6W"],"itemData":{"id":7030,"type":"article-journal","abstract":"Since 1988 stock transfer has been transformed from a local initiative into a central part of government policy for housing in the UK. It began as a largely rural and suburban phenomenon, generating substantial capital receipts, but has also become a vehicle for the regeneration of rundown urban estates. The trajectory of this process has continued to be rapid despite changes in government and devolution of housing policy in the late 1990s. This paper traces the development of the process in some detail, considering policy origins and antecedents, the emergence of national policy and its rolling out to embrace a wider range of circumstances. The impact of the policy is considered more briefly, reviewing the impact on the non-profit housing sector, on local authorities and on the key policy issues of rents and access to housing. Future prospects are reviewed in a concluding section.","container-title":"Housing Studies","DOI":"10.1080/02673030220144402","ISSN":"0267-3037","issue":"4","note":"_eprint: https://doi.org/10.1080/02673030220144402","page":"673-686","publisher":"Routledge","source":"Taylor and Francis+NEJM","title":"Local Authority Housing Stock Transfer in the UK: From Local Initiative to National Policy","title-short":"Local Authority Housing Stock Transfer in the UK","volume":"17","author":[{"family":"Malpass","given":"Peter"},{"family":"Mullins","given":"David"}],"issued":{"date-parts":[["2002",7,1]]}}}],"schema":"https://github.com/citation-style-language/schema/raw/master/csl-citation.json"} </w:instrText>
      </w:r>
      <w:r w:rsidRPr="00662E51">
        <w:rPr>
          <w:szCs w:val="24"/>
        </w:rPr>
        <w:fldChar w:fldCharType="separate"/>
      </w:r>
      <w:r w:rsidRPr="00662E51">
        <w:rPr>
          <w:szCs w:val="24"/>
        </w:rPr>
        <w:t>(Daly et al. 2005; Malpass and Mullins 2002)</w:t>
      </w:r>
      <w:r w:rsidRPr="00662E51">
        <w:rPr>
          <w:szCs w:val="24"/>
        </w:rPr>
        <w:fldChar w:fldCharType="end"/>
      </w:r>
      <w:r w:rsidRPr="00662E51">
        <w:rPr>
          <w:szCs w:val="24"/>
        </w:rPr>
        <w:t xml:space="preserve">. By 2008, more than 1.3 million homes had been transferred to HAs, becoming a greater share of the overall social housing stock in the UK than council housing </w:t>
      </w:r>
      <w:r w:rsidRPr="00662E51">
        <w:rPr>
          <w:szCs w:val="24"/>
        </w:rPr>
        <w:fldChar w:fldCharType="begin"/>
      </w:r>
      <w:r w:rsidR="008835AB" w:rsidRPr="00662E51">
        <w:rPr>
          <w:szCs w:val="24"/>
        </w:rPr>
        <w:instrText xml:space="preserve"> ADDIN ZOTERO_ITEM CSL_CITATION {"citationID":"FiksBflX","properties":{"formattedCitation":"(Pawson and Smith 2009)","plainCitation":"(Pawson and Smith 2009)","noteIndex":0},"citationItems":[{"id":7036,"uris":["http://zotero.org/users/8977980/items/WE6IXMCX"],"itemData":{"id":7036,"type":"article-journal","abstract":"By 2008, ownership transfers of former council housing had been proceeding for 20 years. Since 1997, the process has encompassed many larger urban local authorities, with housing departments which could have been fairly characterised as monolithic, producer-oriented bureaucracies. Drawing on new research evidence from England, Scotland and Wales, this paper considers the extent to which these ‘second generation’ transfers have delivered against policy objectives to reform the governance and organisational culture of social housing. The empirical evidence suggests that second generation transfers have provided a substantial stimulus to tenant involvement and to the development of more consumer-focused, inclusive and commercially minded organisations. However, ministerial aspirations for transfer as a vehicle for community empowerment have not always been realised. And, to the extent that they have triggered beneficial change in governance and organisational culture, questions remain about the durability of such gains.","container-title":"European Journal of Housing Policy","DOI":"10.1080/14616710903357201","ISSN":"1461-6718","issue":"4","note":"_eprint: https://doi.org/10.1080/14616710903357201","page":"411-433","publisher":"Routledge","source":"Taylor and Francis+NEJM","title":"Second Generation Stock Transfers in Britain: Impacts on Social Housing Governance and Organisational Culture","title-short":"Second Generation Stock Transfers in Britain","volume":"9","author":[{"family":"Pawson","given":"Hal"},{"family":"Smith","given":"Robert"}],"issued":{"date-parts":[["2009",12,15]]}}}],"schema":"https://github.com/citation-style-language/schema/raw/master/csl-citation.json"} </w:instrText>
      </w:r>
      <w:r w:rsidRPr="00662E51">
        <w:rPr>
          <w:szCs w:val="24"/>
        </w:rPr>
        <w:fldChar w:fldCharType="separate"/>
      </w:r>
      <w:r w:rsidRPr="00662E51">
        <w:rPr>
          <w:szCs w:val="24"/>
        </w:rPr>
        <w:t>(Pawson and Smith 2009)</w:t>
      </w:r>
      <w:r w:rsidRPr="00662E51">
        <w:rPr>
          <w:szCs w:val="24"/>
        </w:rPr>
        <w:fldChar w:fldCharType="end"/>
      </w:r>
      <w:r w:rsidRPr="00662E51">
        <w:rPr>
          <w:szCs w:val="24"/>
        </w:rPr>
        <w:t xml:space="preserve">. By transferring stock out of the hands of the local council, LSVTs are a form of demunicipalisation that, in effect, removes democratic accountability and oversight. As Smyth </w:t>
      </w:r>
      <w:r w:rsidRPr="00662E51">
        <w:rPr>
          <w:szCs w:val="24"/>
        </w:rPr>
        <w:fldChar w:fldCharType="begin"/>
      </w:r>
      <w:r w:rsidR="008835AB" w:rsidRPr="00662E51">
        <w:rPr>
          <w:szCs w:val="24"/>
        </w:rPr>
        <w:instrText xml:space="preserve"> ADDIN ZOTERO_ITEM CSL_CITATION {"citationID":"sEjEwPkG","properties":{"formattedCitation":"(2013)","plainCitation":"(2013)","noteIndex":0},"citationItems":[{"id":7031,"uris":["http://zotero.org/users/8977980/items/K9DSNTUN"],"itemData":{"id":7031,"type":"article-journal","abstract":"A central element in the privatization of council housing has been the development of stock transfer policy. A variety of perspectives on this process have been explored including the impact on accountability relations; however, the tenants’ experience is almost completely absent from this literature. The paper develops a case study that draws on the experience of the tenants involved in a stock transfer. In the process stock transfers, and related accountability relations, are shown to be contested with tenant-led campaigns challenging this neoliberal inspired policy. The case study illustrates the power and financial resource asymmetries in transfer campaigns with a range of anti-democratic tactics employed by those pursuing the transfer. On the basis of a critique of neoliberalism, the stock transfer process is seen as an attack on the previous democratic control of council housing, which is replaced with ‘governance by experts and elites’ and private sector inspired corporate governance forms of accountability. Thus the paper seeks to answer two questions; how democratic is the transfer process and what are the long-term implications for democratic accountability in the social housing sector.","container-title":"Critical Social Policy","DOI":"10.1177/0261018312457870","ISSN":"0261-0183","issue":"1","language":"EN","page":"37-56","publisher":"SAGE Publications Ltd","source":"SAGE Journals","title":"The privatization of council housing: Stock transfer and the struggle for accountable housing","title-short":"The privatization of council housing","volume":"33","author":[{"family":"Smyth","given":"Stewart"}],"issued":{"date-parts":[["2013",2,1]]}},"suppress-author":true}],"schema":"https://github.com/citation-style-language/schema/raw/master/csl-citation.json"} </w:instrText>
      </w:r>
      <w:r w:rsidRPr="00662E51">
        <w:rPr>
          <w:szCs w:val="24"/>
        </w:rPr>
        <w:fldChar w:fldCharType="separate"/>
      </w:r>
      <w:r w:rsidRPr="00662E51">
        <w:rPr>
          <w:szCs w:val="24"/>
        </w:rPr>
        <w:t>(2013)</w:t>
      </w:r>
      <w:r w:rsidRPr="00662E51">
        <w:rPr>
          <w:szCs w:val="24"/>
        </w:rPr>
        <w:fldChar w:fldCharType="end"/>
      </w:r>
      <w:r w:rsidRPr="00662E51">
        <w:rPr>
          <w:szCs w:val="24"/>
        </w:rPr>
        <w:t xml:space="preserve"> finds, both the transfer process itself and the new form of governance are non-democratic and lean towards </w:t>
      </w:r>
      <w:r w:rsidR="00557EEE">
        <w:rPr>
          <w:szCs w:val="24"/>
        </w:rPr>
        <w:t xml:space="preserve">managerial </w:t>
      </w:r>
      <w:r w:rsidRPr="00662E51">
        <w:rPr>
          <w:szCs w:val="24"/>
        </w:rPr>
        <w:t xml:space="preserve">governance by elites and experts. Like regeneration, LSVTs are contested. Separately, as HAs are not bound by public spending rules, they play a fundamental role in financial and speculative processes in contemporary British housing provision </w:t>
      </w:r>
      <w:r w:rsidRPr="00662E51">
        <w:rPr>
          <w:szCs w:val="24"/>
        </w:rPr>
        <w:fldChar w:fldCharType="begin"/>
      </w:r>
      <w:r w:rsidRPr="00662E51">
        <w:rPr>
          <w:szCs w:val="24"/>
        </w:rPr>
        <w:instrText xml:space="preserve"> ADDIN ZOTERO_ITEM CSL_CITATION {"citationID":"hWrZrnF5","properties":{"formattedCitation":"(Clare et al. 2022)","plainCitation":"(Clare et al. 2022)","noteIndex":0},"citationItems":[{"id":7034,"uris":["http://zotero.org/users/8977980/items/UK77BGAR"],"itemData":{"id":7034,"type":"article-journal","abstract":"This paper provides a critical intervention into recent geographical debates on racial capitalism, interrogating the role that Housing Associations (HAs), the main form of UK social housing, play in its (re)production. Housing Associations are institutional, third-sector spaces within which novel forms of financialisation and bordering take place. Race is central to these processes, but insufficient critical attention has been afforded to the intersections of class, race, and migratory status in extant research on UK HAs. Moreover, existing research into housing and racial capitalism is provincial in its North American focus, typically examining home ownership and private renting. We argue this is a significant lacuna given that new and multiple forms of racialised exclusion, inequality, and extraction cohere in social housing. There is accordingly a pressing need for a robust interrogation of racial capitalisms through UK HAs, and of the role of HAs via the conceptual lens of racial capitalism. In concluding, the paper argues for a new focus on ‘actually existing’ racial capitalisms, and the need for detailed analyses of the logics and practices of racial capitalisms across a variety of sites and scales, helping debates move beyond their conceptual heartland in North America.","container-title":"Geography Compass","DOI":"10.1111/gec3.12665","ISSN":"1749-8198","issue":"11","language":"en","license":"© 2022 The Authors. Geography Compass published by John Wiley &amp; Sons Ltd.","note":"_eprint: https://compass.onlinelibrary.wiley.com/doi/pdf/10.1111/gec3.12665","page":"e12665","source":"Wiley Online Library","title":"Actually existing racial capitalism: Financialisation and bordering in UK housing associations","title-short":"Actually existing racial capitalism","volume":"16","author":[{"family":"Clare","given":"Nick"},{"family":"Noronha","given":"Nigel","non-dropping-particle":"de"},{"family":"French","given":"Shaun"},{"family":"Goulding","given":"Richard"}],"issued":{"date-parts":[["2022"]]}}}],"schema":"https://github.com/citation-style-language/schema/raw/master/csl-citation.json"} </w:instrText>
      </w:r>
      <w:r w:rsidRPr="00662E51">
        <w:rPr>
          <w:szCs w:val="24"/>
        </w:rPr>
        <w:fldChar w:fldCharType="separate"/>
      </w:r>
      <w:r w:rsidRPr="00662E51">
        <w:rPr>
          <w:szCs w:val="24"/>
        </w:rPr>
        <w:t>(Clare et al. 2022)</w:t>
      </w:r>
      <w:r w:rsidRPr="00662E51">
        <w:rPr>
          <w:szCs w:val="24"/>
        </w:rPr>
        <w:fldChar w:fldCharType="end"/>
      </w:r>
      <w:r w:rsidRPr="00662E51">
        <w:rPr>
          <w:szCs w:val="24"/>
        </w:rPr>
        <w:t xml:space="preserve">. In this way, HAs are yet another tool in a privatisation agenda that continues to decrease the prominence of council housing in the UK. Across these different policies, then, council housing has become residualised </w:t>
      </w:r>
      <w:r w:rsidRPr="00662E51">
        <w:rPr>
          <w:szCs w:val="24"/>
        </w:rPr>
        <w:fldChar w:fldCharType="begin"/>
      </w:r>
      <w:r w:rsidRPr="00662E51">
        <w:rPr>
          <w:szCs w:val="24"/>
        </w:rPr>
        <w:instrText xml:space="preserve"> ADDIN ZOTERO_ITEM CSL_CITATION {"citationID":"JzQcaNE7","properties":{"formattedCitation":"(Forrest and Murie 1983)","plainCitation":"(Forrest and Murie 1983)","noteIndex":0},"citationItems":[{"id":7073,"uris":["http://zotero.org/users/8977980/items/SHBGGKD7"],"itemData":{"id":7073,"type":"article-journal","abstract":"It is commonly argued that council housing in Britain is becoming a residual service. This paper explores the various dimensions of residualization such as the size of the council house sector, the quality of the service, the characteristics of tenants and the nature of the stock. Whilst changes in these areas are significant it is suggested that we must look beyond housing processes to fully understand the downgrading of council housing. Specifically it is argued that explanations must take account of questions of economic and political powerlessness, the marginalization of certain sections of the working class from the labour market and the uneven impact of the recession.","container-title":"Journal of Social Policy","DOI":"10.1017/S0047279400013088","ISSN":"1469-7823, 0047-2794","issue":"4","language":"en","page":"453-468","source":"Cambridge University Press","title":"Residualization and Council Housing: Aspects of the Changing Social Relations of Housing Tenure","title-short":"Residualization and Council Housing","volume":"12","author":[{"family":"Forrest","given":"Ray"},{"family":"Murie","given":"Alan"}],"issued":{"date-parts":[["1983",10]]}}}],"schema":"https://github.com/citation-style-language/schema/raw/master/csl-citation.json"} </w:instrText>
      </w:r>
      <w:r w:rsidRPr="00662E51">
        <w:rPr>
          <w:szCs w:val="24"/>
        </w:rPr>
        <w:fldChar w:fldCharType="separate"/>
      </w:r>
      <w:r w:rsidRPr="00662E51">
        <w:rPr>
          <w:szCs w:val="24"/>
        </w:rPr>
        <w:t>(Forrest and Murie 1983)</w:t>
      </w:r>
      <w:r w:rsidRPr="00662E51">
        <w:rPr>
          <w:szCs w:val="24"/>
        </w:rPr>
        <w:fldChar w:fldCharType="end"/>
      </w:r>
      <w:r w:rsidRPr="00662E51">
        <w:rPr>
          <w:szCs w:val="24"/>
        </w:rPr>
        <w:t xml:space="preserve">: it is so marginal that very few Britons acquire a council home. Indeed, as of 2021, only about 17 percent of the population in England and Wales rent from a council or a housing association </w:t>
      </w:r>
      <w:r w:rsidRPr="00662E51">
        <w:rPr>
          <w:szCs w:val="24"/>
        </w:rPr>
        <w:fldChar w:fldCharType="begin"/>
      </w:r>
      <w:r w:rsidRPr="00662E51">
        <w:rPr>
          <w:szCs w:val="24"/>
        </w:rPr>
        <w:instrText xml:space="preserve"> ADDIN ZOTERO_ITEM CSL_CITATION {"citationID":"EiwT5UlZ","properties":{"formattedCitation":"(Office for National Statistics 2023)","plainCitation":"(Office for National Statistics 2023)","noteIndex":0},"citationItems":[{"id":7080,"uris":["http://zotero.org/users/8977980/items/NDD2J3P2"],"itemData":{"id":7080,"type":"webpage","title":"Housing, England and Wales: Census 2021","URL":"https://www.ons.gov.uk/peoplepopulationandcommunity/housing/bulletins/housingenglandandwales/census2021#cite-this-statistical-bulletin","author":[{"literal":"Office for National Statistics"}],"accessed":{"date-parts":[["2025",11,17]]},"issued":{"date-parts":[["2023",1,5]]}}}],"schema":"https://github.com/citation-style-language/schema/raw/master/csl-citation.json"} </w:instrText>
      </w:r>
      <w:r w:rsidRPr="00662E51">
        <w:rPr>
          <w:szCs w:val="24"/>
        </w:rPr>
        <w:fldChar w:fldCharType="separate"/>
      </w:r>
      <w:r w:rsidRPr="00662E51">
        <w:rPr>
          <w:szCs w:val="24"/>
        </w:rPr>
        <w:t>(Office for National Statistics 2023)</w:t>
      </w:r>
      <w:r w:rsidRPr="00662E51">
        <w:rPr>
          <w:szCs w:val="24"/>
        </w:rPr>
        <w:fldChar w:fldCharType="end"/>
      </w:r>
      <w:r w:rsidRPr="00662E51">
        <w:rPr>
          <w:szCs w:val="24"/>
        </w:rPr>
        <w:t>.</w:t>
      </w:r>
    </w:p>
    <w:p w14:paraId="757547FB" w14:textId="1440D4CB" w:rsidR="00CA6F09" w:rsidRDefault="00CA6F09" w:rsidP="00F56305">
      <w:pPr>
        <w:spacing w:line="360" w:lineRule="auto"/>
        <w:ind w:left="0" w:firstLine="720"/>
        <w:contextualSpacing/>
        <w:rPr>
          <w:szCs w:val="24"/>
        </w:rPr>
      </w:pPr>
      <w:r w:rsidRPr="00662E51">
        <w:rPr>
          <w:szCs w:val="24"/>
        </w:rPr>
        <w:t xml:space="preserve">Beginning in the 1970s, council housing began to be the target of a territorial stigmatisation that denigrated the council estate as spaces of disrepute, crime, and social ills that must be destroyed </w:t>
      </w:r>
      <w:r w:rsidRPr="00662E51">
        <w:rPr>
          <w:szCs w:val="24"/>
        </w:rPr>
        <w:fldChar w:fldCharType="begin"/>
      </w:r>
      <w:r w:rsidR="001B2CAA">
        <w:rPr>
          <w:szCs w:val="24"/>
        </w:rPr>
        <w:instrText xml:space="preserve"> ADDIN ZOTERO_ITEM CSL_CITATION {"citationID":"wEkOCoZM","properties":{"formattedCitation":"(C. Johnston and Mooney 2007; Slater 2018b)","plainCitation":"(C. Johnston and Mooney 2007; Slater 2018b)","noteIndex":0},"citationItems":[{"id":4027,"uris":["http://zotero.org/users/8977980/items/8HIRKD7J"],"itemData":{"id":4027,"type":"chapter","container-title":"Securing an Urban Renaissance","ISBN":"978-1-84742-247-7","publisher":"Policy Press","publisher-place":"Bristol, UNITED KINGDOM","source":"ProQuest Ebook Central","title":"‘Problem’ people, ‘problem’ places? New Labour and council estates","URL":"http://ebookcentral.proquest.com/lib/durham/detail.action?docID=419289","editor":[{"family":"Atkinson","given":"Rowland"},{"family":"Helms","given":"Gesma"}],"author":[{"family":"Johnston","given":"Charlie"},{"family":"Mooney","given":"Gerry"}],"accessed":{"date-parts":[["2023",3,15]]},"issued":{"date-parts":[["2007"]]}}},{"id":"n0Saldgp/lTrFgxr9","uris":["http://zotero.org/users/8977980/items/G54SJBAX"],"itemData":{"id":"nJiY42fs/ru8uKYlS","type":"article-journal","abstract":"This article explores the history and traces the realisation of a category that was invented by journalists, amplified by free market think tanks and converted into policy doxa (common sense) by politicians in the United Kingdom: the ‘sink estate’. This derogatory designator, signifying social housing estates that supposedly create poverty, family breakdown, worklessness, welfare dependency, antisocial behaviour and personal irresponsibility, has become the symbolic frame justifying current policies towards social housing that have resulted in considerable social suffering and intensified dislocation. The article deploys a conceptual articulation of agnotology (the intentional production of ignorance) with Bourdieu’s theory of symbolic power to understand the institutional arrangements and cognitive systems structuring deeply unequal social relations. Specifically, the highly influential publications on housing by a free market think tank, Policy Exchange, are dissected in order to demonstrate how the activation of territorial stigma has become an instrument of urban politics. The ‘sink estate’, it is argued, is the semantic battering ram in the ideological assault on social housing, deflecting attention away from social housing not only as urgent necessity during a serious crisis of affordability, but as incubator of community, solidarity, shelter and home.","container-title":"The Sociological Review","DOI":"10.1177/0038026118777451","ISSN":"0038-0261","issue":"4","journalAbbreviation":"The Sociological Review","language":"en","note":"publisher: SAGE Publications Ltd","page":"877-897","source":"SAGE Journals","title":"The invention of the ‘sink estate’: Consequential categorisation and the UK housing crisis","title-short":"The invention of the ‘sink estate’","volume":"66","author":[{"family":"Slater","given":"Tom"}],"issued":{"date-parts":[["2018",7,1]]}}}],"schema":"https://github.com/citation-style-language/schema/raw/master/csl-citation.json"} </w:instrText>
      </w:r>
      <w:r w:rsidRPr="00662E51">
        <w:rPr>
          <w:szCs w:val="24"/>
        </w:rPr>
        <w:fldChar w:fldCharType="separate"/>
      </w:r>
      <w:r w:rsidR="00213B80" w:rsidRPr="00213B80">
        <w:t>(C. Johnston and Mooney 2007; Slater 2018b)</w:t>
      </w:r>
      <w:r w:rsidRPr="00662E51">
        <w:rPr>
          <w:szCs w:val="24"/>
        </w:rPr>
        <w:fldChar w:fldCharType="end"/>
      </w:r>
      <w:r w:rsidRPr="00662E51">
        <w:rPr>
          <w:szCs w:val="24"/>
        </w:rPr>
        <w:t xml:space="preserve">. Territorial stigma refers to the marriage of symbolic power (from Bourdieu) and stigma (from Goffman), turning </w:t>
      </w:r>
      <w:r w:rsidRPr="00662E51">
        <w:rPr>
          <w:i/>
          <w:iCs/>
          <w:szCs w:val="24"/>
        </w:rPr>
        <w:t>place</w:t>
      </w:r>
      <w:r w:rsidRPr="00662E51">
        <w:rPr>
          <w:szCs w:val="24"/>
        </w:rPr>
        <w:t xml:space="preserve"> into a “distinctive anchor of social discredit” </w:t>
      </w:r>
      <w:r w:rsidRPr="00662E51">
        <w:rPr>
          <w:szCs w:val="24"/>
        </w:rPr>
        <w:fldChar w:fldCharType="begin"/>
      </w:r>
      <w:r w:rsidR="008835AB" w:rsidRPr="00662E51">
        <w:rPr>
          <w:szCs w:val="24"/>
        </w:rPr>
        <w:instrText xml:space="preserve"> ADDIN ZOTERO_ITEM CSL_CITATION {"citationID":"6zjfONBg","properties":{"formattedCitation":"(Wacquant et al. 2014, 1272)","plainCitation":"(Wacquant et al. 2014, 1272)","noteIndex":0},"citationItems":[{"id":4557,"uris":["http://zotero.org/users/8977980/items/QNSJUP9M"],"itemData":{"id":4557,"type":"article-journal","abstract":"This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Borges"}],"issued":{"date-parts":[["2014",6,1]]}},"locator":"1272"}],"schema":"https://github.com/citation-style-language/schema/raw/master/csl-citation.json"} </w:instrText>
      </w:r>
      <w:r w:rsidRPr="00662E51">
        <w:rPr>
          <w:szCs w:val="24"/>
        </w:rPr>
        <w:fldChar w:fldCharType="separate"/>
      </w:r>
      <w:r w:rsidRPr="00662E51">
        <w:rPr>
          <w:szCs w:val="24"/>
        </w:rPr>
        <w:t>(Wacquant et al. 2014, 1272)</w:t>
      </w:r>
      <w:r w:rsidRPr="00662E51">
        <w:rPr>
          <w:szCs w:val="24"/>
        </w:rPr>
        <w:fldChar w:fldCharType="end"/>
      </w:r>
      <w:r w:rsidRPr="00662E51">
        <w:rPr>
          <w:szCs w:val="24"/>
        </w:rPr>
        <w:t xml:space="preserve">. That is, the mere association between an individual and their address can bring about a stigmatisation like that of physical disability or racism. Disreputable places are not a new phenomenon, but Wacquant </w:t>
      </w:r>
      <w:r w:rsidRPr="00996186">
        <w:rPr>
          <w:szCs w:val="24"/>
        </w:rPr>
        <w:t>et al.</w:t>
      </w:r>
      <w:r w:rsidRPr="00662E51">
        <w:rPr>
          <w:szCs w:val="24"/>
        </w:rPr>
        <w:t xml:space="preserve"> </w:t>
      </w:r>
      <w:r w:rsidRPr="00662E51">
        <w:rPr>
          <w:szCs w:val="24"/>
        </w:rPr>
        <w:fldChar w:fldCharType="begin"/>
      </w:r>
      <w:r w:rsidR="008835AB" w:rsidRPr="00662E51">
        <w:rPr>
          <w:szCs w:val="24"/>
        </w:rPr>
        <w:instrText xml:space="preserve"> ADDIN ZOTERO_ITEM CSL_CITATION {"citationID":"2W06juIO","properties":{"formattedCitation":"(2014)","plainCitation":"(2014)","noteIndex":0},"citationItems":[{"id":4557,"uris":["http://zotero.org/users/8977980/items/QNSJUP9M"],"itemData":{"id":4557,"type":"article-journal","abstract":"This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Borges"}],"issued":{"date-parts":[["2014",6,1]]}},"suppress-author":true}],"schema":"https://github.com/citation-style-language/schema/raw/master/csl-citation.json"} </w:instrText>
      </w:r>
      <w:r w:rsidRPr="00662E51">
        <w:rPr>
          <w:szCs w:val="24"/>
        </w:rPr>
        <w:fldChar w:fldCharType="separate"/>
      </w:r>
      <w:r w:rsidRPr="00662E51">
        <w:rPr>
          <w:szCs w:val="24"/>
        </w:rPr>
        <w:t>(2014)</w:t>
      </w:r>
      <w:r w:rsidRPr="00662E51">
        <w:rPr>
          <w:szCs w:val="24"/>
        </w:rPr>
        <w:fldChar w:fldCharType="end"/>
      </w:r>
      <w:r w:rsidRPr="00662E51">
        <w:rPr>
          <w:szCs w:val="24"/>
        </w:rPr>
        <w:t xml:space="preserve"> argue that their contemporary form is different in a few ways. They have been given new terms that circulate in national discourse as </w:t>
      </w:r>
      <w:r w:rsidRPr="00662E51">
        <w:rPr>
          <w:szCs w:val="24"/>
        </w:rPr>
        <w:lastRenderedPageBreak/>
        <w:t xml:space="preserve">places of disrepute </w:t>
      </w:r>
      <w:r w:rsidRPr="00662E51">
        <w:rPr>
          <w:szCs w:val="24"/>
        </w:rPr>
        <w:fldChar w:fldCharType="begin"/>
      </w:r>
      <w:r w:rsidR="001B2CAA">
        <w:rPr>
          <w:szCs w:val="24"/>
        </w:rPr>
        <w:instrText xml:space="preserve"> ADDIN ZOTERO_ITEM CSL_CITATION {"citationID":"KnLzAhls","properties":{"formattedCitation":"(e.g. the \\uc0\\u8216{}sink estate\\uc0\\u8217{} in the UK; Slater 2018b)","plainCitation":"(e.g. the ‘sink estate’ in the UK; Slater 2018b)","noteIndex":0},"citationItems":[{"id":"n0Saldgp/lTrFgxr9","uris":["http://zotero.org/users/8977980/items/G54SJBAX"],"itemData":{"id":"TBnkwMlc/UvNsMPtV","type":"article-journal","abstract":"This article explores the history and traces the realisation of a category that was invented by journalists, amplified by free market think tanks and converted into policy doxa (common sense) by politicians in the United Kingdom: the ‘sink estate’. This derogatory designator, signifying social housing estates that supposedly create poverty, family breakdown, worklessness, welfare dependency, antisocial behaviour and personal irresponsibility, has become the symbolic frame justifying current policies towards social housing that have resulted in considerable social suffering and intensified dislocation. The article deploys a conceptual articulation of agnotology (the intentional production of ignorance) with Bourdieu’s theory of symbolic power to understand the institutional arrangements and cognitive systems structuring deeply unequal social relations. Specifically, the highly influential publications on housing by a free market think tank, Policy Exchange, are dissected in order to demonstrate how the activation of territorial stigma has become an instrument of urban politics. The ‘sink estate’, it is argued, is the semantic battering ram in the ideological assault on social housing, deflecting attention away from social housing not only as urgent necessity during a serious crisis of affordability, but as incubator of community, solidarity, shelter and home.","container-title":"The Sociological Review","DOI":"10.1177/0038026118777451","ISSN":"0038-0261","issue":"4","journalAbbreviation":"The Sociological Review","language":"en","note":"publisher: SAGE Publications Ltd","page":"877-897","source":"SAGE Journals","title":"The invention of the ‘sink estate’: Consequential categorisation and the UK housing crisis","title-short":"The invention of the ‘sink estate’","volume":"66","author":[{"family":"Slater","given":"Tom"}],"issued":{"date-parts":[["2018",7,1]]}},"prefix":"e.g. the 'sink estate' in the UK; "}],"schema":"https://github.com/citation-style-language/schema/raw/master/csl-citation.json"} </w:instrText>
      </w:r>
      <w:r w:rsidRPr="00662E51">
        <w:rPr>
          <w:szCs w:val="24"/>
        </w:rPr>
        <w:fldChar w:fldCharType="separate"/>
      </w:r>
      <w:r w:rsidRPr="00662E51">
        <w:rPr>
          <w:rFonts w:cs="Times New Roman"/>
          <w:kern w:val="0"/>
          <w:szCs w:val="24"/>
        </w:rPr>
        <w:t>(e.g. the ‘sink estate’ in the UK; Slater 2018b)</w:t>
      </w:r>
      <w:r w:rsidRPr="00662E51">
        <w:rPr>
          <w:szCs w:val="24"/>
        </w:rPr>
        <w:fldChar w:fldCharType="end"/>
      </w:r>
      <w:r w:rsidRPr="00662E51">
        <w:rPr>
          <w:szCs w:val="24"/>
        </w:rPr>
        <w:t xml:space="preserve">. Stigmatised areas are similarly positioned as places of social disorganisation and are deeply racialised. Lastly, they elicit retribution from the state, a revanchist approach that punishes and polices an estate’s residents simply because they live there </w:t>
      </w:r>
      <w:r w:rsidRPr="00662E51">
        <w:rPr>
          <w:szCs w:val="24"/>
        </w:rPr>
        <w:fldChar w:fldCharType="begin"/>
      </w:r>
      <w:r w:rsidR="00213B80">
        <w:rPr>
          <w:szCs w:val="24"/>
        </w:rPr>
        <w:instrText xml:space="preserve"> ADDIN ZOTERO_ITEM CSL_CITATION {"citationID":"iUPpJO3H","properties":{"formattedCitation":"(Atkinson 2006; N. Smith 2005)","plainCitation":"(Atkinson 2006; N. Smith 2005)","noteIndex":0},"citationItems":[{"id":2662,"uris":["http://zotero.org/users/8977980/items/3CZ99R6Z"],"itemData":{"id":2662,"type":"chapter","abstract":"This book is the first comprehensive volume exploring an issue of growing importance to policy makers, academics, housing practitioners and students. It brings together contributions from the most prominent scholars in the field to provide a range of theoretical perspectives, critical analysis and empirical research findings about the role of housing and urban governance in addressing anti-social behaviour. Contributors assess constructions of anti-social behaviour in policy discourse, identify how housing is increasingly central to the governance of anti-social behaviour and critically evaluate a wide range of measures used by housing and other agencies to tackle what is perceived to be a growing social problem. Although the book focuses on the UK, comparative international perspectives are provided from France, Australia and the United States. The book covers definitions of anti-social behaviour and policy responses including key new legislation and the legal role of social landlords in governing anti-social behaviour. There is comprehensive coverage of key measures including eviction, probationary tenancies, Anti-social Behaviour Orders, mediation and Acceptable Behaviour Contracts, and of innovative developments such as gated communities, intensive support services and the use of private security. Housing, urban governance and anti-social behaviour will be of interest to academics, policy-makers, practitioners and students in the fields of housing, urban studies, social policy, legal studies and criminology.","container-title":"Housing, Urban Governance and Anti-social Behaviour: Perspectives, Policy and Practice","ISBN":"978-1-86134-684-1","language":"en","note":"Google-Books-ID: P981DwAAQBAJ","page":"99-116","publisher":"Policy Press","source":"Google Books","title":"Spaces of discipline and control: the compounded citizenship of social renting","editor":[{"family":"Flint","given":"John"}],"author":[{"family":"Atkinson","given":"Rowland"}],"issued":{"date-parts":[["2006",7,19]]}}},{"id":6626,"uris":["http://zotero.org/users/8977980/items/Z4PVAQFD"],"itemData":{"id":6626,"type":"book","abstract":"Why have so many central and inner cities in Europe, North America and Australia been so radically revamped in the last three decades, converting urban decay into new chic? Will the process continue in the twenty-first century or has it ended? What does this mean for the people who live there? Can they do anything about it? This book challenges conventional wisdom, which holds gentrification to be the simple outcome of new middle-class tastes and a demand for urban living. It reveals gentrification as part of a much larger shift in the political economy and culture of the late twentieth century. Documenting in gritty detail the conflicts that gentrification brings to the new urban 'frontiers', the author explores the interconnections of urban policy, patterns of investment, eviction, and homelessness. The failure of liberal urban policy and the end of the 1980s financial boom have made the end-of-the-century city a darker and more dangerous place. Public policy and the private market are conspiring against minorities, working people, the poor, and the homeless as never before. In the emerging revanchist city, gentrification has become part of this policy of revenge.","DOI":"10.4324/9780203975640","ISBN":"978-0-203-97564-0","number-of-pages":"288","publisher":"Routledge","publisher-place":"London","title":"The New Urban Frontier: Gentrification and the Revanchist City","title-short":"The New Urban Frontier","author":[{"family":"Smith","given":"Neil"}],"issued":{"date-parts":[["2005",10,26]]}}}],"schema":"https://github.com/citation-style-language/schema/raw/master/csl-citation.json"} </w:instrText>
      </w:r>
      <w:r w:rsidRPr="00662E51">
        <w:rPr>
          <w:szCs w:val="24"/>
        </w:rPr>
        <w:fldChar w:fldCharType="separate"/>
      </w:r>
      <w:r w:rsidR="00213B80" w:rsidRPr="00213B80">
        <w:t>(Atkinson 2006; N. Smith 2005)</w:t>
      </w:r>
      <w:r w:rsidRPr="00662E51">
        <w:rPr>
          <w:szCs w:val="24"/>
        </w:rPr>
        <w:fldChar w:fldCharType="end"/>
      </w:r>
      <w:r w:rsidRPr="00662E51">
        <w:rPr>
          <w:szCs w:val="24"/>
        </w:rPr>
        <w:t xml:space="preserve">. Council tenants specifically have </w:t>
      </w:r>
      <w:r w:rsidR="003D358E">
        <w:rPr>
          <w:szCs w:val="24"/>
        </w:rPr>
        <w:t>been impacted by territorial stigmatisation</w:t>
      </w:r>
      <w:r w:rsidR="00C33D3A">
        <w:rPr>
          <w:szCs w:val="24"/>
        </w:rPr>
        <w:t xml:space="preserve">, recast </w:t>
      </w:r>
      <w:r w:rsidRPr="00662E51">
        <w:rPr>
          <w:szCs w:val="24"/>
        </w:rPr>
        <w:t xml:space="preserve">as an underclass who are locked out of mainstream society through the label of the ‘chav’ </w:t>
      </w:r>
      <w:r w:rsidRPr="00662E51">
        <w:rPr>
          <w:szCs w:val="24"/>
        </w:rPr>
        <w:fldChar w:fldCharType="begin"/>
      </w:r>
      <w:r w:rsidR="001B2CAA">
        <w:rPr>
          <w:szCs w:val="24"/>
        </w:rPr>
        <w:instrText xml:space="preserve"> ADDIN ZOTERO_ITEM CSL_CITATION {"citationID":"WJbLAxwg","properties":{"formattedCitation":"(Hayward and Yar 2006)","plainCitation":"(Hayward and Yar 2006)","noteIndex":0},"citationItems":[{"id":"n0Saldgp/qBPW3CiO","uris":["http://zotero.org/users/8977980/items/LLDWYHL7"],"itemData":{"id":"wWmEAcdE/nHn4YifQ","type":"article-journal","abstract":"This article argues that the decline of the ?underclass? discourse in the UK, and the rise of the ?chav?, are not unconnected. We contend that there are numerous homologies between the meaning content, objects and tenor of these two terms, and suggest that the ?chav? represents a popular reconfiguration of the underclass idea. However, we are also keen to note the way in which the concept of social marginality is reconfigured in this substitution. Specifically, we argue that the discourse of the underclass turned crucially upon a (perceived or real) pathology in the working classes? relations to production and socially productive labour. Its emergent successor, the concept of the ?chav?, is in contrast oriented to purportedly pathological class dispositions in relation to the sphere of consumption. In a bid to highlight this shift we consider the emergence of debates upon social marginality and consumption practices, and attempt to locate popular media discourse surrounding the ?chav? within this frame, including the various ways in which purportedly pathological consumption practices serve to organise this form of social classification.","container-title":"Crime, Media, Culture","DOI":"10.1177/1741659006061708","ISSN":"1741-6590","issue":"1","journalAbbreviation":"Crime, Media, Culture","language":"en","note":"publisher: SAGE Publications","page":"9-28","source":"SAGE Journals","title":"The ‘chav’ phenomenon: Consumption, media and the construction of a new underclass","title-short":"The ‘chav’ phenomenon","volume":"2","author":[{"family":"Hayward","given":"Keith"},{"family":"Yar","given":"Majid"}],"issued":{"date-parts":[["2006",4,1]]}}}],"schema":"https://github.com/citation-style-language/schema/raw/master/csl-citation.json"} </w:instrText>
      </w:r>
      <w:r w:rsidRPr="00662E51">
        <w:rPr>
          <w:szCs w:val="24"/>
        </w:rPr>
        <w:fldChar w:fldCharType="separate"/>
      </w:r>
      <w:r w:rsidRPr="00662E51">
        <w:rPr>
          <w:szCs w:val="24"/>
        </w:rPr>
        <w:t>(Hayward and Yar 2006)</w:t>
      </w:r>
      <w:r w:rsidRPr="00662E51">
        <w:rPr>
          <w:szCs w:val="24"/>
        </w:rPr>
        <w:fldChar w:fldCharType="end"/>
      </w:r>
      <w:r w:rsidRPr="00662E51">
        <w:rPr>
          <w:szCs w:val="24"/>
        </w:rPr>
        <w:t xml:space="preserve">. The ‘chav’ is primarily rooted in portrayals of white, working-class residents of council housing </w:t>
      </w:r>
      <w:r w:rsidRPr="00662E51">
        <w:rPr>
          <w:szCs w:val="24"/>
        </w:rPr>
        <w:fldChar w:fldCharType="begin"/>
      </w:r>
      <w:r w:rsidR="001B2CAA">
        <w:rPr>
          <w:szCs w:val="24"/>
        </w:rPr>
        <w:instrText xml:space="preserve"> ADDIN ZOTERO_ITEM CSL_CITATION {"citationID":"7SWOVYDY","properties":{"formattedCitation":"(Adams and Raisborough 2011; Strong 2014; Tyler 2008)","plainCitation":"(Adams and Raisborough 2011; Strong 2014; Tyler 2008)","noteIndex":0},"citationItems":[{"id":2197,"uris":["http://zotero.org/users/8977980/items/P9I29SRN"],"itemData":{"id":2197,"type":"article-journal","abstract":"This paper applies Joffe and Staerklé?s self-control ethos to cultural representations of the white working class. We initially follow their identification of three aspects of the self-control ethos ? mind, body, and destiny ? to show the explanatory value of the concept, before considering four possible avenues through which the self-control ethos may be developed: the extent to which it is the interrelationship between the separate aspects of the self-control ethos which lends them their visceral, emotional, and symbolic power; that gender differentiation is an important element in the specific content of stereotypes; that some stereotype content relates to issues of containment; and that a tighter contextualization is afforded to the self-control ethos by considering self and other relations in the terms of a consumer culture. These are offered as possible directions for the future development of a social representational approach sensitive to the contemporary cultural context.","container-title":"Culture &amp; Psychology","DOI":"10.1177/1354067X10388852","ISSN":"1354-067X","issue":"1","page":"81-97","publisher":"SAGE Publications Ltd","source":"SAGE Journals","title":"The self-control ethos and the ‘chav’: Unpacking cultural representations of the white working class","title-short":"The self-control ethos and the ‘chav’","volume":"17","author":[{"family":"Adams","given":"Matthew"},{"family":"Raisborough","given":"Jayne"}],"issued":{"date-parts":[["2011",3,1]]}}},{"id":2644,"uris":["http://zotero.org/users/8977980/items/RA7H2CYX"],"itemData":{"id":2644,"type":"article-journal","container-title":"Political Geography","DOI":"10.1016/j.polgeo.2014.07.008","ISSN":"0962-6298","journalAbbreviation":"Political Geography","language":"en","page":"117-120","source":"ScienceDirect","title":"Underclass ontologies","volume":"42","author":[{"family":"Strong","given":"Samuel"}],"issued":{"date-parts":[["2014",9,1]]}}},{"id":"n0Saldgp/YQB7pwik","uris":["http://zotero.org/users/8977980/items/2K3YH83R"],"itemData":{"id":1171,"type":"article-journal","abstract":"In the last three years a new vocabulary of social class has emerged in Britain. The word “chav,” alongside its various synonyms and regional variations, has become a ubiquitous term of abuse for the white poor. This article explores the emergence of the grotesque and comic figure of the chav within a range of contemporary British media focusing on the role played by disgust reactions in the generation and circulation of the chav figure through popular media. Concentrating on the figure of the female chav, and the vilification of young white working-class mothers, this article argues that the “chav mum” is produced through disgust reactions as an intensely affective figure that embodies historically familiar and contemporary anxieties about female sexuality, reproduction, fertility, and “racial mixing.” The reason Vicky Pollard caught the public imagination is that she embodies with such fearful accuracy of several of the great scourges of contemporary Britain: aggressive all-female gangs of embittered, hormonal, drunken teenagers; gym slip mums who choose to get pregnant as a career option; pasty-faced, lard-gutted slappers who'll drop their knickers in the blink of an eye … these people do exist and are every bit as ripe and just a target for social satire as were, say, the raddled working-class drunks sent up by Hogarth in Gin Lane. (James Delingpole 2006, p. 25) Disgust and contempt motivate and sustain the low ranking of things, people, and actions deemed disgusting and contemptible. (William Miller 1997, p. xiv)","container-title":"Feminist Media Studies","DOI":"10.1080/14680770701824779","ISSN":"1468-0777","issue":"1","note":"publisher: Routledge\n_eprint: https://doi.org/10.1080/14680770701824779","page":"17-34","source":"Taylor and Francis+NEJM","title":"“Chav Mum Chav Scum”","volume":"8","author":[{"family":"Tyler","given":"Imogen"}],"issued":{"date-parts":[["2008",3,1]]}}}],"schema":"https://github.com/citation-style-language/schema/raw/master/csl-citation.json"} </w:instrText>
      </w:r>
      <w:r w:rsidRPr="00662E51">
        <w:rPr>
          <w:szCs w:val="24"/>
        </w:rPr>
        <w:fldChar w:fldCharType="separate"/>
      </w:r>
      <w:r w:rsidRPr="00662E51">
        <w:rPr>
          <w:szCs w:val="24"/>
        </w:rPr>
        <w:t>(Adams and Raisborough 2011; Strong 2014; Tyler 2008)</w:t>
      </w:r>
      <w:r w:rsidRPr="00662E51">
        <w:rPr>
          <w:szCs w:val="24"/>
        </w:rPr>
        <w:fldChar w:fldCharType="end"/>
      </w:r>
      <w:r w:rsidRPr="00662E51">
        <w:rPr>
          <w:szCs w:val="24"/>
        </w:rPr>
        <w:t xml:space="preserve">. Bennett </w:t>
      </w:r>
      <w:r w:rsidRPr="00662E51">
        <w:rPr>
          <w:szCs w:val="24"/>
        </w:rPr>
        <w:fldChar w:fldCharType="begin"/>
      </w:r>
      <w:r w:rsidR="00213B80">
        <w:rPr>
          <w:szCs w:val="24"/>
        </w:rPr>
        <w:instrText xml:space="preserve"> ADDIN ZOTERO_ITEM CSL_CITATION {"citationID":"b5KwDfy6","properties":{"unsorted":true,"formattedCitation":"(2013, 160; see also K. Hamilton 2012)","plainCitation":"(2013, 160; see also K. Hamilton 2012)","noteIndex":0},"citationItems":[{"id":2171,"uris":["http://zotero.org/users/8977980/items/Y7YJYZXT"],"itemData":{"id":2171,"type":"article-journal","container-title":"Social Semiotics","DOI":"10.1080/10350330.2012.708158","ISSN":"1035-0330, 1470-1219","issue":"1","journalAbbreviation":"Social Semiotics","language":"en","page":"146-162","source":"DOI.org (Crossref)","title":"&lt;i&gt;Chav-spotting&lt;/i&gt; in Britain: the representation of social class as private choice","title-short":"&lt;i&gt;Chav-spotting&lt;/i&gt; in Britain","volume":"23","author":[{"family":"Bennett","given":"Joe"}],"issued":{"date-parts":[["2013",2]]}},"locator":"160","label":"page","suppress-author":true},{"id":3637,"uris":["http://zotero.org/users/8977980/items/VT4JXKBS"],"itemData":{"id":3637,"type":"article-journal","abstract":"This article highlights the paradoxical coping strategies employed by low-income families. Based on in-depth interviews with 30 families in the UK, it is demonstrated that individuals initiate strategies to avoid the social effects of stigmatization and alleviate threats to social identity. In particular, families engage in conspicuous consumption, with emphasis on ensuring children have access to the 'right' brands. This can be interpreted in two opposing ways. Low-income consumers, in particular single mothers, may be understood as coping within the challenging context of consumer culture to improve the standard of living for their families. However, drawing on underclass discourse surrounding 'chav' culture and single mothers, it is demonstrated that the coping strategies employed to achieve approval in fact fuel further stigmatization and instead of creating inclusion have the opposite outcome of exclusion and marginalization.","container-title":"Sociology-the Journal of the British Sociological Association","DOI":"10.1177/0038038511416146","ISSN":"0038-0385","issue":"1","journalAbbreviation":"Sociol.-J. Brit. Sociol. Assoc.","language":"English","note":"publisher-place: London\nWOS:000300375100007","page":"74-90","publisher":"Sage Publications Ltd","source":"Web of Science Nextgen","title":"Low-income Families and Coping through Brands: Inclusion or Stigma?","title-short":"Low-income Families and Coping through Brands","volume":"46","author":[{"family":"Hamilton","given":"Kathy"}],"issued":{"date-parts":[["2012",2]]}},"prefix":"see also"}],"schema":"https://github.com/citation-style-language/schema/raw/master/csl-citation.json"} </w:instrText>
      </w:r>
      <w:r w:rsidRPr="00662E51">
        <w:rPr>
          <w:szCs w:val="24"/>
        </w:rPr>
        <w:fldChar w:fldCharType="separate"/>
      </w:r>
      <w:r w:rsidR="00213B80" w:rsidRPr="00213B80">
        <w:t>(2013, 160; see also K. Hamilton 2012)</w:t>
      </w:r>
      <w:r w:rsidRPr="00662E51">
        <w:rPr>
          <w:szCs w:val="24"/>
        </w:rPr>
        <w:fldChar w:fldCharType="end"/>
      </w:r>
      <w:r w:rsidRPr="00662E51">
        <w:rPr>
          <w:szCs w:val="24"/>
        </w:rPr>
        <w:t xml:space="preserve"> reveals how the public constructs the label of ‘chav’ through association with certain consumption habits, which reinforces the neoliberal suggestion that poverty “is the fault of those who are simply ‘choice incompetent.’” The ‘chav’ is also portrayed as an apolitical subject, further masking the intensely political processes that denigrate the category </w:t>
      </w:r>
      <w:r w:rsidRPr="00662E51">
        <w:rPr>
          <w:szCs w:val="24"/>
        </w:rPr>
        <w:fldChar w:fldCharType="begin"/>
      </w:r>
      <w:r w:rsidRPr="00662E51">
        <w:rPr>
          <w:szCs w:val="24"/>
        </w:rPr>
        <w:instrText xml:space="preserve"> ADDIN ZOTERO_ITEM CSL_CITATION {"citationID":"9z9aftwU","properties":{"formattedCitation":"(Strong 2014)","plainCitation":"(Strong 2014)","noteIndex":0},"citationItems":[{"id":2644,"uris":["http://zotero.org/users/8977980/items/RA7H2CYX"],"itemData":{"id":2644,"type":"article-journal","container-title":"Political Geography","DOI":"10.1016/j.polgeo.2014.07.008","ISSN":"0962-6298","journalAbbreviation":"Political Geography","language":"en","page":"117-120","source":"ScienceDirect","title":"Underclass ontologies","volume":"42","author":[{"family":"Strong","given":"Samuel"}],"issued":{"date-parts":[["2014",9,1]]}}}],"schema":"https://github.com/citation-style-language/schema/raw/master/csl-citation.json"} </w:instrText>
      </w:r>
      <w:r w:rsidRPr="00662E51">
        <w:rPr>
          <w:szCs w:val="24"/>
        </w:rPr>
        <w:fldChar w:fldCharType="separate"/>
      </w:r>
      <w:r w:rsidRPr="00662E51">
        <w:rPr>
          <w:szCs w:val="24"/>
        </w:rPr>
        <w:t>(Strong 2014)</w:t>
      </w:r>
      <w:r w:rsidRPr="00662E51">
        <w:rPr>
          <w:szCs w:val="24"/>
        </w:rPr>
        <w:fldChar w:fldCharType="end"/>
      </w:r>
      <w:r w:rsidRPr="00662E51">
        <w:rPr>
          <w:szCs w:val="24"/>
        </w:rPr>
        <w:t xml:space="preserve">. </w:t>
      </w:r>
      <w:r w:rsidR="00FA0339">
        <w:rPr>
          <w:szCs w:val="24"/>
        </w:rPr>
        <w:t>Lastly, t</w:t>
      </w:r>
      <w:r w:rsidR="0037176A">
        <w:rPr>
          <w:szCs w:val="24"/>
        </w:rPr>
        <w:t xml:space="preserve">he ‘chav’ is understood as </w:t>
      </w:r>
      <w:r w:rsidR="0037176A">
        <w:rPr>
          <w:bCs/>
          <w:iCs/>
          <w:szCs w:val="24"/>
        </w:rPr>
        <w:t>t</w:t>
      </w:r>
      <w:r w:rsidR="0037176A" w:rsidRPr="00662E51">
        <w:rPr>
          <w:szCs w:val="24"/>
        </w:rPr>
        <w:t xml:space="preserve">he ‘undeserving poor’ </w:t>
      </w:r>
      <w:r w:rsidR="0037176A" w:rsidRPr="00662E51">
        <w:rPr>
          <w:szCs w:val="24"/>
        </w:rPr>
        <w:fldChar w:fldCharType="begin"/>
      </w:r>
      <w:r w:rsidR="00A75DC7">
        <w:rPr>
          <w:szCs w:val="24"/>
        </w:rPr>
        <w:instrText xml:space="preserve"> ADDIN ZOTERO_ITEM CSL_CITATION {"citationID":"dIXN9IMC","properties":{"formattedCitation":"(Katz [1989] 2013; Tyler 2013)","plainCitation":"(Katz [1989] 2013; Tyler 2013)","noteIndex":0},"citationItems":[{"id":7087,"uris":["http://zotero.org/users/8977980/items/HET4FXWX"],"itemData":{"id":7087,"type":"book","abstract":"First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light.\n               \n               \n                \n              ,  \n               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light.","edition":"Second Edition","ISBN":"978-0-19-993395-2","number-of-pages":"368","publisher":"Oxford University Press","publisher-place":"Oxford, New York","source":"Oxford University Press","title":"The Undeserving Poor: America's Enduring Confrontation with Poverty: Fully Updated and Revised","title-short":"The Undeserving Poor","author":[{"family":"Katz","given":"Michael B."}],"issued":{"date-parts":[["2013",11,28]]},"original-date":{"date-parts":[["1989"]]}}},{"id":249,"uris":["http://zotero.org/users/8977980/items/DMEF6VBW"],"itemData":{"id":249,"type":"book","edition":"1st edition","ISBN":"978-1-84813-851-3","language":"English","number-of-pages":"224","publisher":"Zed Books Ltd","publisher-place":"London, UK","source":"Amazon","title":"Revolting Subjects: Social Abjection and Resistance in Neoliberal Britain","title-short":"Revolting Subjects","author":[{"family":"Tyler","given":"Imogen"}],"issued":{"date-parts":[["2013",4,11]]}}}],"schema":"https://github.com/citation-style-language/schema/raw/master/csl-citation.json"} </w:instrText>
      </w:r>
      <w:r w:rsidR="0037176A" w:rsidRPr="00662E51">
        <w:rPr>
          <w:szCs w:val="24"/>
        </w:rPr>
        <w:fldChar w:fldCharType="separate"/>
      </w:r>
      <w:r w:rsidR="0037176A" w:rsidRPr="00662E51">
        <w:t>(Katz [1989] 2013; Tyler 2013)</w:t>
      </w:r>
      <w:r w:rsidR="0037176A" w:rsidRPr="00662E51">
        <w:rPr>
          <w:szCs w:val="24"/>
        </w:rPr>
        <w:fldChar w:fldCharType="end"/>
      </w:r>
      <w:r w:rsidR="0037176A">
        <w:rPr>
          <w:szCs w:val="24"/>
        </w:rPr>
        <w:t xml:space="preserve">, whose consumption habits and (lack of) morals render them </w:t>
      </w:r>
      <w:r w:rsidR="00FA0339">
        <w:rPr>
          <w:szCs w:val="24"/>
        </w:rPr>
        <w:t xml:space="preserve">‘not worth’ receiving state support. </w:t>
      </w:r>
      <w:r w:rsidRPr="00662E51">
        <w:rPr>
          <w:szCs w:val="24"/>
        </w:rPr>
        <w:t xml:space="preserve">This underclass is tied to social housing, sometimes explicitly </w:t>
      </w:r>
      <w:r w:rsidRPr="00662E51">
        <w:rPr>
          <w:szCs w:val="24"/>
        </w:rPr>
        <w:fldChar w:fldCharType="begin"/>
      </w:r>
      <w:r w:rsidR="001B2CAA">
        <w:rPr>
          <w:szCs w:val="24"/>
        </w:rPr>
        <w:instrText xml:space="preserve"> ADDIN ZOTERO_ITEM CSL_CITATION {"citationID":"at2EOgkj","properties":{"formattedCitation":"(Flint 2003; C. Johnston and Mooney 2007; Watt 2008)","plainCitation":"(Flint 2003; C. Johnston and Mooney 2007; Watt 2008)","noteIndex":0},"citationItems":[{"id":114,"uris":["http://zotero.org/users/8977980/items/KAMJISUW"],"itemData":{"id":114,"type":"article-journal","abstract":"Recent developments in social housing policy, including large-scale stock transfers, have been proclaimed as marking ‘the death of council housing’ in the UK. The decline of public housing and new techniques for the governance of social housing provision are symbolic of the transformation of welfarist social regimes in advanced liberal democracies. This paper explores recent social housing policy in the UK and suggests that policy developments reflect changes in technologies for governing the conduct of social housing tenants and practitioners. The ethopolitics (Rose 2001) of social housing are characterized by emerging identities of active, entrepreneurial consumption and the invocation of responsibilized community. The paper examines how ethopower is manifested through technologies of social housing governance and identifies conflicts inherent within this new politics of conduct.","container-title":"Economy and Society","DOI":"10.1080/0308514032000107628","ISSN":"0308-5147","issue":"4","note":"_eprint: https://doi.org/10.1080/0308514032000107628","page":"611-629","publisher":"Routledge","source":"Taylor and Francis+NEJM","title":"Housing and ethopolitics: constructing identities of active consumption and responsible community","title-short":"Housing and ethopolitics","volume":"32","author":[{"family":"Flint","given":"John"}],"issued":{"date-parts":[["2003",11,1]]}}},{"id":4027,"uris":["http://zotero.org/users/8977980/items/8HIRKD7J"],"itemData":{"id":4027,"type":"chapter","container-title":"Securing an Urban Renaissance","ISBN":"978-1-84742-247-7","publisher":"Policy Press","publisher-place":"Bristol, UNITED KINGDOM","source":"ProQuest Ebook Central","title":"‘Problem’ people, ‘problem’ places? New Labour and council estates","URL":"http://ebookcentral.proquest.com/lib/durham/detail.action?docID=419289","editor":[{"family":"Atkinson","given":"Rowland"},{"family":"Helms","given":"Gesma"}],"author":[{"family":"Johnston","given":"Charlie"},{"family":"Mooney","given":"Gerry"}],"accessed":{"date-parts":[["2023",3,15]]},"issued":{"date-parts":[["2007"]]}}},{"id":"n0Saldgp/eTTTwRVc","uris":["http://zotero.org/users/8977980/items/WWPKPZ5I"],"itemData":{"id":4025,"type":"article-journal","abstract":"This paper employs critical discourse analysis to examine discourses of council (public) housing tenants. It focuses upon one example of housing activism, a local campaign that mobilized in opposition to a proposed stock transfer of council housing in South East England. The hegemonic societal-wide discourse regarding council tenants is that they constitute a socially excluded ‘underclass’, as in New Labour urban policy and the mass media. In contrast, the paper demonstrates how the housing campaign presented a counter-hegemonic discourse of tenants as ‘ordinary people’. Drawing upon a textual analysis of campaign literature and letters to local newspapers, the paper illustrates how this populist discourse abjured an explicit reference to class identity, but at the same time managed to effectively signify class inequality.","container-title":"Critical Discourse Studies","DOI":"10.1080/17405900802405288","ISSN":"1740-5904","issue":"4","note":"publisher: Routledge\n_eprint: https://doi.org/10.1080/17405900802405288","page":"345-357","source":"Taylor and Francis+NEJM","title":"‘Underclass’ and ‘ordinary people’ discourses: Representing/re-presenting council tenants in a housing campaign","title-short":"‘Underclass’ and ‘ordinary people’ discourses","volume":"5","author":[{"family":"Watt","given":"Paul"}],"issued":{"date-parts":[["2008",11,1]]}}}],"schema":"https://github.com/citation-style-language/schema/raw/master/csl-citation.json"} </w:instrText>
      </w:r>
      <w:r w:rsidRPr="00662E51">
        <w:rPr>
          <w:szCs w:val="24"/>
        </w:rPr>
        <w:fldChar w:fldCharType="separate"/>
      </w:r>
      <w:r w:rsidR="00213B80" w:rsidRPr="00213B80">
        <w:t>(Flint 2003; C. Johnston and Mooney 2007; Watt 2008)</w:t>
      </w:r>
      <w:r w:rsidRPr="00662E51">
        <w:rPr>
          <w:szCs w:val="24"/>
        </w:rPr>
        <w:fldChar w:fldCharType="end"/>
      </w:r>
      <w:r w:rsidRPr="00662E51">
        <w:rPr>
          <w:szCs w:val="24"/>
        </w:rPr>
        <w:t xml:space="preserve"> and sometimes implicitly through the ‘chav’ label. The term, while likely of Romani origin, has sometimes jokingly defined as “Council Housed and Violent</w:t>
      </w:r>
      <w:r w:rsidR="00405B64">
        <w:rPr>
          <w:szCs w:val="24"/>
        </w:rPr>
        <w:t>,</w:t>
      </w:r>
      <w:r w:rsidRPr="00662E51">
        <w:rPr>
          <w:szCs w:val="24"/>
        </w:rPr>
        <w:t>”</w:t>
      </w:r>
      <w:r w:rsidR="00405B64">
        <w:rPr>
          <w:szCs w:val="24"/>
        </w:rPr>
        <w:t xml:space="preserve"> heightening the undeserving-ness of this class</w:t>
      </w:r>
      <w:r w:rsidRPr="00662E51">
        <w:rPr>
          <w:szCs w:val="24"/>
        </w:rPr>
        <w:t xml:space="preserve"> </w:t>
      </w:r>
      <w:r w:rsidRPr="00662E51">
        <w:rPr>
          <w:szCs w:val="24"/>
        </w:rPr>
        <w:fldChar w:fldCharType="begin"/>
      </w:r>
      <w:r w:rsidR="008835AB" w:rsidRPr="00662E51">
        <w:rPr>
          <w:szCs w:val="24"/>
        </w:rPr>
        <w:instrText xml:space="preserve"> ADDIN ZOTERO_ITEM CSL_CITATION {"citationID":"aAaFxGmY","properties":{"formattedCitation":"(Tyler 2013, 162)","plainCitation":"(Tyler 2013, 162)","noteIndex":0},"citationItems":[{"id":249,"uris":["http://zotero.org/users/8977980/items/DMEF6VBW"],"itemData":{"id":249,"type":"book","edition":"1st edition","ISBN":"978-1-84813-851-3","language":"English","number-of-pages":"224","publisher":"Zed Books Ltd","publisher-place":"London, UK","source":"Amazon","title":"Revolting Subjects: Social Abjection and Resistance in Neoliberal Britain","title-short":"Revolting Subjects","author":[{"family":"Tyler","given":"Imogen"}],"issued":{"date-parts":[["2013",4,11]]}},"locator":"162"}],"schema":"https://github.com/citation-style-language/schema/raw/master/csl-citation.json"} </w:instrText>
      </w:r>
      <w:r w:rsidRPr="00662E51">
        <w:rPr>
          <w:szCs w:val="24"/>
        </w:rPr>
        <w:fldChar w:fldCharType="separate"/>
      </w:r>
      <w:r w:rsidRPr="00662E51">
        <w:rPr>
          <w:szCs w:val="24"/>
        </w:rPr>
        <w:t>(Tyler 2013, 162)</w:t>
      </w:r>
      <w:r w:rsidRPr="00662E51">
        <w:rPr>
          <w:szCs w:val="24"/>
        </w:rPr>
        <w:fldChar w:fldCharType="end"/>
      </w:r>
      <w:r w:rsidRPr="00662E51">
        <w:rPr>
          <w:szCs w:val="24"/>
        </w:rPr>
        <w:t xml:space="preserve">. Representations of social housing are replete with references to ‘chavs’ </w:t>
      </w:r>
      <w:r w:rsidRPr="00662E51">
        <w:rPr>
          <w:szCs w:val="24"/>
        </w:rPr>
        <w:fldChar w:fldCharType="begin"/>
      </w:r>
      <w:r w:rsidR="001B2CAA">
        <w:rPr>
          <w:szCs w:val="24"/>
        </w:rPr>
        <w:instrText xml:space="preserve"> ADDIN ZOTERO_ITEM CSL_CITATION {"citationID":"fvzJ0uw3","properties":{"formattedCitation":"(Bennett 2013; McKenzie 2013; Nayak and Kehily 2014; Tyler 2008; Strong 2014)","plainCitation":"(Bennett 2013; McKenzie 2013; Nayak and Kehily 2014; Tyler 2008; Strong 2014)","noteIndex":0},"citationItems":[{"id":2171,"uris":["http://zotero.org/users/8977980/items/Y7YJYZXT"],"itemData":{"id":2171,"type":"article-journal","container-title":"Social Semiotics","DOI":"10.1080/10350330.2012.708158","ISSN":"1035-0330, 1470-1219","issue":"1","journalAbbreviation":"Social Semiotics","language":"en","page":"146-162","source":"DOI.org (Crossref)","title":"&lt;i&gt;Chav-spotting&lt;/i&gt; in Britain: the representation of social class as private choice","title-short":"&lt;i&gt;Chav-spotting&lt;/i&gt; in Britain","volume":"23","author":[{"family":"Bennett","given":"Joe"}],"issued":{"date-parts":[["2013",2]]}}},{"id":2534,"uris":["http://zotero.org/users/8977980/items/4CBNV6Q8"],"itemData":{"id":2534,"type":"article-journal","abstract":"This paper introduces a group of white working-class women living on a council estate in the UK drawing on an ethnographic study conducted between 2005 and 2009, examining the impact of class inequality and a stigmatized living space in an ethnically diverse urban neighbourhood. All of the women are mothers and have mixed-race children; they reside on the St Ann's estate in Nottingham, an inner-city neighbourhood that has been subject to poor housing, poverty and unemployment for many generations. The women who live on this estate say that they suffer from negative stereotypes and stigmatization because of the notoriety of the estate, because they are working class and because they have had sexual relationships with black men. However, there is a sense of connectedness to the estate and there are strong cultural meanings that are heavily influenced by the West Indian community. This paper then highlights the importance of place when focusing upon families, class inequality and intercultural relationships.","container-title":"Ethnic and Racial Studies","DOI":"10.1080/01419870.2013.776698","ISSN":"0141-9870","issue":"8","note":"_eprint: https://doi.org/10.1080/01419870.2013.776698","page":"1342-1358","publisher":"Routledge","source":"Taylor and Francis+NEJM","title":"Narratives from a Nottingham council estate: a story of white working-class mothers with mixed-race children","title-short":"Narratives from a Nottingham council estate","volume":"36","author":[{"family":"McKenzie","given":"Lisa"}],"issued":{"date-parts":[["2013",8,1]]}}},{"id":2194,"uris":["http://zotero.org/users/8977980/items/7A6LCQTX"],"itemData":{"id":2194,"type":"article-journal","container-title":"Journal of Youth Studies","DOI":"10.1080/13676261.2014.920489","ISSN":"1367-6261, 1469-9680","issue":"10","journalAbbreviation":"Journal of Youth Studies","language":"en","page":"1330-1345","source":"DOI.org (Crossref)","title":"‘Chavs, chavettes and pramface girls’: teenage mothers, marginalised young men and the management of stigma","title-short":"‘Chavs, chavettes and pramface girls’","volume":"17","author":[{"family":"Nayak","given":"Anoop"},{"family":"Kehily","given":"Mary Jane"}],"issued":{"date-parts":[["2014",11,26]]}}},{"id":"n0Saldgp/YQB7pwik","uris":["http://zotero.org/users/8977980/items/2K3YH83R"],"itemData":{"id":1171,"type":"article-journal","abstract":"In the last three years a new vocabulary of social class has emerged in Britain. The word “chav,” alongside its various synonyms and regional variations, has become a ubiquitous term of abuse for the white poor. This article explores the emergence of the grotesque and comic figure of the chav within a range of contemporary British media focusing on the role played by disgust reactions in the generation and circulation of the chav figure through popular media. Concentrating on the figure of the female chav, and the vilification of young white working-class mothers, this article argues that the “chav mum” is produced through disgust reactions as an intensely affective figure that embodies historically familiar and contemporary anxieties about female sexuality, reproduction, fertility, and “racial mixing.” The reason Vicky Pollard caught the public imagination is that she embodies with such fearful accuracy of several of the great scourges of contemporary Britain: aggressive all-female gangs of embittered, hormonal, drunken teenagers; gym slip mums who choose to get pregnant as a career option; pasty-faced, lard-gutted slappers who'll drop their knickers in the blink of an eye … these people do exist and are every bit as ripe and just a target for social satire as were, say, the raddled working-class drunks sent up by Hogarth in Gin Lane. (James Delingpole 2006, p. 25) Disgust and contempt motivate and sustain the low ranking of things, people, and actions deemed disgusting and contemptible. (William Miller 1997, p. xiv)","container-title":"Feminist Media Studies","DOI":"10.1080/14680770701824779","ISSN":"1468-0777","issue":"1","note":"publisher: Routledge\n_eprint: https://doi.org/10.1080/14680770701824779","page":"17-34","source":"Taylor and Francis+NEJM","title":"“Chav Mum Chav Scum”","volume":"8","author":[{"family":"Tyler","given":"Imogen"}],"issued":{"date-parts":[["2008",3,1]]}}},{"id":2644,"uris":["http://zotero.org/users/8977980/items/RA7H2CYX"],"itemData":{"id":2644,"type":"article-journal","container-title":"Political Geography","DOI":"10.1016/j.polgeo.2014.07.008","ISSN":"0962-6298","journalAbbreviation":"Political Geography","language":"en","page":"117-120","source":"ScienceDirect","title":"Underclass ontologies","volume":"42","author":[{"family":"Strong","given":"Samuel"}],"issued":{"date-parts":[["2014",9,1]]}}}],"schema":"https://github.com/citation-style-language/schema/raw/master/csl-citation.json"} </w:instrText>
      </w:r>
      <w:r w:rsidRPr="00662E51">
        <w:rPr>
          <w:szCs w:val="24"/>
        </w:rPr>
        <w:fldChar w:fldCharType="separate"/>
      </w:r>
      <w:r w:rsidRPr="00662E51">
        <w:rPr>
          <w:szCs w:val="24"/>
        </w:rPr>
        <w:t>(Bennett 2013; McKenzie 2013; Nayak and Kehily 2014; Tyler 2008; Strong 2014)</w:t>
      </w:r>
      <w:r w:rsidRPr="00662E51">
        <w:rPr>
          <w:szCs w:val="24"/>
        </w:rPr>
        <w:fldChar w:fldCharType="end"/>
      </w:r>
      <w:r w:rsidRPr="00662E51">
        <w:rPr>
          <w:szCs w:val="24"/>
        </w:rPr>
        <w:t xml:space="preserve">. Beyond simply being where ‘chavs’ live, social housing has been conceptualised as “actively </w:t>
      </w:r>
      <w:r w:rsidRPr="00662E51">
        <w:rPr>
          <w:i/>
          <w:iCs/>
          <w:szCs w:val="24"/>
        </w:rPr>
        <w:t>antisocial</w:t>
      </w:r>
      <w:r w:rsidRPr="00662E51">
        <w:rPr>
          <w:szCs w:val="24"/>
        </w:rPr>
        <w:t xml:space="preserve"> space” that both produces and represents this underclass </w:t>
      </w:r>
      <w:r w:rsidRPr="00662E51">
        <w:rPr>
          <w:szCs w:val="24"/>
        </w:rPr>
        <w:fldChar w:fldCharType="begin"/>
      </w:r>
      <w:r w:rsidR="008835AB" w:rsidRPr="00662E51">
        <w:rPr>
          <w:szCs w:val="24"/>
        </w:rPr>
        <w:instrText xml:space="preserve"> ADDIN ZOTERO_ITEM CSL_CITATION {"citationID":"LrQJ7cwh","properties":{"unsorted":true,"formattedCitation":"(Tyler 2013, 160)","plainCitation":"(Tyler 2013, 160)","noteIndex":0},"citationItems":[{"id":249,"uris":["http://zotero.org/users/8977980/items/DMEF6VBW"],"itemData":{"id":249,"type":"book","edition":"1st edition","ISBN":"978-1-84813-851-3","language":"English","number-of-pages":"224","publisher":"Zed Books Ltd","publisher-place":"London, UK","source":"Amazon","title":"Revolting Subjects: Social Abjection and Resistance in Neoliberal Britain","title-short":"Revolting Subjects","author":[{"family":"Tyler","given":"Imogen"}],"issued":{"date-parts":[["2013",4,11]]}},"locator":"160"}],"schema":"https://github.com/citation-style-language/schema/raw/master/csl-citation.json"} </w:instrText>
      </w:r>
      <w:r w:rsidRPr="00662E51">
        <w:rPr>
          <w:szCs w:val="24"/>
        </w:rPr>
        <w:fldChar w:fldCharType="separate"/>
      </w:r>
      <w:r w:rsidRPr="00662E51">
        <w:rPr>
          <w:szCs w:val="24"/>
        </w:rPr>
        <w:t>(Tyler 2013, 160)</w:t>
      </w:r>
      <w:r w:rsidRPr="00662E51">
        <w:rPr>
          <w:szCs w:val="24"/>
        </w:rPr>
        <w:fldChar w:fldCharType="end"/>
      </w:r>
      <w:r w:rsidRPr="00662E51">
        <w:rPr>
          <w:szCs w:val="24"/>
        </w:rPr>
        <w:t>. Specifically, neoliberal changes in the political economy of council housing have meant that it has, in addition to being racialised (Section 2.1), become deeply associated with a value-less, problem</w:t>
      </w:r>
      <w:r w:rsidR="00CE2659">
        <w:rPr>
          <w:szCs w:val="24"/>
        </w:rPr>
        <w:t>, and undeserving</w:t>
      </w:r>
      <w:r w:rsidRPr="00662E51">
        <w:rPr>
          <w:szCs w:val="24"/>
        </w:rPr>
        <w:t xml:space="preserve"> class </w:t>
      </w:r>
      <w:r w:rsidRPr="00662E51">
        <w:rPr>
          <w:szCs w:val="24"/>
        </w:rPr>
        <w:fldChar w:fldCharType="begin"/>
      </w:r>
      <w:r w:rsidR="00A75DC7">
        <w:rPr>
          <w:szCs w:val="24"/>
        </w:rPr>
        <w:instrText xml:space="preserve"> ADDIN ZOTERO_ITEM CSL_CITATION {"citationID":"kZ6bgjnv","properties":{"formattedCitation":"(Katz [1989] 2013; McKenzie 2013; Tyler 2013)","plainCitation":"(Katz [1989] 2013; McKenzie 2013; Tyler 2013)","noteIndex":0},"citationItems":[{"id":7087,"uris":["http://zotero.org/users/8977980/items/HET4FXWX"],"itemData":{"id":7087,"type":"book","abstract":"First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light.\n               \n               \n                \n              ,  \n               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light.","edition":"Second Edition","ISBN":"978-0-19-993395-2","number-of-pages":"368","publisher":"Oxford University Press","publisher-place":"Oxford, New York","source":"Oxford University Press","title":"The Undeserving Poor: America's Enduring Confrontation with Poverty: Fully Updated and Revised","title-short":"The Undeserving Poor","author":[{"family":"Katz","given":"Michael B."}],"issued":{"date-parts":[["2013",11,28]]},"original-date":{"date-parts":[["1989"]]}}},{"id":2534,"uris":["http://zotero.org/users/8977980/items/4CBNV6Q8"],"itemData":{"id":2534,"type":"article-journal","abstract":"This paper introduces a group of white working-class women living on a council estate in the UK drawing on an ethnographic study conducted between 2005 and 2009, examining the impact of class inequality and a stigmatized living space in an ethnically diverse urban neighbourhood. All of the women are mothers and have mixed-race children; they reside on the St Ann's estate in Nottingham, an inner-city neighbourhood that has been subject to poor housing, poverty and unemployment for many generations. The women who live on this estate say that they suffer from negative stereotypes and stigmatization because of the notoriety of the estate, because they are working class and because they have had sexual relationships with black men. However, there is a sense of connectedness to the estate and there are strong cultural meanings that are heavily influenced by the West Indian community. This paper then highlights the importance of place when focusing upon families, class inequality and intercultural relationships.","container-title":"Ethnic and Racial Studies","DOI":"10.1080/01419870.2013.776698","ISSN":"0141-9870","issue":"8","note":"_eprint: https://doi.org/10.1080/01419870.2013.776698","page":"1342-1358","publisher":"Routledge","source":"Taylor and Francis+NEJM","title":"Narratives from a Nottingham council estate: a story of white working-class mothers with mixed-race children","title-short":"Narratives from a Nottingham council estate","volume":"36","author":[{"family":"McKenzie","given":"Lisa"}],"issued":{"date-parts":[["2013",8,1]]}}},{"id":249,"uris":["http://zotero.org/users/8977980/items/DMEF6VBW"],"itemData":{"id":249,"type":"book","edition":"1st edition","ISBN":"978-1-84813-851-3","language":"English","number-of-pages":"224","publisher":"Zed Books Ltd","publisher-place":"London, UK","source":"Amazon","title":"Revolting Subjects: Social Abjection and Resistance in Neoliberal Britain","title-short":"Revolting Subjects","author":[{"family":"Tyler","given":"Imogen"}],"issued":{"date-parts":[["2013",4,11]]}}}],"schema":"https://github.com/citation-style-language/schema/raw/master/csl-citation.json"} </w:instrText>
      </w:r>
      <w:r w:rsidRPr="00662E51">
        <w:rPr>
          <w:szCs w:val="24"/>
        </w:rPr>
        <w:fldChar w:fldCharType="separate"/>
      </w:r>
      <w:r w:rsidR="00A75DC7" w:rsidRPr="00A75DC7">
        <w:t>(Katz [1989] 2013; McKenzie 2013; Tyler 2013)</w:t>
      </w:r>
      <w:r w:rsidRPr="00662E51">
        <w:rPr>
          <w:szCs w:val="24"/>
        </w:rPr>
        <w:fldChar w:fldCharType="end"/>
      </w:r>
      <w:r w:rsidRPr="00662E51">
        <w:rPr>
          <w:szCs w:val="24"/>
        </w:rPr>
        <w:t xml:space="preserve">. Crucially, social housing is expressed as antisocial space in popular media, reinforcing associations with ‘chavs’ </w:t>
      </w:r>
      <w:r w:rsidRPr="00662E51">
        <w:rPr>
          <w:szCs w:val="24"/>
        </w:rPr>
        <w:fldChar w:fldCharType="begin"/>
      </w:r>
      <w:r w:rsidR="001B2CAA">
        <w:rPr>
          <w:szCs w:val="24"/>
        </w:rPr>
        <w:instrText xml:space="preserve"> ADDIN ZOTERO_ITEM CSL_CITATION {"citationID":"VwrjDroX","properties":{"formattedCitation":"(Slater 2018b; C. Johnston and Mooney 2007)","plainCitation":"(Slater 2018b; C. Johnston and Mooney 2007)","noteIndex":0},"citationItems":[{"id":"n0Saldgp/lTrFgxr9","uris":["http://zotero.org/users/8977980/items/G54SJBAX"],"itemData":{"id":"TR0vtGWt/vpVoY9Oo","type":"article-journal","abstract":"This article explores the history and traces the realisation of a category that was invented by journalists, amplified by free market think tanks and converted into policy doxa (common sense) by politicians in the United Kingdom: the ‘sink estate’. This derogatory designator, signifying social housing estates that supposedly create poverty, family breakdown, worklessness, welfare dependency, antisocial behaviour and personal irresponsibility, has become the symbolic frame justifying current policies towards social housing that have resulted in considerable social suffering and intensified dislocation. The article deploys a conceptual articulation of agnotology (the intentional production of ignorance) with Bourdieu’s theory of symbolic power to understand the institutional arrangements and cognitive systems structuring deeply unequal social relations. Specifically, the highly influential publications on housing by a free market think tank, Policy Exchange, are dissected in order to demonstrate how the activation of territorial stigma has become an instrument of urban politics. The ‘sink estate’, it is argued, is the semantic battering ram in the ideological assault on social housing, deflecting attention away from social housing not only as urgent necessity during a serious crisis of affordability, but as incubator of community, solidarity, shelter and home.","container-title":"The Sociological Review","DOI":"10.1177/0038026118777451","ISSN":"0038-0261","issue":"4","journalAbbreviation":"The Sociological Review","language":"en","note":"publisher: SAGE Publications Ltd","page":"877-897","source":"SAGE Journals","title":"The invention of the ‘sink estate’: Consequential categorisation and the UK housing crisis","title-short":"The invention of the ‘sink estate’","volume":"66","author":[{"family":"Slater","given":"Tom"}],"issued":{"date-parts":[["2018",7,1]]}}},{"id":4027,"uris":["http://zotero.org/users/8977980/items/8HIRKD7J"],"itemData":{"id":4027,"type":"chapter","container-title":"Securing an Urban Renaissance","ISBN":"978-1-84742-247-7","publisher":"Policy Press","publisher-place":"Bristol, UNITED KINGDOM","source":"ProQuest Ebook Central","title":"‘Problem’ people, ‘problem’ places? New Labour and council estates","URL":"http://ebookcentral.proquest.com/lib/durham/detail.action?docID=419289","editor":[{"family":"Atkinson","given":"Rowland"},{"family":"Helms","given":"Gesma"}],"author":[{"family":"Johnston","given":"Charlie"},{"family":"Mooney","given":"Gerry"}],"accessed":{"date-parts":[["2023",3,15]]},"issued":{"date-parts":[["2007"]]}}}],"schema":"https://github.com/citation-style-language/schema/raw/master/csl-citation.json"} </w:instrText>
      </w:r>
      <w:r w:rsidRPr="00662E51">
        <w:rPr>
          <w:szCs w:val="24"/>
        </w:rPr>
        <w:fldChar w:fldCharType="separate"/>
      </w:r>
      <w:r w:rsidR="00213B80" w:rsidRPr="00213B80">
        <w:t>(Slater 2018b; C. Johnston and Mooney 2007)</w:t>
      </w:r>
      <w:r w:rsidRPr="00662E51">
        <w:rPr>
          <w:szCs w:val="24"/>
        </w:rPr>
        <w:fldChar w:fldCharType="end"/>
      </w:r>
      <w:r w:rsidRPr="00662E51">
        <w:rPr>
          <w:szCs w:val="24"/>
        </w:rPr>
        <w:t xml:space="preserve">. Studies on the representations of council estates in news media is overwhelmingly negative, with emphasis on crime, worklessness, benefits-cheating, racial </w:t>
      </w:r>
      <w:r w:rsidRPr="00662E51">
        <w:rPr>
          <w:szCs w:val="24"/>
        </w:rPr>
        <w:lastRenderedPageBreak/>
        <w:t xml:space="preserve">tensions, and poor conditions </w:t>
      </w:r>
      <w:r w:rsidRPr="00662E51">
        <w:rPr>
          <w:szCs w:val="24"/>
        </w:rPr>
        <w:fldChar w:fldCharType="begin"/>
      </w:r>
      <w:r w:rsidR="001B2CAA">
        <w:rPr>
          <w:szCs w:val="24"/>
        </w:rPr>
        <w:instrText xml:space="preserve"> ADDIN ZOTERO_ITEM CSL_CITATION {"citationID":"bJiqoaep","properties":{"formattedCitation":"(Haynes et al. 2013; Kearns et al. 2013; B. Thomson 2018; Watt 2008)","plainCitation":"(Haynes et al. 2013; Kearns et al. 2013; B. Thomson 2018; Watt 2008)","noteIndex":0},"citationItems":[{"id":6713,"uris":["http://zotero.org/users/8977980/items/GRR3EN9V"],"itemData":{"id":6713,"type":"chapter","abstract":"This chapter relates the results of a study of print and broadcast coverage of one of the seven case study neighbourhoods – Moyross, in Limerick city. Our work takes place in the context of a wider debate about the ways in which mass media can contribute towards the stigmatising of the socially excluded and the places in which they live (see Devereux, Haynes, and Power, 2011a, 2011b; Golding and Middleton 1982; Lens 2002, p. 144; Bullock, Fraser Wyche, and Williams, 2001, pp. 229–230; Hayward and Yar, 2006, pp. 11–12). Previous research on these themes has examined how mass media and other social forces contribute to the creation of negative stereotypes, which damage the reputations of the neighbourhoods in which the ‘underclass’ or poor reside (see Greer and Jewkes, 2005; Bauder, 2002; Blokland, 2008; Hastings, 2004). Negative and sensationalist media coverage of poor neighbourhoods is consistently referred to in studies that attempt to explain how neighbourhoods come to suffer from endogenous stigmatisation (see Warr, 2006; Oresjo, Andersson, and Holmquist, 2004; Gourlay, 2007; Wassenberg, 2004). The existing research literature demonstrates that negative reputations of such places can, in themselves, have a profound effect upon the life chances, experiences, and self-image of those who live in neighbourhoods that carry a stigma (Permentier, van Ham, and Bolt, 2008, 2009). Our analysis of this issue is guided by two overarching and inter-connected conceptual frameworks, namely social exclusion and political economy (see Levitas, 2000; Byrne, 1999). Through this research, we have sought to address a number of key issues:\n\n                     \n                        to establish how Moyross is depicted in media representations;\n                     \n                     \n                        to establish how the material and social conditions in Moyross are explained in media representations;\n                     \n                     \n                        \n                           to establish which actors have a role in constructing Moyross in media representations.\n                     \n                  \nWe argue that, for the most part, media coverage is stigmatising, highlighting the very real challenges that the neighbourhood faces with regard to crime and social order at the expense of any significant engagement with the positive characteristics of the locale, its residents, their community, and achievements. We argue that this depiction can be best understood within the context of the commercial realities, which progressively impact upon media production, increasing the pressure to absorb rather than just inform and reducing the time available to media professionals to directly connect with the people and places upon which they report (see Ryfe, 2009). In acknowledging these realities, we do not seek to legitimise the stigmatised identity of Moyross, neither do we want to deny the very real problems facing the residents in this neighbourhood, which result from both a combination of long-term state neglect, poor planning, and criminality. Nonetheless, the routinely negative media portrayal of Moyross, in common with other social housing neighbourhoods in Limerick city (such as Southill and St Mary’s Park), has very real and significant malign consequences for its residents and their interactions with non-residents in particular. Barnes (2010), for example, found that students in a middle-class Limerick school replicated the themes that this chapter identifies in media coverage of Moyross, associating the neighbourhood with crime, disorder, and social unrest (Fitzgerald, 2007, p. 7 cited in Devereux, Haynes, and Power, 2011b, p. 126). Negative media portrayals have, according to the Limerick Regeneration Agency, contributed significantly to the poor image of these neighbourhoods as well as to the city as a whole (Limerick Regeneration Agency, 2008) and have stymied attempts to regenerate these areas in social and economic terms.","container-title":"Social Housing, Disadvantage, and Neighbourhood Liveability","ISBN":"978-0-203-44085-8","note":"number-of-pages: 27","publisher":"Routledge","title":"Media Representations, Stigma, and Neighbourhood Identity","author":[{"family":"Haynes","given":"Amanda"},{"family":"Devereux","given":"Eoin"},{"family":"Power","given":"Martin J."}],"issued":{"date-parts":[["2013"]]}}},{"id":6712,"uris":["http://zotero.org/users/8977980/items/679W8WPF"],"itemData":{"id":6712,"type":"article-journal","abstract":"This paper reviews work in several disciplines to distinguish between image, reputation and stigma. It also shows that there has been little research on the process by which area reputations are established and sustained through transmission processes. This paper reports on research into the portrayal of two social housing estates in the printed media over an extended period of time (14 years). It was found that negative and mixed coverage of the estates dominated, with the amount of positive coverage being very small. By examining the way in which dominant themes were used by newspapers in respect of each estate, questions are raised about the mode of operation of the press and the communities' collective right to challenge this. By identifying the way regeneration stories are covered and the nature of the content of positive stories, lessons are drawn for programmes of area transformation. The need for social regeneration activities is identified as an important ingredient for changing deprived-area reputations.","container-title":"Housing Studies","DOI":"10.1080/02673037.2013.759546","ISSN":"0267-3037","issue":"4","note":"_eprint: https://doi.org/10.1080/02673037.2013.759546","page":"579-598","publisher":"Routledge","source":"Taylor and Francis+NEJM","title":"Notorious Places: Image, Reputation, Stigma. The Role of Newspapers in Area Reputations for Social Housing Estates","title-short":"Notorious Places","volume":"28","author":[{"family":"Kearns","given":"Ade"},{"family":"Kearns","given":"Oliver"},{"family":"Lawson","given":"Louise"}],"issued":{"date-parts":[["2013",6,1]]}},"label":"page"},{"id":6716,"uris":["http://zotero.org/users/8977980/items/8FCDCYNR"],"itemData":{"id":6716,"type":"thesis","abstract":"The history of council estates, in England, to date spans 100 years. Over this period the societal attitude relating to housing tenure has changed to one which regards home ownership as the norm. Council housing, or social housing as it is now known, once seen as for the respectable working class, has become the place where people with the most social need are housed. This in turn has altered opinions about the residents living on the estates. This thesis, using Critical Discourse Analysis as a methodology, traces the history of working class housing and the political policies that have informed the way it has developed. In addition, collection of discourses, through research and through interviews with people who now live on council estates, has enabled a representation of how people living on the council estates are viewed. Cheltenham in Gloucestershire has been used as a case study area for the purposes of the research and has been compared with the national situation. The harsh reality of the housing crisis existing at the time of completion of this thesis (2018) and the views of current politicians, both local and national, along with the results of this research has informed a summary of the future of how working class housing might progress.","genre":"phd","language":"en","license":"all_rights","number-of-pages":"299","publisher":"University of Gloucestershire","source":"eprints.glos.ac.uk","title":"Council Estate Discourses: a critical discourse analysis of media and residents","title-short":"Council Estate Discourses","URL":"https://eprints.glos.ac.uk/8358/","author":[{"family":"Thomson","given":"Bernice"}],"accessed":{"date-parts":[["2025",7,10]]},"issued":{"date-parts":[["2018",12,1]]}}},{"id":"n0Saldgp/eTTTwRVc","uris":["http://zotero.org/users/8977980/items/WWPKPZ5I"],"itemData":{"id":4025,"type":"article-journal","abstract":"This paper employs critical discourse analysis to examine discourses of council (public) housing tenants. It focuses upon one example of housing activism, a local campaign that mobilized in opposition to a proposed stock transfer of council housing in South East England. The hegemonic societal-wide discourse regarding council tenants is that they constitute a socially excluded ‘underclass’, as in New Labour urban policy and the mass media. In contrast, the paper demonstrates how the housing campaign presented a counter-hegemonic discourse of tenants as ‘ordinary people’. Drawing upon a textual analysis of campaign literature and letters to local newspapers, the paper illustrates how this populist discourse abjured an explicit reference to class identity, but at the same time managed to effectively signify class inequality.","container-title":"Critical Discourse Studies","DOI":"10.1080/17405900802405288","ISSN":"1740-5904","issue":"4","note":"publisher: Routledge\n_eprint: https://doi.org/10.1080/17405900802405288","page":"345-357","source":"Taylor and Francis+NEJM","title":"‘Underclass’ and ‘ordinary people’ discourses: Representing/re-presenting council tenants in a housing campaign","title-short":"‘Underclass’ and ‘ordinary people’ discourses","volume":"5","author":[{"family":"Watt","given":"Paul"}],"issued":{"date-parts":[["2008",11,1]]}}}],"schema":"https://github.com/citation-style-language/schema/raw/master/csl-citation.json"} </w:instrText>
      </w:r>
      <w:r w:rsidRPr="00662E51">
        <w:rPr>
          <w:szCs w:val="24"/>
        </w:rPr>
        <w:fldChar w:fldCharType="separate"/>
      </w:r>
      <w:r w:rsidR="00213B80" w:rsidRPr="00213B80">
        <w:t>(Haynes et al. 2013; Kearns et al. 2013; B. Thomson 2018; Watt 2008)</w:t>
      </w:r>
      <w:r w:rsidRPr="00662E51">
        <w:rPr>
          <w:szCs w:val="24"/>
        </w:rPr>
        <w:fldChar w:fldCharType="end"/>
      </w:r>
      <w:r w:rsidRPr="00662E51">
        <w:rPr>
          <w:szCs w:val="24"/>
        </w:rPr>
        <w:t xml:space="preserve">. </w:t>
      </w:r>
      <w:r w:rsidR="00ED76F3">
        <w:rPr>
          <w:szCs w:val="24"/>
        </w:rPr>
        <w:t xml:space="preserve">One </w:t>
      </w:r>
      <w:r w:rsidRPr="00662E51">
        <w:rPr>
          <w:szCs w:val="24"/>
        </w:rPr>
        <w:t>study of portrayals of council estates in theatre productions</w:t>
      </w:r>
      <w:r w:rsidR="00ED76F3">
        <w:rPr>
          <w:szCs w:val="24"/>
        </w:rPr>
        <w:t xml:space="preserve"> </w:t>
      </w:r>
      <w:r w:rsidRPr="00662E51">
        <w:rPr>
          <w:szCs w:val="24"/>
        </w:rPr>
        <w:t>found that</w:t>
      </w:r>
    </w:p>
    <w:p w14:paraId="406E366C" w14:textId="77777777" w:rsidR="00663B67" w:rsidRPr="00662E51" w:rsidRDefault="00663B67" w:rsidP="00DC3E0C">
      <w:pPr>
        <w:ind w:left="0" w:firstLine="720"/>
        <w:contextualSpacing/>
        <w:rPr>
          <w:szCs w:val="24"/>
        </w:rPr>
      </w:pPr>
    </w:p>
    <w:p w14:paraId="2F5757AE" w14:textId="63A404E3" w:rsidR="00CA6F09" w:rsidRDefault="00CA6F09" w:rsidP="00DC3E0C">
      <w:pPr>
        <w:ind w:left="720"/>
        <w:rPr>
          <w:szCs w:val="24"/>
        </w:rPr>
      </w:pPr>
      <w:r w:rsidRPr="00662E51">
        <w:rPr>
          <w:szCs w:val="24"/>
        </w:rPr>
        <w:t>mainstream theatrical productions set on council estates are consistently presented in a brutal style which suggests a gritty urban ‘realism’, where the estate serves as the catalyst for dramatic tension. In such representations residents are often portrayed as passive actors in a fatalistic narrative</w:t>
      </w:r>
      <w:r w:rsidR="000D29A6">
        <w:rPr>
          <w:szCs w:val="24"/>
        </w:rPr>
        <w:t>.</w:t>
      </w:r>
      <w:r w:rsidRPr="00662E51">
        <w:rPr>
          <w:szCs w:val="24"/>
        </w:rPr>
        <w:t xml:space="preserve"> </w:t>
      </w:r>
      <w:r w:rsidRPr="00662E51">
        <w:rPr>
          <w:szCs w:val="24"/>
        </w:rPr>
        <w:fldChar w:fldCharType="begin"/>
      </w:r>
      <w:r w:rsidR="00213B80">
        <w:rPr>
          <w:szCs w:val="24"/>
        </w:rPr>
        <w:instrText xml:space="preserve"> ADDIN ZOTERO_ITEM CSL_CITATION {"citationID":"fAD5N2no","properties":{"formattedCitation":"(K. Beswick 2011, 426)","plainCitation":"(K. Beswick 2011, 426)","noteIndex":0},"citationItems":[{"id":6715,"uris":["http://zotero.org/users/8977980/items/KHJV3EMG"],"itemData":{"id":6715,"type":"article-journal","abstract":"The image of the archetypal housing estate is often used in popular representation, from documentary and television to music video, to symbolise the urban ‘grit’ of contemporary inner-city life. In the theatre, urban political and ‘working-class’ drama has been set on or around estates in attempts to deconstruct or expose the impact of life on these estates, or to examine what such places denote in contemporary society. The performance analysis provided in this paper has emerged from a period of study of the representation of estates in various performance practices, as a researcher, facilitator, and audience member. This article is part of a larger research project investigating the practices and processes of performances which engage with the space of the council estate. Using one specific performance event, this piece engages with the council estate in performance by drawing on Lefebvre's model of social space. By considering the various ‘fragments’ of spatial experience, and analysing the history of common narratives of estate spaces, the paper seeks to uncover potential for applied performance in the production of contested spaces. In an analysis of SPID (Specially Produced Innovatively Directed) Theatre Company's play 23176, I suggest this work as exemplifying a kind of spatialised critical resistance to the dominant narratives of the council estate, which might offer potential for alternative perceptions of existence for those who inhabit such marginalised places.","container-title":"Research in Drama Education: The Journal of Applied Theatre and Performance","DOI":"10.1080/13569783.2011.589999","ISSN":"1356-9783","issue":"3","note":"_eprint: https://doi.org/10.1080/13569783.2011.589999","page":"421-435","publisher":"Routledge","source":"Taylor and Francis+NEJM","title":"The council estate: representation, space and the potential for performance","title-short":"The council estate","volume":"16","author":[{"family":"Beswick","given":"Katie"}],"issued":{"date-parts":[["2011",8,1]]}},"locator":"426"}],"schema":"https://github.com/citation-style-language/schema/raw/master/csl-citation.json"} </w:instrText>
      </w:r>
      <w:r w:rsidRPr="00662E51">
        <w:rPr>
          <w:szCs w:val="24"/>
        </w:rPr>
        <w:fldChar w:fldCharType="separate"/>
      </w:r>
      <w:r w:rsidR="00213B80" w:rsidRPr="00213B80">
        <w:t>(K. Beswick 2011, 426)</w:t>
      </w:r>
      <w:r w:rsidRPr="00662E51">
        <w:rPr>
          <w:szCs w:val="24"/>
        </w:rPr>
        <w:fldChar w:fldCharType="end"/>
      </w:r>
    </w:p>
    <w:p w14:paraId="560907DD" w14:textId="77777777" w:rsidR="00663B67" w:rsidRPr="00662E51" w:rsidRDefault="00663B67" w:rsidP="00DC3E0C">
      <w:pPr>
        <w:ind w:left="720"/>
        <w:rPr>
          <w:szCs w:val="24"/>
        </w:rPr>
      </w:pPr>
    </w:p>
    <w:p w14:paraId="44CB6C7A" w14:textId="3736F212" w:rsidR="00CA6F09" w:rsidRPr="00662E51" w:rsidRDefault="00CA6F09" w:rsidP="00F56305">
      <w:pPr>
        <w:spacing w:line="360" w:lineRule="auto"/>
        <w:ind w:left="0"/>
        <w:rPr>
          <w:szCs w:val="24"/>
        </w:rPr>
      </w:pPr>
      <w:r w:rsidRPr="00662E51">
        <w:rPr>
          <w:szCs w:val="24"/>
        </w:rPr>
        <w:t xml:space="preserve">Depictions in television are no better, with classic ‘poverty porn’ shows reinforcing similar discourses of council homes </w:t>
      </w:r>
      <w:r w:rsidRPr="00662E51">
        <w:rPr>
          <w:szCs w:val="24"/>
        </w:rPr>
        <w:fldChar w:fldCharType="begin"/>
      </w:r>
      <w:r w:rsidR="00213B80">
        <w:rPr>
          <w:szCs w:val="24"/>
        </w:rPr>
        <w:instrText xml:space="preserve"> ADDIN ZOTERO_ITEM CSL_CITATION {"citationID":"t9fkbcwM","properties":{"formattedCitation":"(K. Beswick 2019; Gilligan 2013)","plainCitation":"(K. Beswick 2019; Gilligan 2013)","noteIndex":0},"citationItems":[{"id":6719,"uris":["http://zotero.org/users/8977980/items/UJLFWKVX"],"itemData":{"id":6719,"type":"book","abstract":"This book explores the ways that council estates have been represented in England across a range of performance forms. Drawing on examples from mainstream, site-specific and resident-led performance works, it considers the political potential of contemporary performance practices concerned with the council estate. Depictions of the council estate are brought into dialogue with global representations of what Chris Richardson and Hans Skott-Myhre call the 'hood', to tease out the specific features of the British context and situate the work globally. Katie Beswick's study provides a timely contribution to the ongoing national and global interest in social housing. As the housing market grows ever more insecure, and estates are charged with political rhetoric, theatre and socially engaged art set or taking place on estates takes on a new potency. Mainstream theatre works examined include Rita, Sue and Bob Too and A State Affair at the Soho Theatre, Port at the National Theatre, and DenMarked at the Battersea Arts Centre. The book also explores the National Youth Theatre's Slick and Roger Hiorns' Seizure, as well as community-based and resident led performances by Fourthland, Jordan McKenzie, Fugitive Images and Jane English.","ISBN":"978-1-4742-8520-9","language":"en","note":"Google-Books-ID: A9mEDwAAQBAJ","number-of-pages":"235","publisher":"Bloomsbury Publishing","source":"Google Books","title":"Social Housing in Performance: The English Council Estate on and off Stage","title-short":"Social Housing in Performance","author":[{"family":"Beswick","given":"Katie"}],"issued":{"date-parts":[["2019",2,7]]}}},{"id":6721,"uris":["http://zotero.org/users/8977980/items/MNXXDS96"],"itemData":{"id":6721,"type":"article-journal","abstract":"In the aftermath of the 2011 UK riots, two main themes emerged in public discourse: (a) that the riots were criminal and materialistic in intent and linked to the reality television driven “miswanting” of poor youth and (b) that the riots were a manifestation of a national crisis generated by the absence of public and civic responsibility among (female) denizens of public housing estates. The author argues that, far from telling us about the cultures of poor youth, reality television programs, notably those produced by the BBC, elucidate the agenda of political elites driving “Austerity Britain” to “harden” the views of British citizens against the poor and marginalized. She explores the new harsh realism of Neighbourhood Watched identifying a shift from the earlier left-wing concerns of the British social-realist movement, toward a right-wing sensibility, which has coincided with significant changes to state policy toward the most vulnerable segments of Britain’s population.","container-title":"Television &amp; New Media","DOI":"10.1177/1527476412457221","ISSN":"1527-4764","issue":"3","language":"EN","page":"244-260","publisher":"SAGE Publications","source":"SAGE Journals","title":"“Harsh Realism”: Gender, Reality Television, and the Politics of the “Sink” Housing Estate in Austerity Britain","title-short":"“Harsh Realism”","volume":"14","author":[{"family":"Gilligan","given":"Paula"}],"issued":{"date-parts":[["2013",5,1]]}}}],"schema":"https://github.com/citation-style-language/schema/raw/master/csl-citation.json"} </w:instrText>
      </w:r>
      <w:r w:rsidRPr="00662E51">
        <w:rPr>
          <w:szCs w:val="24"/>
        </w:rPr>
        <w:fldChar w:fldCharType="separate"/>
      </w:r>
      <w:r w:rsidR="00213B80" w:rsidRPr="00213B80">
        <w:t>(K. Beswick 2019; Gilligan 2013)</w:t>
      </w:r>
      <w:r w:rsidRPr="00662E51">
        <w:rPr>
          <w:szCs w:val="24"/>
        </w:rPr>
        <w:fldChar w:fldCharType="end"/>
      </w:r>
      <w:r w:rsidRPr="00662E51">
        <w:rPr>
          <w:szCs w:val="24"/>
        </w:rPr>
        <w:t xml:space="preserve">. Investigations into popular shows like </w:t>
      </w:r>
      <w:r w:rsidRPr="00662E51">
        <w:rPr>
          <w:i/>
          <w:iCs/>
          <w:szCs w:val="24"/>
        </w:rPr>
        <w:t>Benefits Street</w:t>
      </w:r>
      <w:r w:rsidRPr="00662E51">
        <w:rPr>
          <w:szCs w:val="24"/>
        </w:rPr>
        <w:t xml:space="preserve"> emphasise how such shows denigrate working class people and spaces—with clear links to stigmatisation of such groups and places </w:t>
      </w:r>
      <w:r w:rsidRPr="00662E51">
        <w:rPr>
          <w:szCs w:val="24"/>
        </w:rPr>
        <w:fldChar w:fldCharType="begin"/>
      </w:r>
      <w:r w:rsidR="008835AB" w:rsidRPr="00662E51">
        <w:rPr>
          <w:szCs w:val="24"/>
        </w:rPr>
        <w:instrText xml:space="preserve"> ADDIN ZOTERO_ITEM CSL_CITATION {"citationID":"5SQbhWw5","properties":{"formattedCitation":"(Denedo and Ejiogu 2022; Strong 2014; Wacquant et al. 2014)","plainCitation":"(Denedo and Ejiogu 2022; Strong 2014; Wacquant et al. 2014)","noteIndex":0},"citationItems":[{"id":2572,"uris":["http://zotero.org/users/8977980/items/8Q2NKFA9"],"itemData":{"id":2572,"type":"report","language":"en","publisher":"Durham University, UK","title":"Stigma and Social Housing in England: Feedback on the consultation responses","URL":"https://dro.dur.ac.uk/36862/1/36862.pdf?DDD2+smlg14+vbdv77","author":[{"family":"Denedo","given":"Mercy"},{"family":"Ejiogu","given":"Amanze"}],"issued":{"date-parts":[["2022"]]}}},{"id":2644,"uris":["http://zotero.org/users/8977980/items/RA7H2CYX"],"itemData":{"id":2644,"type":"article-journal","container-title":"Political Geography","DOI":"10.1016/j.polgeo.2014.07.008","ISSN":"0962-6298","journalAbbreviation":"Political Geography","language":"en","page":"117-120","source":"ScienceDirect","title":"Underclass ontologies","volume":"42","author":[{"family":"Strong","given":"Samuel"}],"issued":{"date-parts":[["2014",9,1]]}}},{"id":4557,"uris":["http://zotero.org/users/8977980/items/QNSJUP9M"],"itemData":{"id":4557,"type":"article-journal","abstract":"This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Borges"}],"issued":{"date-parts":[["2014",6,1]]}}}],"schema":"https://github.com/citation-style-language/schema/raw/master/csl-citation.json"} </w:instrText>
      </w:r>
      <w:r w:rsidRPr="00662E51">
        <w:rPr>
          <w:szCs w:val="24"/>
        </w:rPr>
        <w:fldChar w:fldCharType="separate"/>
      </w:r>
      <w:r w:rsidRPr="00662E51">
        <w:rPr>
          <w:szCs w:val="24"/>
        </w:rPr>
        <w:t>(Denedo and Ejiogu 2022; Strong 2014; Wacquant et al. 2014)</w:t>
      </w:r>
      <w:r w:rsidRPr="00662E51">
        <w:rPr>
          <w:szCs w:val="24"/>
        </w:rPr>
        <w:fldChar w:fldCharType="end"/>
      </w:r>
      <w:r w:rsidRPr="00662E51">
        <w:rPr>
          <w:szCs w:val="24"/>
        </w:rPr>
        <w:t xml:space="preserve">.  Social housing and the ‘underclass’ are therefore excluded in equal measure </w:t>
      </w:r>
      <w:r w:rsidRPr="00662E51">
        <w:rPr>
          <w:szCs w:val="24"/>
        </w:rPr>
        <w:fldChar w:fldCharType="begin"/>
      </w:r>
      <w:r w:rsidR="001B2CAA">
        <w:rPr>
          <w:szCs w:val="24"/>
        </w:rPr>
        <w:instrText xml:space="preserve"> ADDIN ZOTERO_ITEM CSL_CITATION {"citationID":"tZMtlEhR","properties":{"formattedCitation":"(C. Johnston and Mooney 2007; Katz [1989] 2013; Watt 2008)","plainCitation":"(C. Johnston and Mooney 2007; Katz [1989] 2013; Watt 2008)","noteIndex":0},"citationItems":[{"id":4027,"uris":["http://zotero.org/users/8977980/items/8HIRKD7J"],"itemData":{"id":4027,"type":"chapter","container-title":"Securing an Urban Renaissance","ISBN":"978-1-84742-247-7","publisher":"Policy Press","publisher-place":"Bristol, UNITED KINGDOM","source":"ProQuest Ebook Central","title":"‘Problem’ people, ‘problem’ places? New Labour and council estates","URL":"http://ebookcentral.proquest.com/lib/durham/detail.action?docID=419289","editor":[{"family":"Atkinson","given":"Rowland"},{"family":"Helms","given":"Gesma"}],"author":[{"family":"Johnston","given":"Charlie"},{"family":"Mooney","given":"Gerry"}],"accessed":{"date-parts":[["2023",3,15]]},"issued":{"date-parts":[["2007"]]}}},{"id":7087,"uris":["http://zotero.org/users/8977980/items/HET4FXWX"],"itemData":{"id":7087,"type":"book","abstract":"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light.\n               \n               \n                \n              ,  \n               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light.","edition":"Second Edition","ISBN":"978-0-19-993395-2","number-of-pages":"368","publisher":"Oxford University Press","publisher-place":"Oxford, New York","source":"Oxford University Press","title":"The Undeserving Poor: America's Enduring Confrontation with Poverty: Fully Updated and Revised","title-short":"The Undeserving Poor","author":[{"family":"Katz","given":"Michael B."}],"issued":{"date-parts":[["2013",11,28]]},"original-date":{"date-parts":[["1989"]]}}},{"id":"n0Saldgp/eTTTwRVc","uris":["http://zotero.org/users/8977980/items/WWPKPZ5I"],"itemData":{"id":4025,"type":"article-journal","abstract":"This paper employs critical discourse analysis to examine discourses of council (public) housing tenants. It focuses upon one example of housing activism, a local campaign that mobilized in opposition to a proposed stock transfer of council housing in South East England. The hegemonic societal-wide discourse regarding council tenants is that they constitute a socially excluded ‘underclass’, as in New Labour urban policy and the mass media. In contrast, the paper demonstrates how the housing campaign presented a counter-hegemonic discourse of tenants as ‘ordinary people’. Drawing upon a textual analysis of campaign literature and letters to local newspapers, the paper illustrates how this populist discourse abjured an explicit reference to class identity, but at the same time managed to effectively signify class inequality.","container-title":"Critical Discourse Studies","DOI":"10.1080/17405900802405288","ISSN":"1740-5904","issue":"4","note":"publisher: Routledge\n_eprint: https://doi.org/10.1080/17405900802405288","page":"345-357","source":"Taylor and Francis+NEJM","title":"‘Underclass’ and ‘ordinary people’ discourses: Representing/re-presenting council tenants in a housing campaign","title-short":"‘Underclass’ and ‘ordinary people’ discourses","volume":"5","author":[{"family":"Watt","given":"Paul"}],"issued":{"date-parts":[["2008",11,1]]}}}],"schema":"https://github.com/citation-style-language/schema/raw/master/csl-citation.json"} </w:instrText>
      </w:r>
      <w:r w:rsidRPr="00662E51">
        <w:rPr>
          <w:szCs w:val="24"/>
        </w:rPr>
        <w:fldChar w:fldCharType="separate"/>
      </w:r>
      <w:r w:rsidR="00213B80" w:rsidRPr="00213B80">
        <w:t>(C. Johnston and Mooney 2007; Katz [1989] 2013; Watt 2008)</w:t>
      </w:r>
      <w:r w:rsidRPr="00662E51">
        <w:rPr>
          <w:szCs w:val="24"/>
        </w:rPr>
        <w:fldChar w:fldCharType="end"/>
      </w:r>
      <w:r w:rsidRPr="00662E51">
        <w:rPr>
          <w:szCs w:val="24"/>
        </w:rPr>
        <w:t xml:space="preserve">, generating a stigma that has come to define social housing estates and their tenants </w:t>
      </w:r>
      <w:r w:rsidRPr="00662E51">
        <w:rPr>
          <w:szCs w:val="24"/>
        </w:rPr>
        <w:fldChar w:fldCharType="begin"/>
      </w:r>
      <w:r w:rsidR="001B2CAA">
        <w:rPr>
          <w:szCs w:val="24"/>
        </w:rPr>
        <w:instrText xml:space="preserve"> ADDIN ZOTERO_ITEM CSL_CITATION {"citationID":"a1hbiqsmiea","properties":{"formattedCitation":"(Slater 2018b)","plainCitation":"(Slater 2018b)","noteIndex":0},"citationItems":[{"id":"n0Saldgp/lTrFgxr9","uris":["http://zotero.org/users/8977980/items/G54SJBAX"],"itemData":{"id":"aw59fW6x/Ug88rTX6","type":"article-journal","abstract":"This article explores the history and traces the realisation of a category that was invented by journalists, amplified by free market think tanks and converted into policy doxa (common sense) by politicians in the United Kingdom: the ‘sink estate’. This derogatory designator, signifying social housing estates that supposedly create poverty, family breakdown, worklessness, welfare dependency, antisocial behaviour and personal irresponsibility, has become the symbolic frame justifying current policies towards social housing that have resulted in considerable social suffering and intensified dislocation. The article deploys a conceptual articulation of agnotology (the intentional production of ignorance) with Bourdieu’s theory of symbolic power to understand the institutional arrangements and cognitive systems structuring deeply unequal social relations. Specifically, the highly influential publications on housing by a free market think tank, Policy Exchange, are dissected in order to demonstrate how the activation of territorial stigma has become an instrument of urban politics. The ‘sink estate’, it is argued, is the semantic battering ram in the ideological assault on social housing, deflecting attention away from social housing not only as urgent necessity during a serious crisis of affordability, but as incubator of community, solidarity, shelter and home.","container-title":"The Sociological Review","DOI":"10.1177/0038026118777451","ISSN":"0038-0261","issue":"4","journalAbbreviation":"The Sociological Review","language":"en","note":"publisher: SAGE Publications Ltd","page":"877-897","source":"SAGE Journals","title":"The invention of the ‘sink estate’: Consequential categorisation and the UK housing crisis","title-short":"The invention of the ‘sink estate’","volume":"66","author":[{"family":"Slater","given":"Tom"}],"issued":{"date-parts":[["2018",7,1]]}}}],"schema":"https://github.com/citation-style-language/schema/raw/master/csl-citation.json"} </w:instrText>
      </w:r>
      <w:r w:rsidRPr="00662E51">
        <w:rPr>
          <w:szCs w:val="24"/>
        </w:rPr>
        <w:fldChar w:fldCharType="separate"/>
      </w:r>
      <w:r w:rsidRPr="00662E51">
        <w:rPr>
          <w:szCs w:val="24"/>
        </w:rPr>
        <w:t>(Slater 2018b)</w:t>
      </w:r>
      <w:r w:rsidRPr="00662E51">
        <w:rPr>
          <w:szCs w:val="24"/>
        </w:rPr>
        <w:fldChar w:fldCharType="end"/>
      </w:r>
      <w:r w:rsidRPr="00662E51">
        <w:rPr>
          <w:szCs w:val="24"/>
        </w:rPr>
        <w:t xml:space="preserve">. This stigma, which is attached to both estates and their supposed ‘chav’ residents, elicits punishment from the state and wider society </w:t>
      </w:r>
      <w:r w:rsidRPr="00662E51">
        <w:rPr>
          <w:szCs w:val="24"/>
        </w:rPr>
        <w:fldChar w:fldCharType="begin"/>
      </w:r>
      <w:r w:rsidR="00213B80">
        <w:rPr>
          <w:szCs w:val="24"/>
        </w:rPr>
        <w:instrText xml:space="preserve"> ADDIN ZOTERO_ITEM CSL_CITATION {"citationID":"Hzj0va1H","properties":{"formattedCitation":"(Atkinson 2006; Paton 2018; N. Smith 2005)","plainCitation":"(Atkinson 2006; Paton 2018; N. Smith 2005)","noteIndex":0},"citationItems":[{"id":2662,"uris":["http://zotero.org/users/8977980/items/3CZ99R6Z"],"itemData":{"id":2662,"type":"chapter","abstract":"This book is the first comprehensive volume exploring an issue of growing importance to policy makers, academics, housing practitioners and students. It brings together contributions from the most prominent scholars in the field to provide a range of theoretical perspectives, critical analysis and empirical research findings about the role of housing and urban governance in addressing anti-social behaviour. Contributors assess constructions of anti-social behaviour in policy discourse, identify how housing is increasingly central to the governance of anti-social behaviour and critically evaluate a wide range of measures used by housing and other agencies to tackle what is perceived to be a growing social problem. Although the book focuses on the UK, comparative international perspectives are provided from France, Australia and the United States. The book covers definitions of anti-social behaviour and policy responses including key new legislation and the legal role of social landlords in governing anti-social behaviour. There is comprehensive coverage of key measures including eviction, probationary tenancies, Anti-social Behaviour Orders, mediation and Acceptable Behaviour Contracts, and of innovative developments such as gated communities, intensive support services and the use of private security. Housing, urban governance and anti-social behaviour will be of interest to academics, policy-makers, practitioners and students in the fields of housing, urban studies, social policy, legal studies and criminology.","container-title":"Housing, Urban Governance and Anti-social Behaviour: Perspectives, Policy and Practice","ISBN":"978-1-86134-684-1","language":"en","note":"Google-Books-ID: P981DwAAQBAJ","page":"99-116","publisher":"Policy Press","source":"Google Books","title":"Spaces of discipline and control: the compounded citizenship of social renting","editor":[{"family":"Flint","given":"John"}],"author":[{"family":"Atkinson","given":"Rowland"}],"issued":{"date-parts":[["2006",7,19]]}}},{"id":1513,"uris":["http://zotero.org/users/8977980/items/39VNQ2N6"],"itemData":{"id":1513,"type":"article-journal","abstract":"This article explores how stigmatisation is intimately linked with neoliberal governance and capital accumulation in specific ways through processes around the Glasgow Commonwealth Games. It advances the author?s previous research exploring the effects of stigma on the East End community hosting the Games, by looking at some of the processes of power and profit which motivate stigmatising processes by ?gazing up?, rather than ?gazing down?. That is, looking at the role of the stigmatisers in this project and not the stigmatised. It draws loosely on Goffman?s concept of ?backstage? to shed light on those who produce and profit from these stigmatisation processes, including government bodies and actors and private business interests. Looking at some of the processes through which stigmatisation is profited from reveals not only forms of power vital to this process but that it is a key form of exploitation integral to capital accumulation. Under austerity, the political economy of the Games constitutes state support of private finance and a simultaneous withdrawal of social welfare support, which transfers the burden of debt from the state to the individual and wealth from public funds to private funds.","container-title":"The Sociological Review","DOI":"10.1177/0038026118777449","ISSN":"0038-0261","issue":"4","language":"en","page":"919-934","publisher":"SAGE Publications Ltd","source":"SAGE Journals","title":"Beyond legacy: Backstage stigmatisation and ‘trickle-up’ politics of urban regeneration","title-short":"Beyond legacy","volume":"66","author":[{"family":"Paton","given":"Kirsteen"}],"issued":{"date-parts":[["2018",7,1]]}}},{"id":6626,"uris":["http://zotero.org/users/8977980/items/Z4PVAQFD"],"itemData":{"id":6626,"type":"book","abstract":"Why have so many central and inner cities in Europe, North America and Australia been so radically revamped in the last three decades, converting urban decay into new chic? Will the process continue in the twenty-first century or has it ended? What does this mean for the people who live there? Can they do anything about it? This book challenges conventional wisdom, which holds gentrification to be the simple outcome of new middle-class tastes and a demand for urban living. It reveals gentrification as part of a much larger shift in the political economy and culture of the late twentieth century. Documenting in gritty detail the conflicts that gentrification brings to the new urban 'frontiers', the author explores the interconnections of urban policy, patterns of investment, eviction, and homelessness. The failure of liberal urban policy and the end of the 1980s financial boom have made the end-of-the-century city a darker and more dangerous place. Public policy and the private market are conspiring against minorities, working people, the poor, and the homeless as never before. In the emerging revanchist city, gentrification has become part of this policy of revenge.","DOI":"10.4324/9780203975640","ISBN":"978-0-203-97564-0","number-of-pages":"288","publisher":"Routledge","publisher-place":"London","title":"The New Urban Frontier: Gentrification and the Revanchist City","title-short":"The New Urban Frontier","author":[{"family":"Smith","given":"Neil"}],"issued":{"date-parts":[["2005",10,26]]}}}],"schema":"https://github.com/citation-style-language/schema/raw/master/csl-citation.json"} </w:instrText>
      </w:r>
      <w:r w:rsidRPr="00662E51">
        <w:rPr>
          <w:szCs w:val="24"/>
        </w:rPr>
        <w:fldChar w:fldCharType="separate"/>
      </w:r>
      <w:r w:rsidR="00213B80" w:rsidRPr="00213B80">
        <w:t>(Atkinson 2006; Paton 2018; N. Smith 2005)</w:t>
      </w:r>
      <w:r w:rsidRPr="00662E51">
        <w:rPr>
          <w:szCs w:val="24"/>
        </w:rPr>
        <w:fldChar w:fldCharType="end"/>
      </w:r>
      <w:r w:rsidRPr="00662E51">
        <w:rPr>
          <w:szCs w:val="24"/>
        </w:rPr>
        <w:t>. Thus, in addition to privatisation, council estates have been residualised by polices that stigmatise (and respond to the stigmatisation of) them.</w:t>
      </w:r>
    </w:p>
    <w:p w14:paraId="4B0D5BFC" w14:textId="00E01546" w:rsidR="00CA6F09" w:rsidRPr="00662E51" w:rsidRDefault="00CA6F09" w:rsidP="00F56305">
      <w:pPr>
        <w:spacing w:line="360" w:lineRule="auto"/>
        <w:ind w:left="0" w:firstLine="720"/>
        <w:contextualSpacing/>
        <w:rPr>
          <w:szCs w:val="24"/>
        </w:rPr>
      </w:pPr>
      <w:r w:rsidRPr="00662E51">
        <w:rPr>
          <w:szCs w:val="24"/>
        </w:rPr>
        <w:t xml:space="preserve">The election of the coalition government in 2010 ushered in the next stage: the ‘Big Society’ agenda, a program that sought to devolve state functions to communities and volunteers, and simultaneously cutting welfare spending </w:t>
      </w:r>
      <w:r w:rsidRPr="00662E51">
        <w:rPr>
          <w:szCs w:val="24"/>
        </w:rPr>
        <w:fldChar w:fldCharType="begin"/>
      </w:r>
      <w:r w:rsidRPr="00662E51">
        <w:rPr>
          <w:szCs w:val="24"/>
        </w:rPr>
        <w:instrText xml:space="preserve"> ADDIN ZOTERO_ITEM CSL_CITATION {"citationID":"OiUEVObq","properties":{"formattedCitation":"(Kisby 2010)","plainCitation":"(Kisby 2010)","noteIndex":0},"citationItems":[{"id":657,"uris":["http://zotero.org/users/8977980/items/AG4CK37B"],"itemData":{"id":657,"type":"article-journal","abstract":"The Prime Minister, David Cameron, recently set out his vision of a ‘big society’. Its core themes are empowering communities, redistributing power from the state to citizens and promoting a culture of volunteering. The idea is badly flawed. It overlooks the crucial role that needs to be played by the state in promoting social justice, which is vital to the development of active citizenship and vibrant communities. Moreover, Cameron views the active citizen as simply a philanthropist and volunteer rather than as a politically literate individual, knowledgeable about the major political issues of the day and actively involved in debates about how public or private services ought to be run. The initiative is particularly perverse in the context of the credit crunch, a vitally important cause of which was precisely not the development of an over-mighty state but rather the inadequate state regulation of free market trading activities by banks.","container-title":"The Political Quarterly","DOI":"10.1111/j.1467-923X.2010.02133.x","ISSN":"1467-923X","issue":"4","language":"en","note":"_eprint: https://onlinelibrary.wiley.com/doi/pdf/10.1111/j.1467-923X.2010.02133.x","page":"484-491","source":"Wiley Online Library","title":"The Big Society: Power to the People?","title-short":"The Big Society","volume":"81","author":[{"family":"Kisby","given":"Ben"}],"issued":{"date-parts":[["2010"]]}}}],"schema":"https://github.com/citation-style-language/schema/raw/master/csl-citation.json"} </w:instrText>
      </w:r>
      <w:r w:rsidRPr="00662E51">
        <w:rPr>
          <w:szCs w:val="24"/>
        </w:rPr>
        <w:fldChar w:fldCharType="separate"/>
      </w:r>
      <w:r w:rsidRPr="00662E51">
        <w:rPr>
          <w:szCs w:val="24"/>
        </w:rPr>
        <w:t>(Kisby 2010)</w:t>
      </w:r>
      <w:r w:rsidRPr="00662E51">
        <w:rPr>
          <w:szCs w:val="24"/>
        </w:rPr>
        <w:fldChar w:fldCharType="end"/>
      </w:r>
      <w:r w:rsidRPr="00662E51">
        <w:rPr>
          <w:szCs w:val="24"/>
        </w:rPr>
        <w:t xml:space="preserve">. Telegraphed as a response to the 2008 Global Financial Crisis, this austerity is in fact a particular phase in long-term neoliberal restructuring of the state and economy </w:t>
      </w:r>
      <w:r w:rsidRPr="00662E51">
        <w:rPr>
          <w:szCs w:val="24"/>
        </w:rPr>
        <w:fldChar w:fldCharType="begin"/>
      </w:r>
      <w:r w:rsidRPr="00662E51">
        <w:rPr>
          <w:szCs w:val="24"/>
        </w:rPr>
        <w:instrText xml:space="preserve"> ADDIN ZOTERO_ITEM CSL_CITATION {"citationID":"Hgi1GFVA","properties":{"formattedCitation":"(Peck 2014)","plainCitation":"(Peck 2014)","noteIndex":0},"citationItems":[{"id":3025,"uris":["http://zotero.org/users/8977980/items/ADIA83TX"],"itemData":{"id":3025,"type":"article-journal","abstract":"By way of a critical exploration of austerity politics in the USA, the paper examines the means by which the Wall Street crisis of 2008 has been translated into a state crisis, especially for the state at the subnational and urban scales. It examines the strategies, rationales and tactics adopted by advocates of austerity measures, which amount to a sustained effort to socialize, rescale and ‘dump’ the costs of the economic crisis. These manoeuvres are transforming the operating environment for state and local government in the USA, and they are remaking the terrains of urban politics at the same time.","container-title":"Cambridge Journal of Regions, Economy and Society","DOI":"10.1093/cjres/rst018","ISSN":"1752-1378","issue":"1","journalAbbreviation":"Cambridge Journal of Regions, Economy and Society","page":"17-44","source":"Silverchair","title":"Pushing austerity: state failure, municipal bankruptcy and the crises of fiscal federalism in the USA","title-short":"Pushing austerity","volume":"7","author":[{"family":"Peck","given":"Jamie"}],"issued":{"date-parts":[["2014",3,1]]}}}],"schema":"https://github.com/citation-style-language/schema/raw/master/csl-citation.json"} </w:instrText>
      </w:r>
      <w:r w:rsidRPr="00662E51">
        <w:rPr>
          <w:szCs w:val="24"/>
        </w:rPr>
        <w:fldChar w:fldCharType="separate"/>
      </w:r>
      <w:r w:rsidRPr="00662E51">
        <w:rPr>
          <w:szCs w:val="24"/>
        </w:rPr>
        <w:t>(Peck 2014)</w:t>
      </w:r>
      <w:r w:rsidRPr="00662E51">
        <w:rPr>
          <w:szCs w:val="24"/>
        </w:rPr>
        <w:fldChar w:fldCharType="end"/>
      </w:r>
      <w:r w:rsidRPr="00662E51">
        <w:rPr>
          <w:szCs w:val="24"/>
        </w:rPr>
        <w:t xml:space="preserve">. In policy terms, it demanded a significant shrinking and reshaping of the British welfare state, the functions of which were meant to be taken up by the voluntary sector </w:t>
      </w:r>
      <w:r w:rsidRPr="00662E51">
        <w:rPr>
          <w:szCs w:val="24"/>
        </w:rPr>
        <w:fldChar w:fldCharType="begin"/>
      </w:r>
      <w:r w:rsidR="001B2CAA">
        <w:rPr>
          <w:szCs w:val="24"/>
        </w:rPr>
        <w:instrText xml:space="preserve"> ADDIN ZOTERO_ITEM CSL_CITATION {"citationID":"Ox0GrVup","properties":{"formattedCitation":"(Hamnett 2014; Manzi 2015)","plainCitation":"(Hamnett 2014; Manzi 2015)","noteIndex":0},"citationItems":[{"id":"n0Saldgp/EzYlfRFj","uris":["http://zotero.org/users/8977980/items/L7CV4T6Y"],"itemData":{"id":580,"type":"article-journal","abstract":"Welfare spending is currently a key element of government expenditure in western countries and it has grown considerably since the Second World War. But there have been calls for cuts in spending that have intensified since the onset of the financial crisis and the stress on austerity. This has been associated with a shift in the nature of welfare policy to what has been termed 'workfare', where benefits are increasingly means tested, time limited or financially capped and contingent on recipients seeking work. This shift has been seen in Britain since 1997 but has intensified since the election of the coalition government, who have instigated the most radical reshaping of welfare policy since 1945. The paper argues that geographers should pay more attention to the geography of welfare spending. The paper examines the structure of welfare spending in Britain and its geography, the nature and rationale for the welfare reforms and cuts, especially the stress on 'fairness', and the social and geographical impact of the benefit cap. It argues that the cuts point to a re-orientation of the welfare state and pose political problems for the Opposition, given the shift in social attitudes to welfare.","container-title":"Transactions of the Institute of British Geographers","ISSN":"0020-2754","issue":"4","note":"publisher: [The Royal Geographical Society (with the Institute of British Geographers), Wiley]","page":"490-503","source":"JSTOR","title":"Shrinking the welfare state: the structure, geography and impact of British government benefit cuts","title-short":"Shrinking the welfare state","volume":"39","author":[{"family":"Hamnett","given":"Chris"}],"issued":{"date-parts":[["2014"]]}}},{"id":"n0Saldgp/VDF4tRIN","uris":["http://zotero.org/users/8977980/items/4TVGX6VW"],"itemData":{"id":419,"type":"article-journal","abstract":"The idea of the “Big Society” can be seen as culmination of a long-standing debate about the regulation of welfare. Situating the concept within governance theory, the article considers how the UK coalition government has justified a radical restructuring of welfare provision, and considers its implications for housing provision. Although drawing on earlier modernization processes, the article contends that the genesis for welfare reform was based on an analysis that the government was forced to respond to a unique conjunction of crises: in morality, the state, ideology and economics. The government has therefore embarked upon a programme, which has served to undermine the legitimacy of the social housing sector (most notably in England), with detrimental consequences for residents and raising significant dilemmas for those working in the housing sector.","container-title":"Housing, Theory and Society","DOI":"10.1080/14036096.2014.947172","ISSN":"1403-6096","issue":"1","note":"publisher: Routledge\n_eprint: https://doi.org/10.1080/14036096.2014.947172","page":"9-24","source":"Taylor and Francis+NEJM","title":"The Big Society and the Conjunction of Crises: Justifying Welfare Reform and Undermining Social Housing","title-short":"The Big Society and the Conjunction of Crises","volume":"32","author":[{"family":"Manzi","given":"Tony"}],"issued":{"date-parts":[["2015",1,2]]}}}],"schema":"https://github.com/citation-style-language/schema/raw/master/csl-citation.json"} </w:instrText>
      </w:r>
      <w:r w:rsidRPr="00662E51">
        <w:rPr>
          <w:szCs w:val="24"/>
        </w:rPr>
        <w:fldChar w:fldCharType="separate"/>
      </w:r>
      <w:r w:rsidRPr="00662E51">
        <w:rPr>
          <w:szCs w:val="24"/>
        </w:rPr>
        <w:t>(Hamnett 2014; Manzi 2015)</w:t>
      </w:r>
      <w:r w:rsidRPr="00662E51">
        <w:rPr>
          <w:szCs w:val="24"/>
        </w:rPr>
        <w:fldChar w:fldCharType="end"/>
      </w:r>
      <w:r w:rsidRPr="00662E51">
        <w:rPr>
          <w:szCs w:val="24"/>
        </w:rPr>
        <w:t xml:space="preserve">. Its biggest impact was a sharp decrease in funding to local councils—as much as 60 per cent for some localities and programs </w:t>
      </w:r>
      <w:r w:rsidRPr="00662E51">
        <w:rPr>
          <w:szCs w:val="24"/>
        </w:rPr>
        <w:fldChar w:fldCharType="begin"/>
      </w:r>
      <w:r w:rsidR="001B2CAA">
        <w:rPr>
          <w:szCs w:val="24"/>
        </w:rPr>
        <w:instrText xml:space="preserve"> ADDIN ZOTERO_ITEM CSL_CITATION {"citationID":"dutsS3wm","properties":{"formattedCitation":"(Gray and Barford 2018)","plainCitation":"(Gray and Barford 2018)","noteIndex":0},"citationItems":[{"id":"n0Saldgp/fbUthKsk","uris":["http://zotero.org/users/8977980/items/ADTPDC5B"],"itemData":{"id":"6A17ygGx/ZyqGgm1N","type":"article-journal","abstract":"Austerity, the sustained and widespread cuts to government budgets, has characterised Britain’s public policy since 2010. The local state has undergone substantial restructuring, driven by major budget reductions from central government. Hitherto, few studies of austerity in the UK have considered the interplay of national and local policies. We contribute a fine-grained spatial analysis of local authority budgets, highlighting their socioeconomically and geographically uneven impacts. We identify substantial variations between authorities in terms of funding, local tax-base, fiscal resources, assets, political control, service-need and demographics. We argue that austerity has actively reshaped the relationship between central and local government in Britain, shrinking the capacity of the local state, increasing inequality between local governments and exacerbating territorial injustice.","container-title":"Cambridge Journal of Regions, Economy and Society","DOI":"10.1093/cjres/rsy019","ISSN":"1752-1378, 1752-1386","issue":"3","language":"en","page":"541-563","source":"DOI.org (Crossref)","title":"The depths of the cuts: the uneven geography of local government austerity","title-short":"The depths of the cuts","volume":"11","author":[{"family":"Gray","given":"Mia"},{"family":"Barford","given":"Anna"}],"issued":{"date-parts":[["2018",10,29]]}}}],"schema":"https://github.com/citation-style-language/schema/raw/master/csl-citation.json"} </w:instrText>
      </w:r>
      <w:r w:rsidRPr="00662E51">
        <w:rPr>
          <w:szCs w:val="24"/>
        </w:rPr>
        <w:fldChar w:fldCharType="separate"/>
      </w:r>
      <w:r w:rsidRPr="00662E51">
        <w:rPr>
          <w:szCs w:val="24"/>
        </w:rPr>
        <w:t>(Gray and Barford 2018)</w:t>
      </w:r>
      <w:r w:rsidRPr="00662E51">
        <w:rPr>
          <w:szCs w:val="24"/>
        </w:rPr>
        <w:fldChar w:fldCharType="end"/>
      </w:r>
      <w:r w:rsidRPr="00662E51">
        <w:rPr>
          <w:szCs w:val="24"/>
        </w:rPr>
        <w:t xml:space="preserve">. </w:t>
      </w:r>
      <w:r w:rsidR="00141073">
        <w:rPr>
          <w:szCs w:val="24"/>
        </w:rPr>
        <w:t xml:space="preserve">Lavery </w:t>
      </w:r>
      <w:r w:rsidR="008E60EF">
        <w:rPr>
          <w:szCs w:val="24"/>
        </w:rPr>
        <w:fldChar w:fldCharType="begin"/>
      </w:r>
      <w:r w:rsidR="008E60EF">
        <w:rPr>
          <w:szCs w:val="24"/>
        </w:rPr>
        <w:instrText xml:space="preserve"> ADDIN ZOTERO_ITEM CSL_CITATION {"citationID":"oXWc2fCk","properties":{"formattedCitation":"(2015)","plainCitation":"(2015)","noteIndex":0},"citationItems":[{"id":7188,"uris":["http://zotero.org/users/8977980/items/7PFFUM5Z"],"itemData":{"id":7188,"type":"report","genre":"SPERI British Political Economy Brief","number":"10","publisher":"University of Sheffield","publisher-place":"Sheffield, UK","title":"Public and private sector employment across the UK since the financial crisis","URL":"https://sheffield.ac.uk/media/36668/download?attachment","author":[{"family":"Lavery","given":"Scott"}],"issued":{"date-parts":[["2015",2]]}},"suppress-author":true}],"schema":"https://github.com/citation-style-language/schema/raw/master/csl-citation.json"} </w:instrText>
      </w:r>
      <w:r w:rsidR="008E60EF">
        <w:rPr>
          <w:szCs w:val="24"/>
        </w:rPr>
        <w:fldChar w:fldCharType="separate"/>
      </w:r>
      <w:r w:rsidR="008E60EF" w:rsidRPr="008E60EF">
        <w:t>(2015)</w:t>
      </w:r>
      <w:r w:rsidR="008E60EF">
        <w:rPr>
          <w:szCs w:val="24"/>
        </w:rPr>
        <w:fldChar w:fldCharType="end"/>
      </w:r>
      <w:r w:rsidR="00CD1EBE">
        <w:rPr>
          <w:szCs w:val="24"/>
        </w:rPr>
        <w:t xml:space="preserve"> </w:t>
      </w:r>
      <w:r w:rsidR="00141073">
        <w:rPr>
          <w:szCs w:val="24"/>
        </w:rPr>
        <w:t xml:space="preserve">estimates that </w:t>
      </w:r>
      <w:r w:rsidR="0099396A">
        <w:rPr>
          <w:szCs w:val="24"/>
        </w:rPr>
        <w:t xml:space="preserve">austerity led to </w:t>
      </w:r>
      <w:r w:rsidR="00185985">
        <w:rPr>
          <w:szCs w:val="24"/>
        </w:rPr>
        <w:t xml:space="preserve">the </w:t>
      </w:r>
      <w:r w:rsidR="0099396A">
        <w:rPr>
          <w:szCs w:val="24"/>
        </w:rPr>
        <w:t xml:space="preserve">cutting </w:t>
      </w:r>
      <w:r w:rsidR="00185985">
        <w:rPr>
          <w:szCs w:val="24"/>
        </w:rPr>
        <w:t xml:space="preserve">of </w:t>
      </w:r>
      <w:r w:rsidR="0099396A">
        <w:rPr>
          <w:szCs w:val="24"/>
        </w:rPr>
        <w:t>over half a million public sector jobs (</w:t>
      </w:r>
      <w:r w:rsidR="008E60EF">
        <w:rPr>
          <w:szCs w:val="24"/>
        </w:rPr>
        <w:t xml:space="preserve">around 11%), with some regions losing nearly one-in-five public sector workers. </w:t>
      </w:r>
      <w:r w:rsidR="00185985">
        <w:rPr>
          <w:szCs w:val="24"/>
        </w:rPr>
        <w:lastRenderedPageBreak/>
        <w:t xml:space="preserve">Such cuts represent not only decreased </w:t>
      </w:r>
      <w:r w:rsidR="001A2056">
        <w:rPr>
          <w:szCs w:val="24"/>
        </w:rPr>
        <w:t xml:space="preserve">support for those in need, but also the cumulative loss of decades of </w:t>
      </w:r>
      <w:r w:rsidR="00032709">
        <w:rPr>
          <w:szCs w:val="24"/>
        </w:rPr>
        <w:t>institutional knowledge</w:t>
      </w:r>
      <w:r w:rsidR="00BD17AF">
        <w:rPr>
          <w:szCs w:val="24"/>
        </w:rPr>
        <w:t>.</w:t>
      </w:r>
      <w:r w:rsidR="00032709" w:rsidRPr="00662E51">
        <w:rPr>
          <w:szCs w:val="24"/>
        </w:rPr>
        <w:t xml:space="preserve"> </w:t>
      </w:r>
      <w:r w:rsidRPr="00662E51">
        <w:rPr>
          <w:szCs w:val="24"/>
        </w:rPr>
        <w:t xml:space="preserve">Broader welfare restructuring in turn reshaped policy, significantly constraining upkeep of existing social housing and new construction. </w:t>
      </w:r>
      <w:r w:rsidR="00792B06">
        <w:rPr>
          <w:szCs w:val="24"/>
        </w:rPr>
        <w:t xml:space="preserve">One change </w:t>
      </w:r>
      <w:r w:rsidR="0068046C">
        <w:rPr>
          <w:szCs w:val="24"/>
        </w:rPr>
        <w:t xml:space="preserve">is exemplified by MacLeod’s </w:t>
      </w:r>
      <w:r w:rsidR="0068046C">
        <w:rPr>
          <w:bCs/>
          <w:iCs/>
          <w:szCs w:val="24"/>
        </w:rPr>
        <w:fldChar w:fldCharType="begin"/>
      </w:r>
      <w:r w:rsidR="0068046C">
        <w:rPr>
          <w:bCs/>
          <w:iCs/>
          <w:szCs w:val="24"/>
        </w:rPr>
        <w:instrText xml:space="preserve"> ADDIN ZOTERO_ITEM CSL_CITATION {"citationID":"ziIhyAjn","properties":{"formattedCitation":"(2018)","plainCitation":"(2018)","noteIndex":0},"citationItems":[{"id":7187,"uris":["http://zotero.org/users/8977980/items/VFGU2V4Q"],"itemData":{"id":7187,"type":"article-journal","container-title":"City","DOI":"10.1080/13604813.2018.1507099","ISSN":"1360-4813, 1470-3629","issue":"4","journalAbbreviation":"City","language":"en","page":"460-489","source":"DOI.org (Crossref)","title":"The Grenfell Tower atrocity: Exposing urban worlds of inequality, injustice, and an impaired democracy","title-short":"The Grenfell Tower atrocity","volume":"22","author":[{"family":"MacLeod","given":"Gordon"}],"issued":{"date-parts":[["2018",7,4]]}},"suppress-author":true}],"schema":"https://github.com/citation-style-language/schema/raw/master/csl-citation.json"} </w:instrText>
      </w:r>
      <w:r w:rsidR="0068046C">
        <w:rPr>
          <w:bCs/>
          <w:iCs/>
          <w:szCs w:val="24"/>
        </w:rPr>
        <w:fldChar w:fldCharType="separate"/>
      </w:r>
      <w:r w:rsidR="0068046C" w:rsidRPr="006A4F31">
        <w:t>(2018)</w:t>
      </w:r>
      <w:r w:rsidR="0068046C">
        <w:rPr>
          <w:bCs/>
          <w:iCs/>
          <w:szCs w:val="24"/>
        </w:rPr>
        <w:fldChar w:fldCharType="end"/>
      </w:r>
      <w:r w:rsidR="0068046C" w:rsidRPr="001E542D">
        <w:rPr>
          <w:bCs/>
          <w:iCs/>
          <w:szCs w:val="24"/>
        </w:rPr>
        <w:t xml:space="preserve"> </w:t>
      </w:r>
      <w:r w:rsidR="0068046C">
        <w:rPr>
          <w:szCs w:val="24"/>
        </w:rPr>
        <w:t xml:space="preserve">analysis of the 2017 Grenfell fire (discussed in more detail in Section 2.1), which reveals a complex, interlocking, and overlapping web of contractors, subcontractors, </w:t>
      </w:r>
      <w:r w:rsidR="00846511">
        <w:rPr>
          <w:szCs w:val="24"/>
        </w:rPr>
        <w:t xml:space="preserve">public-private partnerships, and related groups that have come to define how social housing is delivered in contemporary Britain </w:t>
      </w:r>
      <w:r w:rsidR="00704ADC">
        <w:rPr>
          <w:szCs w:val="24"/>
        </w:rPr>
        <w:fldChar w:fldCharType="begin"/>
      </w:r>
      <w:r w:rsidR="00704ADC">
        <w:rPr>
          <w:szCs w:val="24"/>
        </w:rPr>
        <w:instrText xml:space="preserve"> ADDIN ZOTERO_ITEM CSL_CITATION {"citationID":"mZ1icBoG","properties":{"formattedCitation":"(see also Raco and Savini 2019)","plainCitation":"(see also Raco and Savini 2019)","noteIndex":0},"citationItems":[{"id":6606,"uris":["http://zotero.org/users/8977980/items/CURL8BG2"],"itemData":{"id":6606,"type":"book","abstract":"This book uses an international perspective to look at the sources of conflict and cooperation between the different landscapes of knowledge driving contemporary urban change, and the rise of new technocracy in urban governance","ISBN":"978-1-4473-4525-1","language":"eng","number-of-pages":"1","publisher":"Policy Press","publisher-place":"Bristol, UK ; Chicago, IL, USA","source":"K10plus ISBN","title":"Planning and knowledge: how new forms of technocracy are shaping contemporary cities","title-short":"Planning and knowledge","editor":[{"family":"Raco","given":"Mike"},{"family":"Savini","given":"Federico"}],"issued":{"date-parts":[["2019"]]}},"prefix":"see also"}],"schema":"https://github.com/citation-style-language/schema/raw/master/csl-citation.json"} </w:instrText>
      </w:r>
      <w:r w:rsidR="00704ADC">
        <w:rPr>
          <w:szCs w:val="24"/>
        </w:rPr>
        <w:fldChar w:fldCharType="separate"/>
      </w:r>
      <w:r w:rsidR="00704ADC" w:rsidRPr="00704ADC">
        <w:t>(see also Raco and Savini 2019)</w:t>
      </w:r>
      <w:r w:rsidR="00704ADC">
        <w:rPr>
          <w:szCs w:val="24"/>
        </w:rPr>
        <w:fldChar w:fldCharType="end"/>
      </w:r>
      <w:r w:rsidR="00ED287E">
        <w:rPr>
          <w:szCs w:val="24"/>
        </w:rPr>
        <w:t xml:space="preserve">. </w:t>
      </w:r>
      <w:r w:rsidR="00792B06">
        <w:rPr>
          <w:szCs w:val="24"/>
        </w:rPr>
        <w:t xml:space="preserve">Another </w:t>
      </w:r>
      <w:r w:rsidRPr="00662E51">
        <w:rPr>
          <w:szCs w:val="24"/>
        </w:rPr>
        <w:t xml:space="preserve">change is in the kinds of tenancies supported by government funding, with an increase in funds for shorter, more expensive versions of traditional council tenancies. Funds for traditional council tenancies concomitantly decreased </w:t>
      </w:r>
      <w:r w:rsidRPr="00662E51">
        <w:rPr>
          <w:szCs w:val="24"/>
        </w:rPr>
        <w:fldChar w:fldCharType="begin"/>
      </w:r>
      <w:r w:rsidR="001B2CAA">
        <w:rPr>
          <w:szCs w:val="24"/>
        </w:rPr>
        <w:instrText xml:space="preserve"> ADDIN ZOTERO_ITEM CSL_CITATION {"citationID":"7KInOfi6","properties":{"formattedCitation":"(Mulliner and Maliene 2013)","plainCitation":"(Mulliner and Maliene 2013)","noteIndex":0},"citationItems":[{"id":"n0Saldgp/0haGW2vB","uris":["http://zotero.org/users/8977980/items/UKF7YDJQ"],"itemData":{"id":421,"type":"article-journal","abstract":"The recession has created significant challenges for the government with regard to providing affordable housing. Even during the UK’s housing boom the supply of housing failed to keep pace with demand. Therefore, increasing housing supply and improving affordability in a recessionary period will require the government to innovatively utilise their limited resources. Following the Comprehensive Spending Review in 2010 severe cuts to the housing budget were made and radical reforms to housing and planning policy have been proposed by the coalition government. The paper briefly discusses the UK housing market and affordable housing policy and practice recently employed in England. Subsequently a discussion of the coalition government’s recent reforms to housing and planning policy, concerning affordable housing, is presented.","container-title":"Journal of Housing and the Built Environment","DOI":"10.1007/s10901-012-9305-6","ISSN":"1573-7772","issue":"2","journalAbbreviation":"J Hous and the Built Environ","language":"en","page":"397-407","source":"Springer Link","title":"Austerity and reform to affordable housing policy","volume":"28","author":[{"family":"Mulliner","given":"Emma"},{"family":"Maliene","given":"Vida"}],"issued":{"date-parts":[["2013",6,1]]}},"label":"page"}],"schema":"https://github.com/citation-style-language/schema/raw/master/csl-citation.json"} </w:instrText>
      </w:r>
      <w:r w:rsidRPr="00662E51">
        <w:rPr>
          <w:szCs w:val="24"/>
        </w:rPr>
        <w:fldChar w:fldCharType="separate"/>
      </w:r>
      <w:r w:rsidRPr="00662E51">
        <w:rPr>
          <w:szCs w:val="24"/>
        </w:rPr>
        <w:t>(Mulliner and Maliene 2013)</w:t>
      </w:r>
      <w:r w:rsidRPr="00662E51">
        <w:rPr>
          <w:szCs w:val="24"/>
        </w:rPr>
        <w:fldChar w:fldCharType="end"/>
      </w:r>
      <w:r w:rsidRPr="00662E51">
        <w:rPr>
          <w:szCs w:val="24"/>
        </w:rPr>
        <w:t xml:space="preserve">. Support for constructing new affordable homes also fell by 60 per cent. Councils responded in a few ways. One is to artificially reduce demand for council homes by restricting waiting lists. Another was to raise rents for the highest income earners </w:t>
      </w:r>
      <w:r w:rsidRPr="00662E51">
        <w:rPr>
          <w:szCs w:val="24"/>
        </w:rPr>
        <w:fldChar w:fldCharType="begin"/>
      </w:r>
      <w:r w:rsidR="008835AB" w:rsidRPr="00662E51">
        <w:rPr>
          <w:szCs w:val="24"/>
        </w:rPr>
        <w:instrText xml:space="preserve"> ADDIN ZOTERO_ITEM CSL_CITATION {"citationID":"iAOCgY3l","properties":{"formattedCitation":"(Stephens and Stephenson 2016)","plainCitation":"(Stephens and Stephenson 2016)","noteIndex":0},"citationItems":[{"id":7038,"uris":["http://zotero.org/users/8977980/items/LW6EYICH"],"itemData":{"id":7038,"type":"chapter","container-title":"Social Policy Review 28","DOI":"10.51952/9781447331803.ch004","ISBN":"978-1-4473-3180-3","page":"63-86","publisher":"Policy Press","source":"DOI.org (Crossref)","title":"Housing policy in the austerity age and beyond","URL":"https://bristoluniversitypressdigital.com/view/book/9781447331803/ch004.xml","editor":[{"family":"Fenger","given":"Menno"},{"family":"Hudson","given":"John"},{"family":"Needham","given":"Catherine"}],"author":[{"family":"Stephens","given":"Mark"},{"family":"Stephenson","given":"Adam"}],"accessed":{"date-parts":[["2025",10,9]]},"issued":{"date-parts":[["2016",6,29]]}}}],"schema":"https://github.com/citation-style-language/schema/raw/master/csl-citation.json"} </w:instrText>
      </w:r>
      <w:r w:rsidRPr="00662E51">
        <w:rPr>
          <w:szCs w:val="24"/>
        </w:rPr>
        <w:fldChar w:fldCharType="separate"/>
      </w:r>
      <w:r w:rsidRPr="00662E51">
        <w:rPr>
          <w:szCs w:val="24"/>
        </w:rPr>
        <w:t>(Stephens and Stephenson 2016)</w:t>
      </w:r>
      <w:r w:rsidRPr="00662E51">
        <w:rPr>
          <w:szCs w:val="24"/>
        </w:rPr>
        <w:fldChar w:fldCharType="end"/>
      </w:r>
      <w:r w:rsidRPr="00662E51">
        <w:rPr>
          <w:szCs w:val="24"/>
        </w:rPr>
        <w:t xml:space="preserve">. The Big Society program thus brought about restructuring in council housing that continued to residualised it </w:t>
      </w:r>
      <w:r w:rsidRPr="00662E51">
        <w:rPr>
          <w:szCs w:val="24"/>
        </w:rPr>
        <w:fldChar w:fldCharType="begin"/>
      </w:r>
      <w:r w:rsidRPr="00662E51">
        <w:rPr>
          <w:szCs w:val="24"/>
        </w:rPr>
        <w:instrText xml:space="preserve"> ADDIN ZOTERO_ITEM CSL_CITATION {"citationID":"X6aRhpfu","properties":{"formattedCitation":"(Forrest and Murie 1983)","plainCitation":"(Forrest and Murie 1983)","noteIndex":0},"citationItems":[{"id":7073,"uris":["http://zotero.org/users/8977980/items/SHBGGKD7"],"itemData":{"id":7073,"type":"article-journal","abstract":"It is commonly argued that council housing in Britain is becoming a residual service. This paper explores the various dimensions of residualization such as the size of the council house sector, the quality of the service, the characteristics of tenants and the nature of the stock. Whilst changes in these areas are significant it is suggested that we must look beyond housing processes to fully understand the downgrading of council housing. Specifically it is argued that explanations must take account of questions of economic and political powerlessness, the marginalization of certain sections of the working class from the labour market and the uneven impact of the recession.","container-title":"Journal of Social Policy","DOI":"10.1017/S0047279400013088","ISSN":"1469-7823, 0047-2794","issue":"4","language":"en","page":"453-468","source":"Cambridge University Press","title":"Residualization and Council Housing: Aspects of the Changing Social Relations of Housing Tenure","title-short":"Residualization and Council Housing","volume":"12","author":[{"family":"Forrest","given":"Ray"},{"family":"Murie","given":"Alan"}],"issued":{"date-parts":[["1983",10]]}}}],"schema":"https://github.com/citation-style-language/schema/raw/master/csl-citation.json"} </w:instrText>
      </w:r>
      <w:r w:rsidRPr="00662E51">
        <w:rPr>
          <w:szCs w:val="24"/>
        </w:rPr>
        <w:fldChar w:fldCharType="separate"/>
      </w:r>
      <w:r w:rsidRPr="00662E51">
        <w:rPr>
          <w:szCs w:val="24"/>
        </w:rPr>
        <w:t>(Forrest and Murie 1983)</w:t>
      </w:r>
      <w:r w:rsidRPr="00662E51">
        <w:rPr>
          <w:szCs w:val="24"/>
        </w:rPr>
        <w:fldChar w:fldCharType="end"/>
      </w:r>
      <w:r w:rsidRPr="00662E51">
        <w:rPr>
          <w:szCs w:val="24"/>
        </w:rPr>
        <w:t xml:space="preserve">. </w:t>
      </w:r>
    </w:p>
    <w:p w14:paraId="5A8EC051" w14:textId="0CE9329B" w:rsidR="00CA6F09" w:rsidRPr="00662E51" w:rsidRDefault="00CA6F09" w:rsidP="00F56305">
      <w:pPr>
        <w:spacing w:line="360" w:lineRule="auto"/>
        <w:ind w:left="0" w:firstLine="720"/>
        <w:contextualSpacing/>
        <w:rPr>
          <w:szCs w:val="24"/>
        </w:rPr>
      </w:pPr>
      <w:r w:rsidRPr="00662E51">
        <w:rPr>
          <w:szCs w:val="24"/>
        </w:rPr>
        <w:t xml:space="preserve">In terms of relevance to this thesis, austerity’s most important impact is the continuing use of ‘regeneration.’ Broadly conceived as “spatially targeted investment in, and revitalisation of, physically deteriorating,” economically underinvested, and “socially deprived” regions, regeneration has mostly (but not always) involved replacement of council estates with mixed-tenure estates through the use of private money </w:t>
      </w:r>
      <w:r w:rsidRPr="00662E51">
        <w:rPr>
          <w:szCs w:val="24"/>
        </w:rPr>
        <w:fldChar w:fldCharType="begin"/>
      </w:r>
      <w:r w:rsidR="001B2CAA">
        <w:rPr>
          <w:szCs w:val="24"/>
        </w:rPr>
        <w:instrText xml:space="preserve"> ADDIN ZOTERO_ITEM CSL_CITATION {"citationID":"auo8dbbgr0","properties":{"formattedCitation":"(Watt 2021b, 1)","plainCitation":"(Watt 2021b, 1)","noteIndex":0},"citationItems":[{"id":"n0Saldgp/r7qNchtf","uris":["http://zotero.org/users/8977980/items/BHKUJBH9"],"itemData":{"id":1046,"type":"book","abstract":"Public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Discontents","author":[{"family":"Watt","given":"Paul"}],"issued":{"date-parts":[["2021",3,31]]}},"locator":"1"}],"schema":"https://github.com/citation-style-language/schema/raw/master/csl-citation.json"} </w:instrText>
      </w:r>
      <w:r w:rsidRPr="00662E51">
        <w:rPr>
          <w:szCs w:val="24"/>
        </w:rPr>
        <w:fldChar w:fldCharType="separate"/>
      </w:r>
      <w:r w:rsidRPr="00662E51">
        <w:rPr>
          <w:szCs w:val="24"/>
        </w:rPr>
        <w:t>(Watt 2021b, 1)</w:t>
      </w:r>
      <w:r w:rsidRPr="00662E51">
        <w:rPr>
          <w:szCs w:val="24"/>
        </w:rPr>
        <w:fldChar w:fldCharType="end"/>
      </w:r>
      <w:r w:rsidRPr="00662E51">
        <w:rPr>
          <w:szCs w:val="24"/>
        </w:rPr>
        <w:t xml:space="preserve">. The concept is not new, dating back at least to Thatcher’s premiership, continuing under New Labour and into the present. One historical example is the remaking of the Liverpool docks, which were significantly reshaped by a public-private partnership after the 1981 Toxteth riot </w:t>
      </w:r>
      <w:r w:rsidRPr="00662E51">
        <w:rPr>
          <w:szCs w:val="24"/>
        </w:rPr>
        <w:fldChar w:fldCharType="begin"/>
      </w:r>
      <w:r w:rsidR="008835AB" w:rsidRPr="00662E51">
        <w:rPr>
          <w:szCs w:val="24"/>
        </w:rPr>
        <w:instrText xml:space="preserve"> ADDIN ZOTERO_ITEM CSL_CITATION {"citationID":"1nb8LaZy","properties":{"formattedCitation":"(Wetherell 2025)","plainCitation":"(Wetherell 2025)","noteIndex":0},"citationItems":[{"id":6494,"uris":["http://zotero.org/users/8977980/items/JDTFD4IU"],"itemData":{"id":6494,"type":"book","abstract":"The city is equally notorious for its poverty, its ethnic and racial divides and, above all, its decline. For Liverpool was once a major port, growing rich on slavery, on trade with the Americas and the British Empire's outposts in Africa and Asia. In the 1980s, it was described as 'obsolete'. Yet the city fights on. This is the epic history of Liverpool since the Second World War. It is a story of vast docklands shrinking and eventually vanishing when corporations discovered they could shift goods in containers and dispense with human workers, of industries like car manufacturing mushrooming and disappearing, of huge new suburbs being built and neglected. It is a moving and horrifying narrative of casual racism - Chinese sailors deported en masse in the aftermath of the war, systematic discrimination against the city's Black population - and of resistance, culminating in the Toxteth riots in 1981. It is the story of a city fighting against a descent into obsolescence. Liverpool also becomes a prism through which recent British history is brought into a new focus. It is the fascinating history of a single, iconic city. But it is also a warning of what the future may hold for many more communities","ISBN":"978-1-80110-888-1","language":"eng","number-of-pages":"438","publisher":"Apollo","publisher-place":"London","source":"K10plus ISBN","title":"Liverpool and the Unmaking of Britain","title-short":"Liverpool","author":[{"family":"Wetherell","given":"Sam"}],"issued":{"date-parts":[["2025"]]}}}],"schema":"https://github.com/citation-style-language/schema/raw/master/csl-citation.json"} </w:instrText>
      </w:r>
      <w:r w:rsidRPr="00662E51">
        <w:rPr>
          <w:szCs w:val="24"/>
        </w:rPr>
        <w:fldChar w:fldCharType="separate"/>
      </w:r>
      <w:r w:rsidRPr="00662E51">
        <w:rPr>
          <w:szCs w:val="24"/>
        </w:rPr>
        <w:t>(Wetherell 2025)</w:t>
      </w:r>
      <w:r w:rsidRPr="00662E51">
        <w:rPr>
          <w:szCs w:val="24"/>
        </w:rPr>
        <w:fldChar w:fldCharType="end"/>
      </w:r>
      <w:r w:rsidRPr="00662E51">
        <w:rPr>
          <w:szCs w:val="24"/>
        </w:rPr>
        <w:t xml:space="preserve">. Another is London’s Docklands, a </w:t>
      </w:r>
      <w:r w:rsidR="009C053F">
        <w:rPr>
          <w:szCs w:val="24"/>
        </w:rPr>
        <w:t>regeneration project</w:t>
      </w:r>
      <w:r w:rsidRPr="00662E51">
        <w:rPr>
          <w:szCs w:val="24"/>
        </w:rPr>
        <w:t xml:space="preserve"> that also started in 1981 under Thatcher. </w:t>
      </w:r>
      <w:r w:rsidRPr="00662E51">
        <w:rPr>
          <w:bCs/>
          <w:iCs/>
          <w:szCs w:val="24"/>
        </w:rPr>
        <w:t xml:space="preserve">The Docklands project saw the conversion of London’s shipping heartland into a second financial centre, mostly filled with white-collar offices and associated retail offerings. The scheme did see new homes built—but these homes were far more expensive than the homes they replaced, raising the possibility of state-led gentrification </w:t>
      </w:r>
      <w:r w:rsidRPr="00662E51">
        <w:rPr>
          <w:bCs/>
          <w:iCs/>
          <w:szCs w:val="24"/>
        </w:rPr>
        <w:fldChar w:fldCharType="begin"/>
      </w:r>
      <w:r w:rsidR="008835AB" w:rsidRPr="00662E51">
        <w:rPr>
          <w:bCs/>
          <w:iCs/>
          <w:szCs w:val="24"/>
        </w:rPr>
        <w:instrText xml:space="preserve"> ADDIN ZOTERO_ITEM CSL_CITATION {"citationID":"m33b2DS9","properties":{"formattedCitation":"(Brownill 1999)","plainCitation":"(Brownill 1999)","noteIndex":0},"citationItems":[{"id":7021,"uris":["http://zotero.org/users/8977980/items/6C3THG3M"],"itemData":{"id":7021,"type":"chapter","container-title":"British Urban Policy: An Evaluation of the Urban Development Corporations","DOI":"10.4135/9781446218907.n2","ISBN":"978-0-7619-6226-7","page":"41-63","publisher":"SAGE Publications Ltd","publisher-place":"1 Oliver's Yard, 55 City Road, London EC1Y 1SP United Kingdom","source":"DOI.org (Crossref)","title":"Turning the East End into the West End: The Lessons and Legacies of the London Docklands Development Corporation","title-short":"Turning the East End into the West End","URL":"https://sk.sagepub.com/books/british-urban-policy/n2.xml","editor":[{"family":"Imrie","given":"Rob"},{"family":"Thomas","given":"Huw"}],"author":[{"family":"Brownill","given":"Sue"}],"accessed":{"date-parts":[["2025",10,7]]},"issued":{"date-parts":[["1999"]]}}}],"schema":"https://github.com/citation-style-language/schema/raw/master/csl-citation.json"} </w:instrText>
      </w:r>
      <w:r w:rsidRPr="00662E51">
        <w:rPr>
          <w:bCs/>
          <w:iCs/>
          <w:szCs w:val="24"/>
        </w:rPr>
        <w:fldChar w:fldCharType="separate"/>
      </w:r>
      <w:r w:rsidRPr="00662E51">
        <w:rPr>
          <w:szCs w:val="24"/>
        </w:rPr>
        <w:t>(Brownill 1999)</w:t>
      </w:r>
      <w:r w:rsidRPr="00662E51">
        <w:rPr>
          <w:bCs/>
          <w:iCs/>
          <w:szCs w:val="24"/>
        </w:rPr>
        <w:fldChar w:fldCharType="end"/>
      </w:r>
      <w:r w:rsidRPr="00662E51">
        <w:rPr>
          <w:bCs/>
          <w:iCs/>
          <w:szCs w:val="24"/>
        </w:rPr>
        <w:t xml:space="preserve">. </w:t>
      </w:r>
      <w:r w:rsidRPr="00662E51">
        <w:rPr>
          <w:szCs w:val="24"/>
        </w:rPr>
        <w:t xml:space="preserve">Again, the </w:t>
      </w:r>
      <w:r w:rsidRPr="00662E51">
        <w:rPr>
          <w:szCs w:val="24"/>
        </w:rPr>
        <w:lastRenderedPageBreak/>
        <w:t xml:space="preserve">Docklands regeneration was achieved with a public-private partnership that transferred urban planning powers to central government, thereby diminishing local democracy </w:t>
      </w:r>
      <w:r w:rsidRPr="00662E51">
        <w:rPr>
          <w:szCs w:val="24"/>
        </w:rPr>
        <w:fldChar w:fldCharType="begin"/>
      </w:r>
      <w:r w:rsidRPr="00662E51">
        <w:rPr>
          <w:szCs w:val="24"/>
        </w:rPr>
        <w:instrText xml:space="preserve"> ADDIN ZOTERO_ITEM CSL_CITATION {"citationID":"v5dJCDOY","properties":{"formattedCitation":"(Pile 1995)","plainCitation":"(Pile 1995)","noteIndex":0},"citationItems":[{"id":2065,"uris":["http://zotero.org/users/8977980/items/CL8ULHA8"],"itemData":{"id":2065,"type":"article-journal","abstract":"Globalisation has changed the formation of contemporary citizenship. At the same time as undermining the role of the nation state in the construction of political participation, new arenas of citizenship are suggestive of an emergent ‘global citizenship’. Analysis of participation in politics at the scale of the global has suggested that civil society associations are strongly implicated in this process. This paper explores the role played by such institutions in the configuration of global citizenship. Through a case study of international development NGOs in the UK, and the relationship they build with the public, the paper suggests that international non-governmental organisations (INGOs) offer a version of global citizenship, which is highly circumscribed by their professional and institutional imperatives. Concerns with the continuing ability of organisations to deliver a professionally determined development agenda means that the role envisioned for the public by INGOs does not necessarily accord with that presented by advocates of the role of global civil society in citizenship. The paper concludes by exploring the implications of these findings for further research on the formation of global citizenship.","collection-title":"Spaces of citizenship","container-title":"Political Geography","DOI":"10.1016/0962-6298(95)91666-R","ISSN":"0962-6298","issue":"2","journalAbbreviation":"Political Geography","language":"en","page":"199-208","source":"ScienceDirect","title":"‘What we are asking for is decent human life’: SPLASH, neighbourhood demands and citizenship in London's docklands","title-short":"‘What we are asking for is decent human life’","volume":"14","author":[{"family":"Pile","given":"Steve"}],"issued":{"date-parts":[["1995",2,1]]}}}],"schema":"https://github.com/citation-style-language/schema/raw/master/csl-citation.json"} </w:instrText>
      </w:r>
      <w:r w:rsidRPr="00662E51">
        <w:rPr>
          <w:szCs w:val="24"/>
        </w:rPr>
        <w:fldChar w:fldCharType="separate"/>
      </w:r>
      <w:r w:rsidRPr="00662E51">
        <w:rPr>
          <w:szCs w:val="24"/>
        </w:rPr>
        <w:t>(Pile 1995)</w:t>
      </w:r>
      <w:r w:rsidRPr="00662E51">
        <w:rPr>
          <w:szCs w:val="24"/>
        </w:rPr>
        <w:fldChar w:fldCharType="end"/>
      </w:r>
      <w:r w:rsidRPr="00662E51">
        <w:rPr>
          <w:szCs w:val="24"/>
        </w:rPr>
        <w:t xml:space="preserve">. A more recent example is the Heygate Estate in south London, which began regeneration in the late 1990s and continues to today. Over three decades of redevelopment, this estate has seen significant resistance and displacement, high vacancy, legal challenges, and so on </w:t>
      </w:r>
      <w:r w:rsidRPr="00662E51">
        <w:rPr>
          <w:szCs w:val="24"/>
        </w:rPr>
        <w:fldChar w:fldCharType="begin"/>
      </w:r>
      <w:r w:rsidRPr="00662E51">
        <w:rPr>
          <w:szCs w:val="24"/>
        </w:rPr>
        <w:instrText xml:space="preserve"> ADDIN ZOTERO_ITEM CSL_CITATION {"citationID":"ubinQfqy","properties":{"formattedCitation":"(Lees and Ferreri 2016)","plainCitation":"(Lees and Ferreri 2016)","noteIndex":0},"citationItems":[{"id":7023,"uris":["http://zotero.org/users/8977980/items/BE8CDN92"],"itemData":{"id":7023,"type":"article-journal","abstract":"The state-led gentrification and social cleansing of low income tenants from inner London has been ongoing since the late 1990s and continues today. Publicly owned and managed council estates have become the key target of what has been aptly labelled the 'new' urban renewal. Council estates are one of the final gentrification frontiers in London, housing low income tenants in the face of the total gentrification of the city. In this paper we focus on the resistance to gentrification that emerged in and around one of these estates: the Heygate Estate in Elephant and Castle, inner London. The research and some of the activities discussed formed part of a Scholar- Activist project. We discuss three forms of resistance: local civil society network organising to support open master planning through active engagement with planning; self-organised activities to keep the estate open and accessible during the displacement of its residents; and the legal challenges to the Compulsory Purchase Order of the last remaining properties in the form of a CPO Public Inquiry. While unsuccessful in saving the estate from demolition, each form of resistance and their interrelation succeeded in exposing the degree to which the regeneration of Elephant and Castle and its centrepiece demolition of the estate, was/is not in the ‘public interest’ and in discrediting the local authority's ‘regeneration spin’.","collection-title":"Resistance to social housing transformation","container-title":"Cities","DOI":"10.1016/j.cities.2015.12.005","ISSN":"0264-2751","journalAbbreviation":"Cities","page":"14-24","source":"ScienceDirect","title":"Resisting gentrification on its final frontiers: Learning from the Heygate Estate in London (1974–2013)","title-short":"Resisting gentrification on its final frontiers","volume":"57","author":[{"family":"Lees","given":"Loretta"},{"family":"Ferreri","given":"Mara"}],"issued":{"date-parts":[["2016",9,1]]}}}],"schema":"https://github.com/citation-style-language/schema/raw/master/csl-citation.json"} </w:instrText>
      </w:r>
      <w:r w:rsidRPr="00662E51">
        <w:rPr>
          <w:szCs w:val="24"/>
        </w:rPr>
        <w:fldChar w:fldCharType="separate"/>
      </w:r>
      <w:r w:rsidRPr="00662E51">
        <w:rPr>
          <w:szCs w:val="24"/>
        </w:rPr>
        <w:t>(Lees and Ferreri 2016)</w:t>
      </w:r>
      <w:r w:rsidRPr="00662E51">
        <w:rPr>
          <w:szCs w:val="24"/>
        </w:rPr>
        <w:fldChar w:fldCharType="end"/>
      </w:r>
      <w:r w:rsidRPr="00662E51">
        <w:rPr>
          <w:szCs w:val="24"/>
        </w:rPr>
        <w:t xml:space="preserve">. </w:t>
      </w:r>
    </w:p>
    <w:p w14:paraId="3174C13D" w14:textId="03B70A2E" w:rsidR="00CA6F09" w:rsidRPr="00662E51" w:rsidRDefault="00CA6F09" w:rsidP="00F56305">
      <w:pPr>
        <w:spacing w:line="360" w:lineRule="auto"/>
        <w:ind w:left="0" w:firstLine="720"/>
        <w:contextualSpacing/>
        <w:rPr>
          <w:szCs w:val="24"/>
        </w:rPr>
      </w:pPr>
      <w:r w:rsidRPr="00662E51">
        <w:rPr>
          <w:szCs w:val="24"/>
        </w:rPr>
        <w:t xml:space="preserve">I identify a confluence of factors that have rendered regeneration as the ‘only option’ for local governments: budgetary squeezes from austerity </w:t>
      </w:r>
      <w:r w:rsidRPr="00662E51">
        <w:rPr>
          <w:szCs w:val="24"/>
        </w:rPr>
        <w:fldChar w:fldCharType="begin"/>
      </w:r>
      <w:r w:rsidR="001B2CAA">
        <w:rPr>
          <w:szCs w:val="24"/>
        </w:rPr>
        <w:instrText xml:space="preserve"> ADDIN ZOTERO_ITEM CSL_CITATION {"citationID":"fVOijdUb","properties":{"formattedCitation":"(Gray and Barford 2018)","plainCitation":"(Gray and Barford 2018)","noteIndex":0},"citationItems":[{"id":"n0Saldgp/fbUthKsk","uris":["http://zotero.org/users/8977980/items/ADTPDC5B"],"itemData":{"id":"xJbgSsuD/FM1m2Zuc","type":"article-journal","abstract":"Austerity, the sustained and widespread cuts to government budgets, has characterised Britain’s public policy since 2010. The local state has undergone substantial restructuring, driven by major budget reductions from central government. Hitherto, few studies of austerity in the UK have considered the interplay of national and local policies. We contribute a fine-grained spatial analysis of local authority budgets, highlighting their socioeconomically and geographically uneven impacts. We identify substantial variations between authorities in terms of funding, local tax-base, fiscal resources, assets, political control, service-need and demographics. We argue that austerity has actively reshaped the relationship between central and local government in Britain, shrinking the capacity of the local state, increasing inequality between local governments and exacerbating territorial injustice.","container-title":"Cambridge Journal of Regions, Economy and Society","DOI":"10.1093/cjres/rsy019","ISSN":"1752-1378, 1752-1386","issue":"3","language":"en","page":"541-563","source":"DOI.org (Crossref)","title":"The depths of the cuts: the uneven geography of local government austerity","title-short":"The depths of the cuts","volume":"11","author":[{"family":"Gray","given":"Mia"},{"family":"Barford","given":"Anna"}],"issued":{"date-parts":[["2018",10,29]]}}}],"schema":"https://github.com/citation-style-language/schema/raw/master/csl-citation.json"} </w:instrText>
      </w:r>
      <w:r w:rsidRPr="00662E51">
        <w:rPr>
          <w:szCs w:val="24"/>
        </w:rPr>
        <w:fldChar w:fldCharType="separate"/>
      </w:r>
      <w:r w:rsidRPr="00662E51">
        <w:rPr>
          <w:szCs w:val="24"/>
        </w:rPr>
        <w:t>(Gray and Barford 2018)</w:t>
      </w:r>
      <w:r w:rsidRPr="00662E51">
        <w:rPr>
          <w:szCs w:val="24"/>
        </w:rPr>
        <w:fldChar w:fldCharType="end"/>
      </w:r>
      <w:r w:rsidRPr="00662E51">
        <w:rPr>
          <w:szCs w:val="24"/>
        </w:rPr>
        <w:t xml:space="preserve">, the creep of financial speculation </w:t>
      </w:r>
      <w:r w:rsidRPr="00662E51">
        <w:rPr>
          <w:szCs w:val="24"/>
        </w:rPr>
        <w:fldChar w:fldCharType="begin"/>
      </w:r>
      <w:r w:rsidR="0016400F">
        <w:rPr>
          <w:szCs w:val="24"/>
        </w:rPr>
        <w:instrText xml:space="preserve"> ADDIN ZOTERO_ITEM CSL_CITATION {"citationID":"XH4hcnyz","properties":{"formattedCitation":"(Fields 2023; Goldman 2011)","plainCitation":"(Fields 2023; Goldman 2011)","noteIndex":0},"citationItems":[{"id":6880,"uris":["http://zotero.org/users/8977980/items/HRWF8UP6"],"itemData":{"id":6880,"type":"article-journal","container-title":"Environment and Planning A: Economy and Space","DOI":"10.1177/0308518X221125473","ISSN":"0308-518X","issue":"2","journalAbbreviation":"Environ Plan A","language":"EN","page":"511-516","publisher":"SAGE Publications Ltd","source":"SAGE Journals","title":"Speculative urbanism","volume":"55","author":[{"family":"Fields","given":"Desiree"}],"issued":{"date-parts":[["2023",3,1]]}}},{"id":7074,"uris":["http://zotero.org/users/8977980/items/XYWZ6F68"],"itemData":{"id":7074,"type":"article-journal","abstract":"This article explores the process of making Bangalore, India into a ‘world city’ by focusing on specific world-city projects, the parastatal government agencies managing them, the explosive IT industry as the putative engine behind this world-city making, and the inter-urban dynamics across world cities such as Dubai and Singapore. Most of these activities are linked to the highly remunerative challenge of transforming rural economies into urban real estate. Land speculation and active dispossession of those working and living in the rural periphery, on land upon which the new world-city projects are being built, is the main business of government today in Bangalore. This article suggests that this temporary ‘state of exception’, with both its attendant suspensions of civil and human rights as well as their institutionalization into government practices, reflects a shift into new forms of ‘speculative’ government, economy, urbanism and citizenship. Résumé En Inde, Bangalore passe par un processus de fabrication de ‘ville mondiale’. Pour l'étudier, cet article examine les projets spécifiques à cette dimension urbaine, les organes para-étatiques qui les gèrent, le secteur des technologies informatiques en plein essor qui est censéêtre le moteur du processus, ainsi que les dynamiques interurbaines qui relient les villes mondiales comme Dubaï et Singapour. Ces activités sont associées en grande partie à l'entreprise, particulièrement rémunératrice, de transformation des économies rurales en secteur immobilier urbain. Le gouvernement actuel de Bangalore s'emploie principalement à des opérations de spéculation foncière et de dépossession énergique à l'encontre des populations qui travaillent et vivent dans la zone périphérique rurale, sur les terrains où se bâtissent les projets de la ‘ville mondiale’. Cet ‘état d'exception’ temporaire, avec la suspension afférente de droits civiques et humains, parallèlement à son institutionnalisation dans certaines pratiques du gouvernement, reflète le passage vers de nouvelles formes de citoyenneté, d'urbanisme, d'économie et de gouvernement ‘spéculateur’.","container-title":"International Journal of Urban and Regional Research","DOI":"10.1111/j.1468-2427.2010.01001.x","ISSN":"1468-2427","issue":"3","language":"en","license":"© 2010 The Author. International Journal of Urban and Regional Research © 2010 Joint Editors and Blackwell Publishing Ltd","note":"_eprint: https://onlinelibrary.wiley.com/doi/pdf/10.1111/j.1468-2427.2010.01001.x","page":"555-581","source":"Wiley Online Library","title":"Speculative Urbanism and the Making of the Next World City","volume":"35","author":[{"family":"Goldman","given":"Michael"}],"issued":{"date-parts":[["2011"]]}}}],"schema":"https://github.com/citation-style-language/schema/raw/master/csl-citation.json"} </w:instrText>
      </w:r>
      <w:r w:rsidRPr="00662E51">
        <w:rPr>
          <w:szCs w:val="24"/>
        </w:rPr>
        <w:fldChar w:fldCharType="separate"/>
      </w:r>
      <w:r w:rsidR="0016400F" w:rsidRPr="0016400F">
        <w:t>(Fields 2023; Goldman 2011)</w:t>
      </w:r>
      <w:r w:rsidRPr="00662E51">
        <w:rPr>
          <w:szCs w:val="24"/>
        </w:rPr>
        <w:fldChar w:fldCharType="end"/>
      </w:r>
      <w:r w:rsidRPr="00662E51">
        <w:rPr>
          <w:szCs w:val="24"/>
        </w:rPr>
        <w:t xml:space="preserve"> and aforementioned territorial stigmatisation </w:t>
      </w:r>
      <w:r w:rsidRPr="00662E51">
        <w:rPr>
          <w:szCs w:val="24"/>
        </w:rPr>
        <w:fldChar w:fldCharType="begin"/>
      </w:r>
      <w:r w:rsidR="008835AB" w:rsidRPr="00662E51">
        <w:rPr>
          <w:szCs w:val="24"/>
        </w:rPr>
        <w:instrText xml:space="preserve"> ADDIN ZOTERO_ITEM CSL_CITATION {"citationID":"NnGDZbzy","properties":{"formattedCitation":"(Wacquant et al. 2014)","plainCitation":"(Wacquant et al. 2014)","noteIndex":0},"citationItems":[{"id":4557,"uris":["http://zotero.org/users/8977980/items/QNSJUP9M"],"itemData":{"id":4557,"type":"article-journal","abstract":"This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Borges"}],"issued":{"date-parts":[["2014",6,1]]}}}],"schema":"https://github.com/citation-style-language/schema/raw/master/csl-citation.json"} </w:instrText>
      </w:r>
      <w:r w:rsidRPr="00662E51">
        <w:rPr>
          <w:szCs w:val="24"/>
        </w:rPr>
        <w:fldChar w:fldCharType="separate"/>
      </w:r>
      <w:r w:rsidRPr="00662E51">
        <w:rPr>
          <w:szCs w:val="24"/>
        </w:rPr>
        <w:t>(Wacquant et al. 2014)</w:t>
      </w:r>
      <w:r w:rsidRPr="00662E51">
        <w:rPr>
          <w:szCs w:val="24"/>
        </w:rPr>
        <w:fldChar w:fldCharType="end"/>
      </w:r>
      <w:r w:rsidR="00D60A11">
        <w:rPr>
          <w:szCs w:val="24"/>
        </w:rPr>
        <w:t xml:space="preserve">, and most importantly dominant neoliberal logics </w:t>
      </w:r>
      <w:r w:rsidR="00D60A11">
        <w:rPr>
          <w:szCs w:val="24"/>
        </w:rPr>
        <w:fldChar w:fldCharType="begin"/>
      </w:r>
      <w:r w:rsidR="00D60A11">
        <w:rPr>
          <w:szCs w:val="24"/>
        </w:rPr>
        <w:instrText xml:space="preserve"> ADDIN ZOTERO_ITEM CSL_CITATION {"citationID":"hiroKHm4","properties":{"formattedCitation":"(Hodkinson 2011)","plainCitation":"(Hodkinson 2011)","noteIndex":0},"citationItems":[{"id":7181,"uris":["http://zotero.org/users/8977980/items/4BNYZVRK"],"itemData":{"id":7181,"type":"article-journal","abstract":"Abstract:  This paper responds to recent debates in human geography about ideal-type versus contingent neoliberalism, or what Gibson-Graham conceptualises as “strong” vs “weak” theory, by offering so...","container-title":"Antipode","DOI":"10.1111/j.1467-8330.2010.00819.x","ISSN":"1467-8330","issue":"2","language":"en","page":"358-383","publisher":"John Wiley &amp; Sons, Ltd","source":"onlinelibrary.wiley.com","title":"Housing Regeneration and the Private Finance Initiative in England: Unstitching the Neoliberal Urban Straitjacket","title-short":"Housing Regeneration and the Private Finance Initiative in England","volume":"43","author":[{"family":"Hodkinson","given":"Stuart"}],"issued":{"date-parts":[["2011",3,1]]}}}],"schema":"https://github.com/citation-style-language/schema/raw/master/csl-citation.json"} </w:instrText>
      </w:r>
      <w:r w:rsidR="00D60A11">
        <w:rPr>
          <w:szCs w:val="24"/>
        </w:rPr>
        <w:fldChar w:fldCharType="separate"/>
      </w:r>
      <w:r w:rsidR="00D60A11" w:rsidRPr="00D60A11">
        <w:t>(Hodkinson 2011)</w:t>
      </w:r>
      <w:r w:rsidR="00D60A11">
        <w:rPr>
          <w:szCs w:val="24"/>
        </w:rPr>
        <w:fldChar w:fldCharType="end"/>
      </w:r>
      <w:r w:rsidRPr="00662E51">
        <w:rPr>
          <w:szCs w:val="24"/>
        </w:rPr>
        <w:t xml:space="preserve">. Budgetary cuts mean that councils have very little resources to pay for upkeep or new construction. Simultaneously, existing council estates—often situated in desirable or ‘up-and-coming’ locations—are areas of ‘rent gaps’ </w:t>
      </w:r>
      <w:r w:rsidRPr="00662E51">
        <w:rPr>
          <w:szCs w:val="24"/>
        </w:rPr>
        <w:fldChar w:fldCharType="begin"/>
      </w:r>
      <w:r w:rsidR="00213B80">
        <w:rPr>
          <w:szCs w:val="24"/>
        </w:rPr>
        <w:instrText xml:space="preserve"> ADDIN ZOTERO_ITEM CSL_CITATION {"citationID":"hDCCgQV3","properties":{"formattedCitation":"(N. Smith 1987)","plainCitation":"(N. Smith 1987)","noteIndex":0},"citationItems":[{"id":1059,"uris":["http://zotero.org/users/8977980/items/AITSD26E"],"itemData":{"id":1059,"type":"article-journal","container-title":"Annals of the Association of American Geographers","ISSN":"0004-5608","issue":"3","page":"462-465","publisher":"[Association of American Geographers, Taylor &amp; Francis, Ltd.]","source":"JSTOR","title":"Gentrification and the Rent Gap","volume":"77","author":[{"family":"Smith","given":"Neil"}],"issued":{"date-parts":[["1987"]]}}}],"schema":"https://github.com/citation-style-language/schema/raw/master/csl-citation.json"} </w:instrText>
      </w:r>
      <w:r w:rsidRPr="00662E51">
        <w:rPr>
          <w:szCs w:val="24"/>
        </w:rPr>
        <w:fldChar w:fldCharType="separate"/>
      </w:r>
      <w:r w:rsidR="00213B80" w:rsidRPr="00213B80">
        <w:t>(N. Smith 1987)</w:t>
      </w:r>
      <w:r w:rsidRPr="00662E51">
        <w:rPr>
          <w:szCs w:val="24"/>
        </w:rPr>
        <w:fldChar w:fldCharType="end"/>
      </w:r>
      <w:r w:rsidRPr="00662E51">
        <w:rPr>
          <w:szCs w:val="24"/>
        </w:rPr>
        <w:t xml:space="preserve">. That is, they are neighbourhoods where extractable rent is presently below potential levels, meaning future profit is possible. Developers attempt to capture this rent through acquiring and redeveloping the area to suit the demands of wealthier groups. This process is not autonomous; it requires state intervention to prepare the grounds for accumulation. Intervention takes the form of regeneration schemes with many examples in London targeting highly desirable areas </w:t>
      </w:r>
      <w:r w:rsidRPr="00662E51">
        <w:rPr>
          <w:szCs w:val="24"/>
        </w:rPr>
        <w:fldChar w:fldCharType="begin"/>
      </w:r>
      <w:r w:rsidRPr="00662E51">
        <w:rPr>
          <w:szCs w:val="24"/>
        </w:rPr>
        <w:instrText xml:space="preserve"> ADDIN ZOTERO_ITEM CSL_CITATION {"citationID":"dHZbgkym","properties":{"formattedCitation":"(e.g., Elephant and Castle; Lees and Ferreri 2016)","plainCitation":"(e.g., Elephant and Castle; Lees and Ferreri 2016)","noteIndex":0},"citationItems":[{"id":7023,"uris":["http://zotero.org/users/8977980/items/BE8CDN92"],"itemData":{"id":7023,"type":"article-journal","abstract":"The state-led gentrification and social cleansing of low income tenants from inner London has been ongoing since the late 1990s and continues today. Publicly owned and managed council estates have become the key target of what has been aptly labelled the 'new' urban renewal. Council estates are one of the final gentrification frontiers in London, housing low income tenants in the face of the total gentrification of the city. In this paper we focus on the resistance to gentrification that emerged in and around one of these estates: the Heygate Estate in Elephant and Castle, inner London. The research and some of the activities discussed formed part of a Scholar- Activist project. We discuss three forms of resistance: local civil society network organising to support open master planning through active engagement with planning; self-organised activities to keep the estate open and accessible during the displacement of its residents; and the legal challenges to the Compulsory Purchase Order of the last remaining properties in the form of a CPO Public Inquiry. While unsuccessful in saving the estate from demolition, each form of resistance and their interrelation succeeded in exposing the degree to which the regeneration of Elephant and Castle and its centrepiece demolition of the estate, was/is not in the ‘public interest’ and in discrediting the local authority's ‘regeneration spin’.","collection-title":"Resistance to social housing transformation","container-title":"Cities","DOI":"10.1016/j.cities.2015.12.005","ISSN":"0264-2751","journalAbbreviation":"Cities","page":"14-24","source":"ScienceDirect","title":"Resisting gentrification on its final frontiers: Learning from the Heygate Estate in London (1974–2013)","title-short":"Resisting gentrification on its final frontiers","volume":"57","author":[{"family":"Lees","given":"Loretta"},{"family":"Ferreri","given":"Mara"}],"issued":{"date-parts":[["2016",9,1]]}},"prefix":"e.g., Elephant and Castle; "}],"schema":"https://github.com/citation-style-language/schema/raw/master/csl-citation.json"} </w:instrText>
      </w:r>
      <w:r w:rsidRPr="00662E51">
        <w:rPr>
          <w:szCs w:val="24"/>
        </w:rPr>
        <w:fldChar w:fldCharType="separate"/>
      </w:r>
      <w:r w:rsidRPr="00662E51">
        <w:rPr>
          <w:szCs w:val="24"/>
        </w:rPr>
        <w:t>(e.g., Elephant and Castle; Lees and Ferreri 2016)</w:t>
      </w:r>
      <w:r w:rsidRPr="00662E51">
        <w:rPr>
          <w:szCs w:val="24"/>
        </w:rPr>
        <w:fldChar w:fldCharType="end"/>
      </w:r>
      <w:r w:rsidRPr="00662E51">
        <w:rPr>
          <w:szCs w:val="24"/>
        </w:rPr>
        <w:t xml:space="preserve">. As Slater </w:t>
      </w:r>
      <w:r w:rsidRPr="00662E51">
        <w:rPr>
          <w:szCs w:val="24"/>
        </w:rPr>
        <w:fldChar w:fldCharType="begin"/>
      </w:r>
      <w:r w:rsidRPr="00662E51">
        <w:rPr>
          <w:szCs w:val="24"/>
        </w:rPr>
        <w:instrText xml:space="preserve"> ADDIN ZOTERO_ITEM CSL_CITATION {"citationID":"JGGzR6FJ","properties":{"formattedCitation":"(2018a)","plainCitation":"(2018a)","noteIndex":0},"citationItems":[{"id":6878,"uris":["http://zotero.org/users/8977980/items/8NZKM8SJ"],"itemData":{"id":6878,"type":"chapter","abstract":"This chapter argues that class struggles need rent gap theory. Rent gap theory helps open up questions of resistance and nudges the conversation in the direction of what cities might look like without the structural and institutional forces producing gentrification. From the research that is available, and still emerging, it seems to be the case that rent gap theory has a lot to teach us about gentrification in the Global South, and is far from ‘less than adequate in much of the world’. The research evidence on planetary gentrification points to the growing importance of secondary circuits of accumulation and the planetary shift to rentier extraction and what might be termed the robbery of value, rather than the production of value. Asset pursuit and asset stripping, via land grabbing and evictions, is a hallmark of contemporary urbanization and shows little sign of retreating on a planetary scale. It is argued that it is not ‘seeing like a capitalist’ to consider rent gap theory in radically different contexts, nor is it an act of intellectual imperialism to do so, as long as one theory does not shut out the possibility of developing new theories which may teach us even more.","ISBN":"978-1-78536-174-6","language":"en","note":"section: Handbook of Gentrification Studies","source":"www.elgaronline.com","title":"Chapter 8: Rent gaps","title-short":"Chapter 8","URL":"https://www.elgaronline.com/edcollchap/edcoll/9781785361739/9781785361739.00017.xml","author":[{"family":"Slater","given":"Tom"}],"accessed":{"date-parts":[["2025",9,5]]},"issued":{"date-parts":[["2018",4,27]]}},"suppress-author":true}],"schema":"https://github.com/citation-style-language/schema/raw/master/csl-citation.json"} </w:instrText>
      </w:r>
      <w:r w:rsidRPr="00662E51">
        <w:rPr>
          <w:szCs w:val="24"/>
        </w:rPr>
        <w:fldChar w:fldCharType="separate"/>
      </w:r>
      <w:r w:rsidRPr="00662E51">
        <w:rPr>
          <w:szCs w:val="24"/>
        </w:rPr>
        <w:t>(2018a)</w:t>
      </w:r>
      <w:r w:rsidRPr="00662E51">
        <w:rPr>
          <w:szCs w:val="24"/>
        </w:rPr>
        <w:fldChar w:fldCharType="end"/>
      </w:r>
      <w:r w:rsidRPr="00662E51">
        <w:rPr>
          <w:szCs w:val="24"/>
        </w:rPr>
        <w:t xml:space="preserve"> argues, rent gaps require the active production of territorial stigma to ensure the gaps persist. Regeneration is then positioned as a tool to not only fix a ‘problem place’ full of ‘problem people’ </w:t>
      </w:r>
      <w:r w:rsidRPr="00662E51">
        <w:rPr>
          <w:szCs w:val="24"/>
        </w:rPr>
        <w:fldChar w:fldCharType="begin"/>
      </w:r>
      <w:r w:rsidR="00213B80">
        <w:rPr>
          <w:szCs w:val="24"/>
        </w:rPr>
        <w:instrText xml:space="preserve"> ADDIN ZOTERO_ITEM CSL_CITATION {"citationID":"S96Dbthr","properties":{"formattedCitation":"(C. Johnston and Mooney 2007)","plainCitation":"(C. Johnston and Mooney 2007)","noteIndex":0},"citationItems":[{"id":4027,"uris":["http://zotero.org/users/8977980/items/8HIRKD7J"],"itemData":{"id":4027,"type":"chapter","container-title":"Securing an Urban Renaissance","ISBN":"978-1-84742-247-7","publisher":"Policy Press","publisher-place":"Bristol, UNITED KINGDOM","source":"ProQuest Ebook Central","title":"‘Problem’ people, ‘problem’ places? New Labour and council estates","URL":"http://ebookcentral.proquest.com/lib/durham/detail.action?docID=419289","editor":[{"family":"Atkinson","given":"Rowland"},{"family":"Helms","given":"Gesma"}],"author":[{"family":"Johnston","given":"Charlie"},{"family":"Mooney","given":"Gerry"}],"accessed":{"date-parts":[["2023",3,15]]},"issued":{"date-parts":[["2007"]]}}}],"schema":"https://github.com/citation-style-language/schema/raw/master/csl-citation.json"} </w:instrText>
      </w:r>
      <w:r w:rsidRPr="00662E51">
        <w:rPr>
          <w:szCs w:val="24"/>
        </w:rPr>
        <w:fldChar w:fldCharType="separate"/>
      </w:r>
      <w:r w:rsidR="00213B80" w:rsidRPr="00213B80">
        <w:t>(C. Johnston and Mooney 2007)</w:t>
      </w:r>
      <w:r w:rsidRPr="00662E51">
        <w:rPr>
          <w:szCs w:val="24"/>
        </w:rPr>
        <w:fldChar w:fldCharType="end"/>
      </w:r>
      <w:r w:rsidR="0029445D">
        <w:rPr>
          <w:szCs w:val="24"/>
        </w:rPr>
        <w:t xml:space="preserve"> or the undeserving poor </w:t>
      </w:r>
      <w:r w:rsidR="0029445D">
        <w:rPr>
          <w:szCs w:val="24"/>
        </w:rPr>
        <w:fldChar w:fldCharType="begin"/>
      </w:r>
      <w:r w:rsidR="0029445D">
        <w:rPr>
          <w:szCs w:val="24"/>
        </w:rPr>
        <w:instrText xml:space="preserve"> ADDIN ZOTERO_ITEM CSL_CITATION {"citationID":"wXdVTYu4","properties":{"formattedCitation":"(Katz [1989] 2013)","plainCitation":"(Katz [1989] 2013)","noteIndex":0},"citationItems":[{"id":7087,"uris":["http://zotero.org/users/8977980/items/HET4FXWX"],"itemData":{"id":7087,"type":"book","abstract":"First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light.\n               \n               \n                \n              ,  \n               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light.","edition":"Second Edition","ISBN":"978-0-19-993395-2","number-of-pages":"368","publisher":"Oxford University Press","publisher-place":"Oxford, New York","source":"Oxford University Press","title":"The Undeserving Poor: America's Enduring Confrontation with Poverty: Fully Updated and Revised","title-short":"The Undeserving Poor","author":[{"family":"Katz","given":"Michael B."}],"issued":{"date-parts":[["2013",11,28]]},"original-date":{"date-parts":[["1989"]]}}}],"schema":"https://github.com/citation-style-language/schema/raw/master/csl-citation.json"} </w:instrText>
      </w:r>
      <w:r w:rsidR="0029445D">
        <w:rPr>
          <w:szCs w:val="24"/>
        </w:rPr>
        <w:fldChar w:fldCharType="separate"/>
      </w:r>
      <w:r w:rsidR="0029445D" w:rsidRPr="0029445D">
        <w:t>(Katz [1989] 2013)</w:t>
      </w:r>
      <w:r w:rsidR="0029445D">
        <w:rPr>
          <w:szCs w:val="24"/>
        </w:rPr>
        <w:fldChar w:fldCharType="end"/>
      </w:r>
      <w:r w:rsidRPr="00662E51">
        <w:rPr>
          <w:szCs w:val="24"/>
        </w:rPr>
        <w:t xml:space="preserve">, but also to attract more private capital </w:t>
      </w:r>
      <w:r w:rsidRPr="00662E51">
        <w:rPr>
          <w:szCs w:val="24"/>
        </w:rPr>
        <w:fldChar w:fldCharType="begin"/>
      </w:r>
      <w:r w:rsidR="008835AB" w:rsidRPr="00662E51">
        <w:rPr>
          <w:szCs w:val="24"/>
        </w:rPr>
        <w:instrText xml:space="preserve"> ADDIN ZOTERO_ITEM CSL_CITATION {"citationID":"qmcIQXfn","properties":{"formattedCitation":"(Kallin and Slater 2014)","plainCitation":"(Kallin and Slater 2014)","noteIndex":0},"citationItems":[{"id":7050,"uris":["http://zotero.org/users/8977980/items/AH3MP6WA"],"itemData":{"id":7050,"type":"article-journal","abstract":"This paper reaffirms the importance of politics in theories on gentrification through analysis of a recent ‘regeneration’ project based in Craigmillar, a stigmatised district on the southeastern edge of Edinburgh. It sketches the historical backdrop to the area's stigma as a place ‘outside’ the city, using qualitative research on the Craigmillar Festival Society to highlight how this stigma was produced and intensified as well as contested. By stressing that the main intention of the ‘regeneration’ project was to attract more affluent residents to Craigmillar, we show how territorial stigmatisation and ‘regeneration’ through gentrification form two sides of the same conceptual and policy coin: the “blemish of place” becomes a target and rationale for ‘fixing’ the area, thus obviating and obstructing policies aimed at attacking deprivation, inequality, or the structural problems of advanced marginality. The state's role in creating the very stigma it then insists on scrubbing highlights a major contradiction in contemporary urban policy.","container-title":"Environment and Planning A: Economy and Space","DOI":"10.1068/a45634","ISSN":"0308-518X","issue":"6","journalAbbreviation":"Environ Plan A","language":"EN","page":"1351-1368","publisher":"SAGE Publications Ltd","source":"SAGE Journals","title":"Activating Territorial Stigma: Gentrifying Marginality on Edinburgh's Periphery","title-short":"Activating Territorial Stigma","volume":"46","author":[{"family":"Kallin","given":"Hamish"},{"family":"Slater","given":"Tom"}],"issued":{"date-parts":[["2014",6,1]]}}}],"schema":"https://github.com/citation-style-language/schema/raw/master/csl-citation.json"} </w:instrText>
      </w:r>
      <w:r w:rsidRPr="00662E51">
        <w:rPr>
          <w:szCs w:val="24"/>
        </w:rPr>
        <w:fldChar w:fldCharType="separate"/>
      </w:r>
      <w:r w:rsidRPr="00662E51">
        <w:rPr>
          <w:szCs w:val="24"/>
        </w:rPr>
        <w:t>(Kallin and Slater 2014)</w:t>
      </w:r>
      <w:r w:rsidRPr="00662E51">
        <w:rPr>
          <w:szCs w:val="24"/>
        </w:rPr>
        <w:fldChar w:fldCharType="end"/>
      </w:r>
      <w:r w:rsidRPr="00662E51">
        <w:rPr>
          <w:szCs w:val="24"/>
        </w:rPr>
        <w:t xml:space="preserve">. When it comes time to fill the rent gap, the state then engages in preparing the neighbourhood for capital accumulation through state-led evictions </w:t>
      </w:r>
      <w:r w:rsidRPr="00662E51">
        <w:rPr>
          <w:szCs w:val="24"/>
        </w:rPr>
        <w:fldChar w:fldCharType="begin"/>
      </w:r>
      <w:r w:rsidR="008835AB" w:rsidRPr="00662E51">
        <w:rPr>
          <w:szCs w:val="24"/>
        </w:rPr>
        <w:instrText xml:space="preserve"> ADDIN ZOTERO_ITEM CSL_CITATION {"citationID":"4j5xtXNb","properties":{"formattedCitation":"(Paton and Cooper 2016)","plainCitation":"(Paton and Cooper 2016)","noteIndex":0},"citationItems":[{"id":582,"uris":["http://zotero.org/users/8977980/items/YVT778X3"],"itemData":{"id":582,"type":"article-journal","abstract":"In this paper we show how the form and effects of gentrification have advanced in the post crash, recessionary context. As such, we argue that state-led gentrification contributes to state-led evictions. The cumulative impacts of government cuts and the paradigmatic shift of housing from a social to financialised entity not only increases eviction risk amongst low income households but, through various legal repossession frameworks that prioritise ownership, the state actively endorses it. Given the nature and extent of these changes in housing, we argue that the state-led gentrification has advanced further. Evictions, we argue, are the new urban frontier and this is orchestrated by the state in fundamental ways.","container-title":"Sociological Research Online","DOI":"10.5153/sro.4064","ISSN":"1360-7804","issue":"3","journalAbbreviation":"Sociological Research Online","language":"en","page":"134-140","publisher":"SAGE Publications Ltd","source":"SAGE Journals","title":"It's the State, Stupid: 21st Gentrification and State-Led Evictions","title-short":"It's the State, Stupid","volume":"21","author":[{"family":"Paton","given":"Kirsteen"},{"family":"Cooper","given":"Vickie"}],"issued":{"date-parts":[["2016",8,1]]}}}],"schema":"https://github.com/citation-style-language/schema/raw/master/csl-citation.json"} </w:instrText>
      </w:r>
      <w:r w:rsidRPr="00662E51">
        <w:rPr>
          <w:szCs w:val="24"/>
        </w:rPr>
        <w:fldChar w:fldCharType="separate"/>
      </w:r>
      <w:r w:rsidRPr="00662E51">
        <w:rPr>
          <w:szCs w:val="24"/>
        </w:rPr>
        <w:t>(Paton and Cooper 2016)</w:t>
      </w:r>
      <w:r w:rsidRPr="00662E51">
        <w:rPr>
          <w:szCs w:val="24"/>
        </w:rPr>
        <w:fldChar w:fldCharType="end"/>
      </w:r>
      <w:r w:rsidRPr="00662E51">
        <w:rPr>
          <w:szCs w:val="24"/>
        </w:rPr>
        <w:t xml:space="preserve"> and gentrification </w:t>
      </w:r>
      <w:r w:rsidRPr="00662E51">
        <w:rPr>
          <w:szCs w:val="24"/>
        </w:rPr>
        <w:fldChar w:fldCharType="begin"/>
      </w:r>
      <w:r w:rsidRPr="00662E51">
        <w:rPr>
          <w:szCs w:val="24"/>
        </w:rPr>
        <w:instrText xml:space="preserve"> ADDIN ZOTERO_ITEM CSL_CITATION {"citationID":"q6qWcSx3","properties":{"formattedCitation":"(Can et al. 2024)","plainCitation":"(Can et al. 2024)","noteIndex":0},"citationItems":[{"id":5762,"uris":["http://zotero.org/users/8977980/items/NKYRYKPW"],"itemData":{"id":5762,"type":"article-journal","abstract":"This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schema":"https://github.com/citation-style-language/schema/raw/master/csl-citation.json"} </w:instrText>
      </w:r>
      <w:r w:rsidRPr="00662E51">
        <w:rPr>
          <w:szCs w:val="24"/>
        </w:rPr>
        <w:fldChar w:fldCharType="separate"/>
      </w:r>
      <w:r w:rsidRPr="00662E51">
        <w:rPr>
          <w:szCs w:val="24"/>
        </w:rPr>
        <w:t>(Can et al. 2024)</w:t>
      </w:r>
      <w:r w:rsidRPr="00662E51">
        <w:rPr>
          <w:szCs w:val="24"/>
        </w:rPr>
        <w:fldChar w:fldCharType="end"/>
      </w:r>
      <w:r w:rsidRPr="00662E51">
        <w:rPr>
          <w:szCs w:val="24"/>
        </w:rPr>
        <w:t xml:space="preserve"> achieved through regeneration schemes. The rise of a speculative urbanism </w:t>
      </w:r>
      <w:r w:rsidR="0016400F" w:rsidRPr="00662E51">
        <w:rPr>
          <w:szCs w:val="24"/>
        </w:rPr>
        <w:fldChar w:fldCharType="begin"/>
      </w:r>
      <w:r w:rsidR="00407B2F">
        <w:rPr>
          <w:szCs w:val="24"/>
        </w:rPr>
        <w:instrText xml:space="preserve"> ADDIN ZOTERO_ITEM CSL_CITATION {"citationID":"eJt8zB83","properties":{"formattedCitation":"(Fields 2023; Goldman 2011)","plainCitation":"(Fields 2023; Goldman 2011)","noteIndex":0},"citationItems":[{"id":6880,"uris":["http://zotero.org/users/8977980/items/HRWF8UP6"],"itemData":{"id":6880,"type":"article-journal","container-title":"Environment and Planning A: Economy and Space","DOI":"10.1177/0308518X221125473","ISSN":"0308-518X","issue":"2","journalAbbreviation":"Environ Plan A","language":"EN","page":"511-516","publisher":"SAGE Publications Ltd","source":"SAGE Journals","title":"Speculative urbanism","volume":"55","author":[{"family":"Fields","given":"Desiree"}],"issued":{"date-parts":[["2023",3,1]]}}},{"id":7074,"uris":["http://zotero.org/users/8977980/items/XYWZ6F68"],"itemData":{"id":7074,"type":"article-journal","abstract":"This article explores the process of making Bangalore, India into a ‘world city’ by focusing on specific world-city projects, the parastatal government agencies managing them, the explosive IT industry as the putative engine behind this world-city making, and the inter-urban dynamics across world cities such as Dubai and Singapore. Most of these activities are linked to the highly remunerative challenge of transforming rural economies into urban real estate. Land speculation and active dispossession of those working and living in the rural periphery, on land upon which the new world-city projects are being built, is the main business of government today in Bangalore. This article suggests that this temporary ‘state of exception’, with both its attendant suspensions of civil and human rights as well as their institutionalization into government practices, reflects a shift into new forms of ‘speculative’ government, economy, urbanism and citizenship. Résumé En Inde, Bangalore passe par un processus de fabrication de ‘ville mondiale’. Pour l'étudier, cet article examine les projets spécifiques à cette dimension urbaine, les organes para-étatiques qui les gèrent, le secteur des technologies informatiques en plein essor qui est censéêtre le moteur du processus, ainsi que les dynamiques interurbaines qui relient les villes mondiales comme Dubaï et Singapour. Ces activités sont associées en grande partie à l'entreprise, particulièrement rémunératrice, de transformation des économies rurales en secteur immobilier urbain. Le gouvernement actuel de Bangalore s'emploie principalement à des opérations de spéculation foncière et de dépossession énergique à l'encontre des populations qui travaillent et vivent dans la zone périphérique rurale, sur les terrains où se bâtissent les projets de la ‘ville mondiale’. Cet ‘état d'exception’ temporaire, avec la suspension afférente de droits civiques et humains, parallèlement à son institutionnalisation dans certaines pratiques du gouvernement, reflète le passage vers de nouvelles formes de citoyenneté, d'urbanisme, d'économie et de gouvernement ‘spéculateur’.","container-title":"International Journal of Urban and Regional Research","DOI":"10.1111/j.1468-2427.2010.01001.x","ISSN":"1468-2427","issue":"3","language":"en","license":"© 2010 The Author. International Journal of Urban and Regional Research © 2010 Joint Editors and Blackwell Publishing Ltd","note":"_eprint: https://onlinelibrary.wiley.com/doi/pdf/10.1111/j.1468-2427.2010.01001.x","page":"555-581","source":"Wiley Online Library","title":"Speculative Urbanism and the Making of the Next World City","volume":"35","author":[{"family":"Goldman","given":"Michael"}],"issued":{"date-parts":[["2011"]]}}}],"schema":"https://github.com/citation-style-language/schema/raw/master/csl-citation.json"} </w:instrText>
      </w:r>
      <w:r w:rsidR="0016400F" w:rsidRPr="00662E51">
        <w:rPr>
          <w:szCs w:val="24"/>
        </w:rPr>
        <w:fldChar w:fldCharType="separate"/>
      </w:r>
      <w:r w:rsidR="0016400F" w:rsidRPr="0016400F">
        <w:t>(Fields 2023; Goldman 2011)</w:t>
      </w:r>
      <w:r w:rsidR="0016400F" w:rsidRPr="00662E51">
        <w:rPr>
          <w:szCs w:val="24"/>
        </w:rPr>
        <w:fldChar w:fldCharType="end"/>
      </w:r>
      <w:r w:rsidR="0016400F" w:rsidRPr="00662E51">
        <w:rPr>
          <w:szCs w:val="24"/>
        </w:rPr>
        <w:t xml:space="preserve"> </w:t>
      </w:r>
      <w:r w:rsidRPr="00662E51">
        <w:rPr>
          <w:szCs w:val="24"/>
        </w:rPr>
        <w:t xml:space="preserve">or speculative city </w:t>
      </w:r>
      <w:r w:rsidRPr="00662E51">
        <w:rPr>
          <w:szCs w:val="24"/>
        </w:rPr>
        <w:fldChar w:fldCharType="begin"/>
      </w:r>
      <w:r w:rsidR="008835AB" w:rsidRPr="00662E51">
        <w:rPr>
          <w:szCs w:val="24"/>
        </w:rPr>
        <w:instrText xml:space="preserve"> ADDIN ZOTERO_ITEM CSL_CITATION {"citationID":"yZ4iwluG","properties":{"formattedCitation":"(Chu and He 2022)","plainCitation":"(Chu and He 2022)","noteIndex":0},"citationItems":[{"id":6881,"uris":["http://zotero.org/users/8977980/items/FF2RF84G"],"itemData":{"id":6881,"type":"book","abstract":"The Speculative City explores property speculation as a key aspect of financialization and its role in reshaping the contemporary built environment. The book offers a series of case studies that encompass a range of cities whose urban fabrics have undergone significant transformation in recent years.While the forms of these developments share many similarities, their trajectories and social outcomes were contingent upon existing planning and policy frameworks in addition to the historical roles assumed by the state and the private sector in housing and welfare provision. By paying close attention to the forces and actors involved in property development, this book underscores that the built environment has played an integral part in shaping new values and collective aspirations, while also facilitating the spread of financial logics in urban governance. The essays in this collection show that these dynamics represent a larger shift of politics and culture in the ongoing production of urban space and prompt reflections on future trajectories of finance-led property speculation.","ISBN":"978-1-4875-0719-0","language":"English","number-of-pages":"282","publisher":"University of Toronto Press","publisher-place":"Toronto ; Buffalo ; London","title":"The Speculative City: Emergent Forms and Norms of the Built Environment","title-short":"The Speculative City","editor":[{"family":"Chu","given":"Cecilia L."},{"family":"He","given":"Shenjing"}],"issued":{"date-parts":[["2022"]]}}}],"schema":"https://github.com/citation-style-language/schema/raw/master/csl-citation.json"} </w:instrText>
      </w:r>
      <w:r w:rsidRPr="00662E51">
        <w:rPr>
          <w:szCs w:val="24"/>
        </w:rPr>
        <w:fldChar w:fldCharType="separate"/>
      </w:r>
      <w:r w:rsidRPr="00662E51">
        <w:rPr>
          <w:szCs w:val="24"/>
        </w:rPr>
        <w:t>(Chu and He 2022)</w:t>
      </w:r>
      <w:r w:rsidRPr="00662E51">
        <w:rPr>
          <w:szCs w:val="24"/>
        </w:rPr>
        <w:fldChar w:fldCharType="end"/>
      </w:r>
      <w:r w:rsidRPr="00662E51">
        <w:rPr>
          <w:szCs w:val="24"/>
        </w:rPr>
        <w:t xml:space="preserve"> has been an equally powerful driver in regeneration, with speculators (who are big holders of assets and capital) betting on profit that will flow from higher rents and the rising value of land than could be collected from </w:t>
      </w:r>
      <w:r w:rsidRPr="00662E51">
        <w:rPr>
          <w:szCs w:val="24"/>
        </w:rPr>
        <w:lastRenderedPageBreak/>
        <w:t xml:space="preserve">council tenants. Recognising the immense profit of speculative urbanism, councils themselves have become interested in exploiting such opportunities. </w:t>
      </w:r>
      <w:r w:rsidR="00157E65">
        <w:rPr>
          <w:szCs w:val="24"/>
        </w:rPr>
        <w:t xml:space="preserve">J. </w:t>
      </w:r>
      <w:r w:rsidRPr="00662E51">
        <w:rPr>
          <w:szCs w:val="24"/>
        </w:rPr>
        <w:t xml:space="preserve">Beswick and Penny </w:t>
      </w:r>
      <w:r w:rsidRPr="00662E51">
        <w:rPr>
          <w:szCs w:val="24"/>
        </w:rPr>
        <w:fldChar w:fldCharType="begin"/>
      </w:r>
      <w:r w:rsidRPr="00662E51">
        <w:rPr>
          <w:szCs w:val="24"/>
        </w:rPr>
        <w:instrText xml:space="preserve"> ADDIN ZOTERO_ITEM CSL_CITATION {"citationID":"AtDR51t8","properties":{"formattedCitation":"(2018)","plainCitation":"(2018)","noteIndex":0},"citationItems":[{"id":1854,"uris":["http://zotero.org/groups/4816685/items/HM2333PS"],"itemData":{"id":1854,"type":"article-journal","abstract":"This article introduces a new mode of urban entrepreneurialism in London through a study of the state-executed, speculative development and financialization of public land. In response to an intensifying housing crisis and austerity-imposed fiscal constraints, municipalities in London are devising entrepreneurial solutions to deliver more housing. Among these ‘solutions’ can be found the early signs of the state-executed financialization of public housing in the UK with the use of speculative council-owned special purpose vehicles (SPVs) that replace existing public housing stock with mixed-tenure developments, creating ambiguous public/private tenancies that function as homes and the basis for liquid financial assets. Drawing together parallel literatures on the financialization of urban governance and housing, and combining these with original empirical research, we situate these developments in contrast to earlier modes of governance, identifying a distinct mode of entrepreneurial governance in London: financialized municipal entrepreneurialism. The local state is no longer merely the enabler––limited to providing strategic oversight of the private sector––but financializes its practice in a reimagined commercialized interventionism, as property speculator. This article concludes that while the architects of this new mode of entrepreneurialism extol the increased capacity and control it provides, any such gains must be set against longer-term financial, democratic and political risks.","container-title":"International Journal of Urban and Regional Research","DOI":"10.1111/1468-2427.12612","ISSN":"03091317","issue":"4","journalAbbreviation":"Int. J. Urban Reg. Res.","language":"en","page":"612-632","source":"DOI.org (Crossref)","title":"Demolishing the Present to Sell off the Future? The Emergence of ‘Financialized Municipal Entrepreneurialism’ in London","title-short":"Demolishing the Present to Sell off the Future?","volume":"42","author":[{"family":"Beswick","given":"Joe"},{"family":"Penny","given":"Joe"}],"issued":{"date-parts":[["2018",7]]}},"suppress-author":true}],"schema":"https://github.com/citation-style-language/schema/raw/master/csl-citation.json"} </w:instrText>
      </w:r>
      <w:r w:rsidRPr="00662E51">
        <w:rPr>
          <w:szCs w:val="24"/>
        </w:rPr>
        <w:fldChar w:fldCharType="separate"/>
      </w:r>
      <w:r w:rsidRPr="00662E51">
        <w:rPr>
          <w:szCs w:val="24"/>
        </w:rPr>
        <w:t>(2018)</w:t>
      </w:r>
      <w:r w:rsidRPr="00662E51">
        <w:rPr>
          <w:szCs w:val="24"/>
        </w:rPr>
        <w:fldChar w:fldCharType="end"/>
      </w:r>
      <w:r w:rsidRPr="00662E51">
        <w:rPr>
          <w:szCs w:val="24"/>
        </w:rPr>
        <w:t xml:space="preserve"> describe a new ‘financialised municipal entrepreneurialism’ taking hold in the UK. Councils have been turning to special purpose vehicles,</w:t>
      </w:r>
      <w:r w:rsidRPr="00BD17AF">
        <w:rPr>
          <w:rStyle w:val="FootnoteReference"/>
        </w:rPr>
        <w:footnoteReference w:id="32"/>
      </w:r>
      <w:r w:rsidRPr="00662E51">
        <w:rPr>
          <w:szCs w:val="24"/>
        </w:rPr>
        <w:t xml:space="preserve"> which can function as private developers and are wholly owned by the council </w:t>
      </w:r>
      <w:r w:rsidRPr="00662E51">
        <w:rPr>
          <w:szCs w:val="24"/>
        </w:rPr>
        <w:fldChar w:fldCharType="begin"/>
      </w:r>
      <w:r w:rsidRPr="00662E51">
        <w:rPr>
          <w:szCs w:val="24"/>
        </w:rPr>
        <w:instrText xml:space="preserve"> ADDIN ZOTERO_ITEM CSL_CITATION {"citationID":"Z1ecwWEJ","properties":{"formattedCitation":"(see also Penny 2022)","plainCitation":"(see also Penny 2022)","noteIndex":0},"citationItems":[{"id":5566,"uris":["http://zotero.org/users/8977980/items/IA5GYB93"],"itemData":{"id":5566,"type":"article-journal","abstract":"Since 2010, faced with deep austerity measures, 27 London councils have set up a housing company to acquire, develop, and manage housing. Following 40 years of privatisation, these council-owned companies have been celebrated as a post-neoliberal municipal alternative to the hegemony of market-led urban policy. By developing commodified real estate and monetising rising land values, they promise to deliver well-designed housing, generate long-term fiscal rents, and secure local state autonomy. Drawing on in-depth empirical research, this paper develops a situated political economic critique of the limitations, contradictions, and risks of local housing companies in London. Framed as a “critical case”, providing insight into the politics of speculative urban provisioning and land value extraction, I argue that local housing companies represent a mode of municipal statecraft—a local state rentierism—that leans into and reproduces a political economy of financialisation and rentierism with potentially long-term implications for collective urban provisioning.","container-title":"Antipode","DOI":"10.1111/anti.12774","ISSN":"1467-8330","issue":"2","language":"en","license":"© 2021 The Authors. Antipode © 2021 Antipode Foundation Ltd.","note":"_eprint: https://onlinelibrary.wiley.com/doi/pdf/10.1111/anti.12774","page":"545-566","source":"Wiley Online Library","title":"“Revenue Generating Machines”? London’s Local Housing Companies and the Emergence of Local State Rentierism","title-short":"“Revenue Generating Machines”?","volume":"54","author":[{"family":"Penny","given":"Joe"}],"issued":{"date-parts":[["2022"]]}},"prefix":"see also"}],"schema":"https://github.com/citation-style-language/schema/raw/master/csl-citation.json"} </w:instrText>
      </w:r>
      <w:r w:rsidRPr="00662E51">
        <w:rPr>
          <w:szCs w:val="24"/>
        </w:rPr>
        <w:fldChar w:fldCharType="separate"/>
      </w:r>
      <w:r w:rsidRPr="00662E51">
        <w:rPr>
          <w:szCs w:val="24"/>
        </w:rPr>
        <w:t>(see also Penny 2022)</w:t>
      </w:r>
      <w:r w:rsidRPr="00662E51">
        <w:rPr>
          <w:szCs w:val="24"/>
        </w:rPr>
        <w:fldChar w:fldCharType="end"/>
      </w:r>
      <w:r w:rsidRPr="00662E51">
        <w:rPr>
          <w:szCs w:val="24"/>
        </w:rPr>
        <w:t xml:space="preserve">. Although some vehicles do build council housing, a significant portion of their builds are private. Such vehicles thus allow councils to profit from redevelopment without necessarily taking on significant risk. In these ways, regeneration is an ongoing but unstable practice that characterises council housing today. </w:t>
      </w:r>
    </w:p>
    <w:p w14:paraId="67260485" w14:textId="6E6DB34B" w:rsidR="00CA6F09" w:rsidRPr="00281252" w:rsidRDefault="00CA6F09" w:rsidP="00281252">
      <w:pPr>
        <w:spacing w:line="360" w:lineRule="auto"/>
        <w:ind w:left="0" w:firstLine="720"/>
        <w:contextualSpacing/>
        <w:rPr>
          <w:szCs w:val="24"/>
        </w:rPr>
      </w:pPr>
      <w:r w:rsidRPr="00662E51">
        <w:rPr>
          <w:szCs w:val="24"/>
        </w:rPr>
        <w:t xml:space="preserve">Thus, although regeneration has existed before, it has recently become a policy ‘common sense’ for local authorities </w:t>
      </w:r>
      <w:r w:rsidR="00281252">
        <w:rPr>
          <w:szCs w:val="24"/>
        </w:rPr>
        <w:t xml:space="preserve">that were pressured into relying on private financing </w:t>
      </w:r>
      <w:r w:rsidR="005F2C44">
        <w:rPr>
          <w:szCs w:val="24"/>
        </w:rPr>
        <w:fldChar w:fldCharType="begin"/>
      </w:r>
      <w:r w:rsidR="005F2C44">
        <w:rPr>
          <w:szCs w:val="24"/>
        </w:rPr>
        <w:instrText xml:space="preserve"> ADDIN ZOTERO_ITEM CSL_CITATION {"citationID":"qEtoWSQT","properties":{"formattedCitation":"(Hodkinson 2011)","plainCitation":"(Hodkinson 2011)","noteIndex":0},"citationItems":[{"id":7181,"uris":["http://zotero.org/users/8977980/items/4BNYZVRK"],"itemData":{"id":7181,"type":"article-journal","abstract":"Abstract:  This paper responds to recent debates in human geography about ideal-type versus contingent neoliberalism, or what Gibson-Graham conceptualises as “strong” vs “weak” theory, by offering so...","container-title":"Antipode","DOI":"10.1111/j.1467-8330.2010.00819.x","ISSN":"1467-8330","issue":"2","language":"en","page":"358-383","publisher":"John Wiley &amp; Sons, Ltd","source":"onlinelibrary.wiley.com","title":"Housing Regeneration and the Private Finance Initiative in England: Unstitching the Neoliberal Urban Straitjacket","title-short":"Housing Regeneration and the Private Finance Initiative in England","volume":"43","author":[{"family":"Hodkinson","given":"Stuart"}],"issued":{"date-parts":[["2011",3,1]]}}}],"schema":"https://github.com/citation-style-language/schema/raw/master/csl-citation.json"} </w:instrText>
      </w:r>
      <w:r w:rsidR="005F2C44">
        <w:rPr>
          <w:szCs w:val="24"/>
        </w:rPr>
        <w:fldChar w:fldCharType="separate"/>
      </w:r>
      <w:r w:rsidR="005F2C44" w:rsidRPr="005F2C44">
        <w:t>(Hodkinson 2011)</w:t>
      </w:r>
      <w:r w:rsidR="005F2C44">
        <w:rPr>
          <w:szCs w:val="24"/>
        </w:rPr>
        <w:fldChar w:fldCharType="end"/>
      </w:r>
      <w:r w:rsidR="00281252">
        <w:rPr>
          <w:szCs w:val="24"/>
        </w:rPr>
        <w:t xml:space="preserve">. </w:t>
      </w:r>
      <w:r w:rsidRPr="00662E51">
        <w:rPr>
          <w:bCs/>
          <w:szCs w:val="24"/>
        </w:rPr>
        <w:t xml:space="preserve">Some view regeneration as positive, bringing new investment to deprived areas and moving residents to superior surroundings </w:t>
      </w:r>
      <w:r w:rsidRPr="00662E51">
        <w:rPr>
          <w:bCs/>
          <w:szCs w:val="24"/>
        </w:rPr>
        <w:fldChar w:fldCharType="begin"/>
      </w:r>
      <w:r w:rsidRPr="00662E51">
        <w:rPr>
          <w:bCs/>
          <w:szCs w:val="24"/>
        </w:rPr>
        <w:instrText xml:space="preserve"> ADDIN ZOTERO_ITEM CSL_CITATION {"citationID":"3I7kjvsD","properties":{"formattedCitation":"(e.g., Bond et al. 2012)","plainCitation":"(e.g., Bond et al. 2012)","noteIndex":0},"citationItems":[{"id":2052,"uris":["http://zotero.org/groups/4816685/items/XJGLPX7N"],"itemData":{"id":2052,"type":"article-journal","abstract":"Housing-led regeneration has been shown to have limited effects on mental health. Considering housing and neighbourhoods as a psychosocial environment, regeneration may have greater impact on positive mental wellbeing than mental ill-health. This study examined the relationship between the positive mental wellbeing of residents living in deprived areas and their perceptions of their housing and neighbourhoods.","container-title":"BMC Public Health","DOI":"10.1186/1471-2458-12-48","ISSN":"1471-2458","issue":"1","journalAbbreviation":"BMC Public Health","page":"48","source":"BioMed Central","title":"Exploring the relationships between housing, neighbourhoods and mental wellbeing for residents of deprived areas","volume":"12","author":[{"family":"Bond","given":"Lyndal"},{"family":"Kearns","given":"Ade"},{"family":"Mason","given":"Phil"},{"family":"Tannahill","given":"Carol"},{"family":"Egan","given":"Matt"},{"family":"Whitely","given":"Elise"}],"issued":{"date-parts":[["2012",1,18]]}},"label":"page","prefix":"e.g., "}],"schema":"https://github.com/citation-style-language/schema/raw/master/csl-citation.json"} </w:instrText>
      </w:r>
      <w:r w:rsidRPr="00662E51">
        <w:rPr>
          <w:bCs/>
          <w:szCs w:val="24"/>
        </w:rPr>
        <w:fldChar w:fldCharType="separate"/>
      </w:r>
      <w:r w:rsidRPr="00662E51">
        <w:rPr>
          <w:szCs w:val="24"/>
        </w:rPr>
        <w:t>(e.g., Bond et al. 2012)</w:t>
      </w:r>
      <w:r w:rsidRPr="00662E51">
        <w:rPr>
          <w:szCs w:val="24"/>
        </w:rPr>
        <w:fldChar w:fldCharType="end"/>
      </w:r>
      <w:r w:rsidRPr="00662E51">
        <w:rPr>
          <w:bCs/>
          <w:szCs w:val="24"/>
        </w:rPr>
        <w:t xml:space="preserve">. On the other hand, critics of regeneration like Dillon and Fanning </w:t>
      </w:r>
      <w:r w:rsidRPr="00662E51">
        <w:rPr>
          <w:bCs/>
          <w:szCs w:val="24"/>
        </w:rPr>
        <w:fldChar w:fldCharType="begin"/>
      </w:r>
      <w:r w:rsidR="001B2CAA">
        <w:rPr>
          <w:bCs/>
          <w:szCs w:val="24"/>
        </w:rPr>
        <w:instrText xml:space="preserve"> ADDIN ZOTERO_ITEM CSL_CITATION {"citationID":"mriG9Mq6","properties":{"formattedCitation":"(2015, 193)","plainCitation":"(2015, 193)","noteIndex":0},"citationItems":[{"id":"n0Saldgp/2Hzt6BxM","uris":["http://zotero.org/users/8977980/items/RVFCXMEF"],"itemData":{"id":54,"type":"article-journal","abstract":"David Cameron’s ‘Big Society’ agenda is best understood in terms of ideological and policy continuities with earlier Conservative and New Labour governments. But where previous post-1979 governments have sought to renegotiate the role of the state mostly through privatisations and marketisations of public services, the ‘Big Society’ agenda also proposed the replacement of the state by individual voluntarism and community enterprise. The accompanying political narrative portrays an atomised ‘broken Britain’ but at the same time insists that untapped community spirit can take the place of the state. This article examines the disjuncture between Big Society narratives and urban policy responses to the 2011 Tottenham riots. By comparison with previous local regeneration initiatives in Tottenham there was very little emphasis on community development. Instead explicit goals of gentrification in the Plan for Tottenham echo Thatcher-era approaches to ‘place shaping’ and exemplify a wider re-emphasis on property-led regeneration.","container-title":"Critical Social Policy","DOI":"10.1177/0261018315575103","ISSN":"0261-0183","issue":"2","journalAbbreviation":"Critical Social Policy","language":"en","note":"publisher: SAGE Publications Ltd","page":"188-206","source":"SAGE Journals","title":"Tottenham after the riots: The chimera of community and the property-led regeneration of ‘broken Britain’","title-short":"Tottenham after the riots","volume":"35","author":[{"family":"Dillon","given":"Denis"},{"family":"Fanning","given":"Bryan"}],"issued":{"date-parts":[["2015",5,1]]}},"locator":"193","suppress-author":true}],"schema":"https://github.com/citation-style-language/schema/raw/master/csl-citation.json"} </w:instrText>
      </w:r>
      <w:r w:rsidRPr="00662E51">
        <w:rPr>
          <w:bCs/>
          <w:szCs w:val="24"/>
        </w:rPr>
        <w:fldChar w:fldCharType="separate"/>
      </w:r>
      <w:r w:rsidRPr="00662E51">
        <w:rPr>
          <w:szCs w:val="24"/>
        </w:rPr>
        <w:t>(2015, 193)</w:t>
      </w:r>
      <w:r w:rsidRPr="00662E51">
        <w:rPr>
          <w:szCs w:val="24"/>
        </w:rPr>
        <w:fldChar w:fldCharType="end"/>
      </w:r>
      <w:r w:rsidRPr="00662E51">
        <w:rPr>
          <w:bCs/>
          <w:szCs w:val="24"/>
        </w:rPr>
        <w:t xml:space="preserve"> view it as “state-led” gentrification “promoted by local authorities.” For this faction, regeneration almost always leads to displacement and a marked change in a neighbourhood’s character. Council tenants are typically the targets of regeneration, but they are not alone. Temporary residents</w:t>
      </w:r>
      <w:r w:rsidRPr="00BD17AF">
        <w:rPr>
          <w:rStyle w:val="FootnoteReference"/>
        </w:rPr>
        <w:footnoteReference w:id="33"/>
      </w:r>
      <w:r w:rsidRPr="00662E51">
        <w:rPr>
          <w:bCs/>
          <w:szCs w:val="24"/>
        </w:rPr>
        <w:t xml:space="preserve"> can be frequently moved around, and homeowners who have purchased their property via RTB are increasingly equally being displaced by regeneration</w:t>
      </w:r>
      <w:r w:rsidR="00980CE4" w:rsidRPr="00662E51">
        <w:rPr>
          <w:bCs/>
          <w:szCs w:val="24"/>
        </w:rPr>
        <w:t xml:space="preserve"> </w:t>
      </w:r>
      <w:r w:rsidR="00980CE4" w:rsidRPr="00662E51">
        <w:rPr>
          <w:bCs/>
          <w:szCs w:val="24"/>
        </w:rPr>
        <w:fldChar w:fldCharType="begin"/>
      </w:r>
      <w:r w:rsidR="008835AB" w:rsidRPr="00662E51">
        <w:rPr>
          <w:bCs/>
          <w:szCs w:val="24"/>
        </w:rPr>
        <w:instrText xml:space="preserve"> ADDIN ZOTERO_ITEM CSL_CITATION {"citationID":"J2mVEtP6","properties":{"formattedCitation":"(Elliott-Cooper et al. 2020)","plainCitation":"(Elliott-Cooper et al. 2020)","noteIndex":0},"citationItems":[{"id":3189,"uris":["http://zotero.org/users/8977980/items/X86726V8"],"itemData":{"id":3189,"type":"article-journal","abstract":"Since the 1990s, the renewal of council housing estates in London has involved widespread ?decanting? of resident populations to allow for demolition and redevelopment, primarily by private developers who sell the majority of new housing at market rate. This process of decanting has displaced long-term council tenants and shorter-term ?temporary? tenants, with many not able to return to the estate. In contrast, those leaseholders who bought under the ?right-to-buy? legislation introduced in the 1980s have a ?right to remain? by virtue of the property rights they have. Nonetheless, given the threat that their property will ultimately be subject to compulsory purchase because the redevelopment of the estate is in the ?public interest?, these leaseholders experience similar displacement pressures to other residents. Describing these pressures, this article argues that the right-to-buy legislation offered these residents the illusion of entering a property-owning middle-class, but that they were never able to escape the labelling of council estates as stigmatised spaces which have ultimately been seized by the state and capital in a moment of ?accumulation by dispossession?.","container-title":"The Sociological Review","DOI":"10.1177/0038026120906790","ISSN":"0038-0261","issue":"6","language":"en","page":"1354-1369","publisher":"SAGE Publications Ltd","source":"SAGE Journals","title":"Sold out? The right-to-buy, gentrification and working-class displacements in London","title-short":"Sold out?","volume":"68","author":[{"family":"Elliott-Cooper","given":"Adam"},{"family":"Hubbard","given":"Phil"},{"family":"Lees","given":"Loretta"}],"issued":{"date-parts":[["2020",11,1]]}}}],"schema":"https://github.com/citation-style-language/schema/raw/master/csl-citation.json"} </w:instrText>
      </w:r>
      <w:r w:rsidR="00980CE4" w:rsidRPr="00662E51">
        <w:rPr>
          <w:bCs/>
          <w:szCs w:val="24"/>
        </w:rPr>
        <w:fldChar w:fldCharType="separate"/>
      </w:r>
      <w:r w:rsidR="00980CE4" w:rsidRPr="00662E51">
        <w:t>(Elliott-Cooper et al. 2020)</w:t>
      </w:r>
      <w:r w:rsidR="00980CE4" w:rsidRPr="00662E51">
        <w:rPr>
          <w:bCs/>
          <w:szCs w:val="24"/>
        </w:rPr>
        <w:fldChar w:fldCharType="end"/>
      </w:r>
      <w:r w:rsidR="00980CE4" w:rsidRPr="00662E51">
        <w:rPr>
          <w:bCs/>
          <w:szCs w:val="24"/>
        </w:rPr>
        <w:t>.</w:t>
      </w:r>
      <w:r w:rsidRPr="00662E51">
        <w:rPr>
          <w:bCs/>
          <w:szCs w:val="24"/>
        </w:rPr>
        <w:t xml:space="preserve"> The impacts of the rise of regeneration are still being evaluated but scholars have already highlighted severe detrimental outcomes that primarily flow from displacement. The intentional destruction of whole areas has been understood as a form of trauma and violence inflicted on those that are forced to move </w:t>
      </w:r>
      <w:r w:rsidRPr="00662E51">
        <w:rPr>
          <w:bCs/>
          <w:szCs w:val="24"/>
        </w:rPr>
        <w:fldChar w:fldCharType="begin"/>
      </w:r>
      <w:r w:rsidR="001B2CAA">
        <w:rPr>
          <w:bCs/>
          <w:szCs w:val="24"/>
        </w:rPr>
        <w:instrText xml:space="preserve"> ADDIN ZOTERO_ITEM CSL_CITATION {"citationID":"ga1LA2Pt","properties":{"formattedCitation":"(Fullilove 2016; Pain 2019; Pull and Richard 2021)","plainCitation":"(Fullilove 2016; Pain 2019; Pull and Richard 2021)","noteIndex":0},"citationItems":[{"id":3876,"uris":["http://zotero.org/users/8977980/items/VTLFA3IS"],"itemData":{"id":3876,"type":"book","abstract":"Root Shock examines 3 different U.S. cities to unmask the crippling results of decades-old disinvestment in communities of color and the urban renewal practices that ultimately destroyed these neighborhoods for the advantage of developers and the elite. Like a sequel to the prescient warnings of urbanist Jane Jacobs, Dr. Mindy Thompson Fullilove reveals the disturbing effects of decades of insensitive urban renewal projects on communities of color. For those whose homes and neighborhoods were bulldozed, the urban modernization projects that swept America starting in 1949 were nothing short of an assault. Vibrant city blocks - places rich in culture - were torn apart by freeways and other invasive development, devastating the lives of poor residents. Fullilove passionately describes the profound traumatic stress- the \"root shock\"that results when a neighborhood is demolished. She estimates that federal and state urban renewal programs, spearheaded by business and real estate interests, destroyed 1,600 African American districts in cities across the United States. But urban renewal didn't just disrupt black communities: it ruined their economic health and social cohesion, stripping displaced residents of their sense of place as well. It also left big gashes in the centers of cities that are only now slowly being repaired. Focusing on the Hill District of Pittsburgh, the Central Ward in Newark, and the small Virginia city of Roanoke, Dr. Fullilove argues powerfully against policies of displacement. Understanding the damage caused by root shock is crucial to coping with its human toll and helping cities become whole. Mindy Thompson Fullilove, MD, is a research psychiatrist at New York State Psychiatric Institute and professor of clinical psychiatry and public health at Columbia University. She is the author of five books, including Urban Alchemy.","ISBN":"978-1-61332-041-9","publisher":"New Village Press","publisher-place":"New York, UNITED STATES","source":"ProQuest Ebook Central","title":"Root Shock: How Tearing up City Neighborhoods Hurts America, and What We Can Do about It","title-short":"Root Shock","URL":"http://ebookcentral.proquest.com/lib/durham/detail.action?docID=5253420","author":[{"family":"Fullilove","given":"Mindy Thompson"}],"accessed":{"date-parts":[["2023",2,17]]},"issued":{"date-parts":[["2016"]]}}},{"id":"n0Saldgp/opiPSvcV","uris":["http://zotero.org/users/8977980/items/PRZ5AUKN"],"itemData":{"id":1479,"type":"article-journal","abstract":"This paper sets the idea of slow violence into dialogue with trauma, to understand the practice and legitimisation of the repeated damage done to certain places through state violence. Slow violence (Nixon R (2011) Slow Violence and the Environmentalism of the Poor. Cambridge, MA: Harvard University Press) describes the ?attritional lethality? of many contemporary effects of globalisation. While originating in environmental humanities, it has clear relevance for urban studies. After assessing accounts of the post-traumatic city, the paper draws insights from feminist psychiatry and postcolonial analysis to develop the concept of chronic urban trauma, as a psychological effect of violence involving an ongoing relational dynamic. Reporting from a three-year participatory action research project on the managed decline and disposal of social housing in a former coalmining village in north-east England, the paper discusses the temporal and place-based effects of slow violence. It argues that chronic urban trauma becomes hard-wired in place, enabling retraumatisation while also remaining open to efforts to heal and rebuild.","container-title":"Urban Studies","DOI":"10.1177/0042098018795796","ISSN":"0042-0980","issue":"2","journalAbbreviation":"Urban Studies","note":"publisher: SAGE Publications Ltd","page":"385-400","source":"SAGE Journals","title":"Chronic urban trauma: The slow violence of housing dispossession","title-short":"Chronic urban trauma","volume":"56","author":[{"family":"Pain","given":"Rachel"}],"issued":{"date-parts":[["2019",2,1]]}}},{"id":3646,"uris":["http://zotero.org/users/8977980/items/8X7H4A5W"],"itemData":{"id":3646,"type":"article-journal","abstract":"This article investigates the lived experiences of tenants staying put in two neighborhoods undergoing urban renewal processes and increased rent levels in Uppsala, Sweden. The article is drawing on a place sensitive analysis to escape a ‘Euclidean prison’ that we contend underpin many displacement studies; studies that reduce the notion of displacement to only signify out-migration. Such studies often miss both the scope of displacement, and the grievances experienced by tenants following changes in place and space under various urban transformation processes. Through phenomenologically inspired interviews with tenants, we contend that place cannot, as it often is in practices of urban development, simply be understood as coordinates on a map, but has to be understood relationally. Adhering to such a place-sensitive understanding of space our study asks what changes to place and to ‘home’ is experienced by tenants staying put in neighborhoods under increasing displacement pressures. What surfaces is a series of displacements that can be categorized as spatial dispossessions; thematized under subcategories ‘contraction of home’ and ‘withering entitlements’, and temporal dispossessions; categorized under ‘life on hold’ and ‘erasure of history’. These displacements are suffered by tenants who despite displacement pressures have remained throughout the renewal process.","container-title":"Social &amp; Cultural Geography","DOI":"10.1080/14649365.2019.1601245","ISSN":"1464-9365","issue":"4","note":"_eprint: https://doi.org/10.1080/14649365.2019.1601245","page":"545-564","publisher":"Routledge","source":"Taylor and Francis+NEJM","title":"Domicide: displacement and dispossessions in Uppsala, Sweden","title-short":"Domicide","volume":"22","author":[{"family":"Pull","given":"Emil"},{"family":"Richard","given":"Åse"}],"issued":{"date-parts":[["2021",5,4]]}}}],"schema":"https://github.com/citation-style-language/schema/raw/master/csl-citation.json"} </w:instrText>
      </w:r>
      <w:r w:rsidRPr="00662E51">
        <w:rPr>
          <w:bCs/>
          <w:szCs w:val="24"/>
        </w:rPr>
        <w:fldChar w:fldCharType="separate"/>
      </w:r>
      <w:r w:rsidR="00493281" w:rsidRPr="00662E51">
        <w:t>(Fullilove 2016; Pain 2019; Pull and Richard 2021)</w:t>
      </w:r>
      <w:r w:rsidRPr="00662E51">
        <w:rPr>
          <w:szCs w:val="24"/>
        </w:rPr>
        <w:fldChar w:fldCharType="end"/>
      </w:r>
      <w:r w:rsidRPr="00662E51">
        <w:rPr>
          <w:bCs/>
          <w:szCs w:val="24"/>
        </w:rPr>
        <w:t xml:space="preserve">. Beyond the trauma of being severed from one’s community, the physical act of being displaced is arduous. Tenants might be moved far from their existing social networks, places of employment, and institutions of social reproduction </w:t>
      </w:r>
      <w:r w:rsidRPr="00662E51">
        <w:rPr>
          <w:bCs/>
          <w:szCs w:val="24"/>
        </w:rPr>
        <w:fldChar w:fldCharType="begin"/>
      </w:r>
      <w:r w:rsidR="001B2CAA">
        <w:rPr>
          <w:bCs/>
          <w:szCs w:val="24"/>
        </w:rPr>
        <w:instrText xml:space="preserve"> ADDIN ZOTERO_ITEM CSL_CITATION {"citationID":"niL3b9A6","properties":{"formattedCitation":"(Gillespie et al. 2021; Lees and White 2020)","plainCitation":"(Gillespie et al. 2021; Lees and White 2020)","noteIndex":0},"citationItems":[{"id":"n0Saldgp/Pfek5KeZ","uris":["http://zotero.org/users/8977980/items/LK7WKKQI"],"itemData":{"id":"RZ0Rr8Po/zmdcJjp7","type":"article-journal","abstract":"Urban scholars have traditionally associated displacement in cities of the global North with gentriﬁcation, generally understood as a class-based process of neighbourhood change. This article expands this scalar focus and adopts the larger scale of the local authority district (in this case the London borough) as its epistemological starting point to study the displacement of homeless people by the local state. Participatory action research was undertaken with housing campaigners in the East London borough of Newham to explore who is being displaced, their experiences of displacement and the impacts of displacement on their lives. Empirically, the article argues that displacement in this case is a product of national welfare state restructuring – or ‘austerity urbanism’ – implemented through a localised regime of ‘welfare chauvinism’ in which some groups are framed as economically unproductive and therefore undeserving of access to social housing. Displacement has the effect of reinforcing the surplus status of these groups by separating them from employment, education and care networks and eroding their physical and mental health. The article draws on research on the biopolitics of surplus populations in the global South to develop an original theorisation of the relationship between welfare state restructuring and displacement. This theorisation reveals that displacement is the spatial expression of a biopolitical shift away from the logic of ‘making live’ associated with the post-war welfare state towards a logic of ‘letting die’ more traditionally associated with postcolonial contexts.","container-title":"Environment and Planning A: Economy and Space","DOI":"10.1177/0308518X211026323","ISSN":"0308-518X, 1472-3409","issue":"7","journalAbbreviation":"Environ Plan A","language":"en","page":"1713-1729","source":"DOI.org (Crossref)","title":"Surplus to the city: Austerity urbanism, displacement and ‘letting die’","title-short":"Surplus to the city","volume":"53","author":[{"family":"Gillespie","given":"Tom"},{"family":"Hardy","given":"Kate"},{"family":"Watt","given":"Paul"}],"issued":{"date-parts":[["2021",10]]}}},{"id":664,"uris":["http://zotero.org/users/8977980/items/XQQFXVDC"],"itemData":{"id":664,"type":"article-journal","abstract":"London’s council estates and their residents are under threat like never before. Council tenants are being forced out of their homes due to estate renewal, welfare reforms, poverty, and the precarity of low-income work. Social cleansing can be understood as a geographical project made up of processes, practices, and policies designed to remove council estate residents from space and place, what we call a ‘new accumulative form of (state-led) gentrification’. We outline these accumulative processes, practices and policies, but more importantly we present grounded, empirical evidence of council tenants and leaseholders’ everyday experiences of dispossession, focusing our lens on three south London boroughs identified as eviction hotspots.","container-title":"Housing Studies","DOI":"10.1080/02673037.2019.1680814","ISSN":"0267-3037","issue":"10","note":"_eprint: https://doi.org/10.1080/02673037.2019.1680814","page":"1701-1722","publisher":"Routledge","source":"Taylor and Francis+NEJM","title":"The social cleansing of London council estates: everyday experiences of ‘accumulative dispossession’","title-short":"The social cleansing of London council estates","volume":"35","author":[{"family":"Lees","given":"Loretta"},{"family":"White","given":"Hannah"}],"issued":{"date-parts":[["2020",11,25]]}}}],"schema":"https://github.com/citation-style-language/schema/raw/master/csl-citation.json"} </w:instrText>
      </w:r>
      <w:r w:rsidRPr="00662E51">
        <w:rPr>
          <w:bCs/>
          <w:szCs w:val="24"/>
        </w:rPr>
        <w:fldChar w:fldCharType="separate"/>
      </w:r>
      <w:r w:rsidR="00C83945" w:rsidRPr="00662E51">
        <w:t xml:space="preserve">(Gillespie et al. 2021; Lees </w:t>
      </w:r>
      <w:r w:rsidR="00C83945" w:rsidRPr="00662E51">
        <w:lastRenderedPageBreak/>
        <w:t>and White 2020)</w:t>
      </w:r>
      <w:r w:rsidRPr="00662E51">
        <w:rPr>
          <w:szCs w:val="24"/>
        </w:rPr>
        <w:fldChar w:fldCharType="end"/>
      </w:r>
      <w:r w:rsidRPr="00662E51">
        <w:rPr>
          <w:bCs/>
          <w:szCs w:val="24"/>
        </w:rPr>
        <w:t xml:space="preserve">. Whole neighbourhoods are likewise stigmatised in media </w:t>
      </w:r>
      <w:r w:rsidRPr="00662E51">
        <w:rPr>
          <w:bCs/>
          <w:szCs w:val="24"/>
        </w:rPr>
        <w:fldChar w:fldCharType="begin"/>
      </w:r>
      <w:r w:rsidR="001B2CAA">
        <w:rPr>
          <w:bCs/>
          <w:szCs w:val="24"/>
        </w:rPr>
        <w:instrText xml:space="preserve"> ADDIN ZOTERO_ITEM CSL_CITATION {"citationID":"ooo1pqbO","properties":{"formattedCitation":"(Kallin and Slater 2014; Slater 2018b)","plainCitation":"(Kallin and Slater 2014; Slater 2018b)","noteIndex":0},"citationItems":[{"id":7050,"uris":["http://zotero.org/users/8977980/items/AH3MP6WA"],"itemData":{"id":7050,"type":"article-journal","abstract":"This paper reaffirms the importance of politics in theories on gentrification through analysis of a recent ‘regeneration’ project based in Craigmillar, a stigmatised district on the southeastern edge of Edinburgh. It sketches the historical backdrop to the area's stigma as a place ‘outside’ the city, using qualitative research on the Craigmillar Festival Society to highlight how this stigma was produced and intensified as well as contested. By stressing that the main intention of the ‘regeneration’ project was to attract more affluent residents to Craigmillar, we show how territorial stigmatisation and ‘regeneration’ through gentrification form two sides of the same conceptual and policy coin: the “blemish of place” becomes a target and rationale for ‘fixing’ the area, thus obviating and obstructing policies aimed at attacking deprivation, inequality, or the structural problems of advanced marginality. The state's role in creating the very stigma it then insists on scrubbing highlights a major contradiction in contemporary urban policy.","container-title":"Environment and Planning A: Economy and Space","DOI":"10.1068/a45634","ISSN":"0308-518X","issue":"6","journalAbbreviation":"Environ Plan A","language":"EN","page":"1351-1368","publisher":"SAGE Publications Ltd","source":"SAGE Journals","title":"Activating Territorial Stigma: Gentrifying Marginality on Edinburgh's Periphery","title-short":"Activating Territorial Stigma","volume":"46","author":[{"family":"Kallin","given":"Hamish"},{"family":"Slater","given":"Tom"}],"issued":{"date-parts":[["2014",6,1]]}}},{"id":"n0Saldgp/lTrFgxr9","uris":["http://zotero.org/users/8977980/items/G54SJBAX"],"itemData":{"id":35,"type":"article-journal","abstract":"This article explores the history and traces the realisation of a category that was invented by journalists, amplified by free market think tanks and converted into policy doxa (common sense) by politicians in the United Kingdom: the ‘sink estate’. This derogatory designator, signifying social housing estates that supposedly create poverty, family breakdown, worklessness, welfare dependency, antisocial behaviour and personal irresponsibility, has become the symbolic frame justifying current policies towards social housing that have resulted in considerable social suffering and intensified dislocation. The article deploys a conceptual articulation of agnotology (the intentional production of ignorance) with Bourdieu’s theory of symbolic power to understand the institutional arrangements and cognitive systems structuring deeply unequal social relations. Specifically, the highly influential publications on housing by a free market think tank, Policy Exchange, are dissected in order to demonstrate how the activation of territorial stigma has become an instrument of urban politics. The ‘sink estate’, it is argued, is the semantic battering ram in the ideological assault on social housing, deflecting attention away from social housing not only as urgent necessity during a serious crisis of affordability, but as incubator of community, solidarity, shelter and home.","container-title":"The Sociological Review","DOI":"10.1177/0038026118777451","ISSN":"0038-0261","issue":"4","journalAbbreviation":"The Sociological Review","language":"en","note":"publisher: SAGE Publications Ltd","page":"877-897","source":"SAGE Journals","title":"The invention of the ‘sink estate’: Consequential categorisation and the UK housing crisis","title-short":"The invention of the ‘sink estate’","volume":"66","author":[{"family":"Slater","given":"Tom"}],"issued":{"date-parts":[["2018",7,1]]}}}],"schema":"https://github.com/citation-style-language/schema/raw/master/csl-citation.json"} </w:instrText>
      </w:r>
      <w:r w:rsidRPr="00662E51">
        <w:rPr>
          <w:bCs/>
          <w:szCs w:val="24"/>
        </w:rPr>
        <w:fldChar w:fldCharType="separate"/>
      </w:r>
      <w:r w:rsidRPr="00662E51">
        <w:rPr>
          <w:szCs w:val="24"/>
        </w:rPr>
        <w:t>(Kallin and Slater 2014; Slater 2018b)</w:t>
      </w:r>
      <w:r w:rsidRPr="00662E51">
        <w:rPr>
          <w:szCs w:val="24"/>
        </w:rPr>
        <w:fldChar w:fldCharType="end"/>
      </w:r>
      <w:r w:rsidRPr="00662E51">
        <w:rPr>
          <w:bCs/>
          <w:szCs w:val="24"/>
        </w:rPr>
        <w:t xml:space="preserve">. Those who can remain suffer, too: they experience an ‘in-situ’ displacement as the pre-existing community is destroyed </w:t>
      </w:r>
      <w:r w:rsidRPr="00662E51">
        <w:rPr>
          <w:bCs/>
          <w:szCs w:val="24"/>
        </w:rPr>
        <w:fldChar w:fldCharType="begin"/>
      </w:r>
      <w:r w:rsidRPr="00662E51">
        <w:rPr>
          <w:bCs/>
          <w:szCs w:val="24"/>
        </w:rPr>
        <w:instrText xml:space="preserve"> ADDIN ZOTERO_ITEM CSL_CITATION {"citationID":"oduzP1a1","properties":{"formattedCitation":"(Watt 2021a)","plainCitation":"(Watt 2021a)","noteIndex":0},"citationItems":[{"id":67,"uris":["http://zotero.org/users/8977980/items/K2VH5YME"],"itemData":{"id":67,"type":"article-journal","abstract":"The forced relocation—displacement—of social housing residents resulting from estate regeneration involving demolition has been the subject of considerable academic and policy debate. While some scholars and policy makers regard such displacement as having harmful outcomes in relation to loss of homes and community relations, others argue that residents benefit from relocation as they move to ‘better places’. This paper contributes to this debate, and to the wider ’post-displacement’ research agenda, by providing an experiential perspective on residential relocation with reference to in-depth interviews with social housing residents in London who returned to new-build flats at the redeveloped mixed-tenure estates. The paper employs a multi-scalar approach to place attachment which is illustrated and analysed at three spatial scales: domestic (home/dwelling), intermediate (block of flats) and neighbourhood (estate). The home scale is the most positive albeit not unequivocal aspect of residents’ post-displacement experiences, whereas place attachments at the block and neighbourhood scales are characterized by extensive and intensive disruptions and losses.","container-title":"Housing Studies","DOI":"10.1080/02673037.2020.1867081","ISSN":"0267-3037, 1466-1810","journalAbbreviation":"Housing Studies","language":"en","page":"1-24","source":"DOI.org (Crossref)","title":"Displacement and estate demolition: multi-scalar place attachment among relocated social housing residents in London","title-short":"Displacement and estate demolition","author":[{"family":"Watt","given":"Paul"}],"issued":{"date-parts":[["2021",3,18]]}}}],"schema":"https://github.com/citation-style-language/schema/raw/master/csl-citation.json"} </w:instrText>
      </w:r>
      <w:r w:rsidRPr="00662E51">
        <w:rPr>
          <w:bCs/>
          <w:szCs w:val="24"/>
        </w:rPr>
        <w:fldChar w:fldCharType="separate"/>
      </w:r>
      <w:r w:rsidRPr="00662E51">
        <w:rPr>
          <w:szCs w:val="24"/>
        </w:rPr>
        <w:t>(Watt 2021a)</w:t>
      </w:r>
      <w:r w:rsidRPr="00662E51">
        <w:rPr>
          <w:bCs/>
          <w:szCs w:val="24"/>
        </w:rPr>
        <w:fldChar w:fldCharType="end"/>
      </w:r>
      <w:r w:rsidRPr="00662E51">
        <w:rPr>
          <w:bCs/>
          <w:szCs w:val="24"/>
        </w:rPr>
        <w:t xml:space="preserve">. Regeneration is thus a core element of the state of council housing today. </w:t>
      </w:r>
    </w:p>
    <w:p w14:paraId="38884778" w14:textId="44F050E2" w:rsidR="00CA6F09" w:rsidRPr="00662E51" w:rsidRDefault="00CA6F09" w:rsidP="00F56305">
      <w:pPr>
        <w:spacing w:line="360" w:lineRule="auto"/>
        <w:ind w:left="0" w:firstLine="720"/>
        <w:contextualSpacing/>
        <w:rPr>
          <w:bCs/>
          <w:iCs/>
          <w:szCs w:val="24"/>
        </w:rPr>
      </w:pPr>
      <w:r w:rsidRPr="00662E51">
        <w:rPr>
          <w:bCs/>
          <w:szCs w:val="24"/>
        </w:rPr>
        <w:t xml:space="preserve">While Dillon and Fanning </w:t>
      </w:r>
      <w:r w:rsidRPr="00662E51">
        <w:rPr>
          <w:bCs/>
          <w:szCs w:val="24"/>
        </w:rPr>
        <w:fldChar w:fldCharType="begin"/>
      </w:r>
      <w:r w:rsidR="001B2CAA">
        <w:rPr>
          <w:bCs/>
          <w:szCs w:val="24"/>
        </w:rPr>
        <w:instrText xml:space="preserve"> ADDIN ZOTERO_ITEM CSL_CITATION {"citationID":"k50b2yCp","properties":{"formattedCitation":"(2015)","plainCitation":"(2015)","noteIndex":0},"citationItems":[{"id":"n0Saldgp/2Hzt6BxM","uris":["http://zotero.org/users/8977980/items/RVFCXMEF"],"itemData":{"id":54,"type":"article-journal","abstract":"David Cameron’s ‘Big Society’ agenda is best understood in terms of ideological and policy continuities with earlier Conservative and New Labour governments. But where previous post-1979 governments have sought to renegotiate the role of the state mostly through privatisations and marketisations of public services, the ‘Big Society’ agenda also proposed the replacement of the state by individual voluntarism and community enterprise. The accompanying political narrative portrays an atomised ‘broken Britain’ but at the same time insists that untapped community spirit can take the place of the state. This article examines the disjuncture between Big Society narratives and urban policy responses to the 2011 Tottenham riots. By comparison with previous local regeneration initiatives in Tottenham there was very little emphasis on community development. Instead explicit goals of gentrification in the Plan for Tottenham echo Thatcher-era approaches to ‘place shaping’ and exemplify a wider re-emphasis on property-led regeneration.","container-title":"Critical Social Policy","DOI":"10.1177/0261018315575103","ISSN":"0261-0183","issue":"2","journalAbbreviation":"Critical Social Policy","language":"en","note":"publisher: SAGE Publications Ltd","page":"188-206","source":"SAGE Journals","title":"Tottenham after the riots: The chimera of community and the property-led regeneration of ‘broken Britain’","title-short":"Tottenham after the riots","volume":"35","author":[{"family":"Dillon","given":"Denis"},{"family":"Fanning","given":"Bryan"}],"issued":{"date-parts":[["2015",5,1]]}},"suppress-author":true}],"schema":"https://github.com/citation-style-language/schema/raw/master/csl-citation.json"} </w:instrText>
      </w:r>
      <w:r w:rsidRPr="00662E51">
        <w:rPr>
          <w:bCs/>
          <w:szCs w:val="24"/>
        </w:rPr>
        <w:fldChar w:fldCharType="separate"/>
      </w:r>
      <w:r w:rsidRPr="00662E51">
        <w:rPr>
          <w:szCs w:val="24"/>
        </w:rPr>
        <w:t>(2015)</w:t>
      </w:r>
      <w:r w:rsidRPr="00662E51">
        <w:rPr>
          <w:szCs w:val="24"/>
        </w:rPr>
        <w:fldChar w:fldCharType="end"/>
      </w:r>
      <w:r w:rsidRPr="00662E51">
        <w:rPr>
          <w:bCs/>
          <w:szCs w:val="24"/>
        </w:rPr>
        <w:t xml:space="preserve"> believe that state-led gentrification represents a continuation with the past, Gillespie et al. </w:t>
      </w:r>
      <w:r w:rsidRPr="00662E51">
        <w:rPr>
          <w:bCs/>
          <w:szCs w:val="24"/>
        </w:rPr>
        <w:fldChar w:fldCharType="begin"/>
      </w:r>
      <w:r w:rsidR="001B2CAA">
        <w:rPr>
          <w:bCs/>
          <w:szCs w:val="24"/>
        </w:rPr>
        <w:instrText xml:space="preserve"> ADDIN ZOTERO_ITEM CSL_CITATION {"citationID":"jXMsLWTl","properties":{"formattedCitation":"(2021)","plainCitation":"(2021)","noteIndex":0},"citationItems":[{"id":"n0Saldgp/Pfek5KeZ","uris":["http://zotero.org/users/8977980/items/LK7WKKQI"],"itemData":{"id":"uUNz0iuw/LR9sN0r4","type":"article-journal","abstract":"Urban scholars have traditionally associated displacement in cities of the global North with gentriﬁcation, generally understood as a class-based process of neighbourhood change. This article expands this scalar focus and adopts the larger scale of the local authority district (in this case the London borough) as its epistemological starting point to study the displacement of homeless people by the local state. Participatory action research was undertaken with housing campaigners in the East London borough of Newham to explore who is being displaced, their experiences of displacement and the impacts of displacement on their lives. Empirically, the article argues that displacement in this case is a product of national welfare state restructuring – or ‘austerity urbanism’ – implemented through a localised regime of ‘welfare chauvinism’ in which some groups are framed as economically unproductive and therefore undeserving of access to social housing. Displacement has the effect of reinforcing the surplus status of these groups by separating them from employment, education and care networks and eroding their physical and mental health. The article draws on research on the biopolitics of surplus populations in the global South to develop an original theorisation of the relationship between welfare state restructuring and displacement. This theorisation reveals that displacement is the spatial expression of a biopolitical shift away from the logic of ‘making live’ associated with the post-war welfare state towards a logic of ‘letting die’ more traditionally associated with postcolonial contexts.","container-title":"Environment and Planning A: Economy and Space","DOI":"10.1177/0308518X211026323","ISSN":"0308-518X, 1472-3409","issue":"7","journalAbbreviation":"Environ Plan A","language":"en","page":"1713-1729","source":"DOI.org (Crossref)","title":"Surplus to the city: Austerity urbanism, displacement and ‘letting die’","title-short":"Surplus to the city","volume":"53","author":[{"family":"Gillespie","given":"Tom"},{"family":"Hardy","given":"Kate"},{"family":"Watt","given":"Paul"}],"issued":{"date-parts":[["2021",10]]}},"suppress-author":true}],"schema":"https://github.com/citation-style-language/schema/raw/master/csl-citation.json"} </w:instrText>
      </w:r>
      <w:r w:rsidRPr="00662E51">
        <w:rPr>
          <w:bCs/>
          <w:szCs w:val="24"/>
        </w:rPr>
        <w:fldChar w:fldCharType="separate"/>
      </w:r>
      <w:r w:rsidR="00C83945" w:rsidRPr="00662E51">
        <w:t>(2021)</w:t>
      </w:r>
      <w:r w:rsidRPr="00662E51">
        <w:rPr>
          <w:bCs/>
          <w:szCs w:val="24"/>
        </w:rPr>
        <w:fldChar w:fldCharType="end"/>
      </w:r>
      <w:r w:rsidRPr="00662E51">
        <w:rPr>
          <w:bCs/>
          <w:szCs w:val="24"/>
        </w:rPr>
        <w:t xml:space="preserve"> </w:t>
      </w:r>
      <w:r w:rsidRPr="00662E51">
        <w:rPr>
          <w:bCs/>
          <w:iCs/>
          <w:szCs w:val="24"/>
        </w:rPr>
        <w:t xml:space="preserve">claim that said national shifts represent a localised form of austerity politics: in their formulation, austerity is translated to the local through a process of “letting die,” drawing on Foucault </w:t>
      </w:r>
      <w:r w:rsidRPr="00662E51">
        <w:rPr>
          <w:bCs/>
          <w:iCs/>
          <w:szCs w:val="24"/>
        </w:rPr>
        <w:fldChar w:fldCharType="begin"/>
      </w:r>
      <w:r w:rsidR="008835AB" w:rsidRPr="00662E51">
        <w:rPr>
          <w:bCs/>
          <w:iCs/>
          <w:szCs w:val="24"/>
        </w:rPr>
        <w:instrText xml:space="preserve"> ADDIN ZOTERO_ITEM CSL_CITATION {"citationID":"RqhdFmGp","properties":{"formattedCitation":"([1976] 2003)","plainCitation":"([1976] 2003)","noteIndex":0},"citationItems":[{"id":7076,"uris":["http://zotero.org/users/8977980/items/FL7VSS27"],"itemData":{"id":7076,"type":"book","ISBN":"978-0-312-20318-4","language":"eng","number-of-pages":"310","publisher":"Picador","publisher-place":"New York","source":"K10plus ISBN","title":"Society must be defended: lectures at the Collège de France, 1975-76","title-short":"Society must be defended","author":[{"family":"Foucault","given":"Michel"}],"editor":[{"family":"Bertani","given":"Mauro"}],"translator":[{"family":"Macey","given":"David"}],"issued":{"date-parts":[["2003"]]},"original-date":{"date-parts":[["1976"]]}},"suppress-author":true}],"schema":"https://github.com/citation-style-language/schema/raw/master/csl-citation.json"} </w:instrText>
      </w:r>
      <w:r w:rsidRPr="00662E51">
        <w:rPr>
          <w:bCs/>
          <w:iCs/>
          <w:szCs w:val="24"/>
        </w:rPr>
        <w:fldChar w:fldCharType="separate"/>
      </w:r>
      <w:r w:rsidRPr="00662E51">
        <w:rPr>
          <w:szCs w:val="24"/>
        </w:rPr>
        <w:t>([1976] 2003)</w:t>
      </w:r>
      <w:r w:rsidRPr="00662E51">
        <w:rPr>
          <w:bCs/>
          <w:iCs/>
          <w:szCs w:val="24"/>
        </w:rPr>
        <w:fldChar w:fldCharType="end"/>
      </w:r>
      <w:r w:rsidRPr="00662E51">
        <w:rPr>
          <w:bCs/>
          <w:iCs/>
          <w:szCs w:val="24"/>
        </w:rPr>
        <w:t xml:space="preserve">’s thought. For Foucault </w:t>
      </w:r>
      <w:r w:rsidRPr="00662E51">
        <w:rPr>
          <w:bCs/>
          <w:iCs/>
          <w:szCs w:val="24"/>
        </w:rPr>
        <w:fldChar w:fldCharType="begin"/>
      </w:r>
      <w:r w:rsidR="008835AB" w:rsidRPr="00662E51">
        <w:rPr>
          <w:bCs/>
          <w:iCs/>
          <w:szCs w:val="24"/>
        </w:rPr>
        <w:instrText xml:space="preserve"> ADDIN ZOTERO_ITEM CSL_CITATION {"citationID":"sjopvz0r","properties":{"formattedCitation":"([1976] 2003)","plainCitation":"([1976] 2003)","noteIndex":0},"citationItems":[{"id":7076,"uris":["http://zotero.org/users/8977980/items/FL7VSS27"],"itemData":{"id":7076,"type":"book","ISBN":"978-0-312-20318-4","language":"eng","number-of-pages":"310","publisher":"Picador","publisher-place":"New York","source":"K10plus ISBN","title":"Society must be defended: lectures at the Collège de France, 1975-76","title-short":"Society must be defended","author":[{"family":"Foucault","given":"Michel"}],"editor":[{"family":"Bertani","given":"Mauro"}],"translator":[{"family":"Macey","given":"David"}],"issued":{"date-parts":[["2003"]]},"original-date":{"date-parts":[["1976"]]}},"suppress-author":true}],"schema":"https://github.com/citation-style-language/schema/raw/master/csl-citation.json"} </w:instrText>
      </w:r>
      <w:r w:rsidRPr="00662E51">
        <w:rPr>
          <w:bCs/>
          <w:iCs/>
          <w:szCs w:val="24"/>
        </w:rPr>
        <w:fldChar w:fldCharType="separate"/>
      </w:r>
      <w:r w:rsidRPr="00662E51">
        <w:rPr>
          <w:szCs w:val="24"/>
        </w:rPr>
        <w:t>([1976] 2003)</w:t>
      </w:r>
      <w:r w:rsidRPr="00662E51">
        <w:rPr>
          <w:bCs/>
          <w:iCs/>
          <w:szCs w:val="24"/>
        </w:rPr>
        <w:fldChar w:fldCharType="end"/>
      </w:r>
      <w:r w:rsidRPr="00662E51">
        <w:rPr>
          <w:bCs/>
          <w:iCs/>
          <w:szCs w:val="24"/>
        </w:rPr>
        <w:t xml:space="preserve">, one of the defining qualities of modern states is biopower—the ability to control large populations and its associated technologies. Pre-modern states, lacking modern technology, were defined by their ability to either </w:t>
      </w:r>
      <w:r w:rsidRPr="00FF1041">
        <w:rPr>
          <w:bCs/>
          <w:i/>
          <w:szCs w:val="24"/>
        </w:rPr>
        <w:t>make die</w:t>
      </w:r>
      <w:r w:rsidRPr="00662E51">
        <w:rPr>
          <w:bCs/>
          <w:iCs/>
          <w:szCs w:val="24"/>
        </w:rPr>
        <w:t xml:space="preserve"> (through violence) or </w:t>
      </w:r>
      <w:r w:rsidRPr="00FF1041">
        <w:rPr>
          <w:bCs/>
          <w:i/>
          <w:szCs w:val="24"/>
        </w:rPr>
        <w:t>let live</w:t>
      </w:r>
      <w:r w:rsidRPr="00662E51">
        <w:rPr>
          <w:bCs/>
          <w:iCs/>
          <w:szCs w:val="24"/>
        </w:rPr>
        <w:t xml:space="preserve">. Modern states, however, have gained the right to </w:t>
      </w:r>
      <w:r w:rsidRPr="00FF1041">
        <w:rPr>
          <w:bCs/>
          <w:i/>
          <w:szCs w:val="24"/>
        </w:rPr>
        <w:t>make live</w:t>
      </w:r>
      <w:r w:rsidRPr="00662E51">
        <w:rPr>
          <w:bCs/>
          <w:iCs/>
          <w:szCs w:val="24"/>
        </w:rPr>
        <w:t xml:space="preserve"> and </w:t>
      </w:r>
      <w:r w:rsidRPr="00FF1041">
        <w:rPr>
          <w:bCs/>
          <w:i/>
          <w:szCs w:val="24"/>
        </w:rPr>
        <w:t>let die</w:t>
      </w:r>
      <w:r w:rsidRPr="00662E51">
        <w:rPr>
          <w:bCs/>
          <w:iCs/>
          <w:szCs w:val="24"/>
        </w:rPr>
        <w:t xml:space="preserve"> through new forms of governing apparatus: public health, welfare, philanthropy, etc </w:t>
      </w:r>
      <w:r w:rsidRPr="00662E51">
        <w:rPr>
          <w:bCs/>
          <w:iCs/>
          <w:szCs w:val="24"/>
        </w:rPr>
        <w:fldChar w:fldCharType="begin"/>
      </w:r>
      <w:r w:rsidR="008835AB" w:rsidRPr="00662E51">
        <w:rPr>
          <w:bCs/>
          <w:iCs/>
          <w:szCs w:val="24"/>
        </w:rPr>
        <w:instrText xml:space="preserve"> ADDIN ZOTERO_ITEM CSL_CITATION {"citationID":"A6NjPdjU","properties":{"formattedCitation":"(Nadesan 2010)","plainCitation":"(Nadesan 2010)","noteIndex":0},"citationItems":[{"id":7078,"uris":["http://zotero.org/users/8977980/items/7K4A3MDK"],"itemData":{"id":7078,"type":"book","abstract":"Governmentality, Biopower, and Everyday Life synthesizes and extends the disparate strands of scholarship on Foucault's notions of governmentality and biopower and grounds them in familiar social contexts including the private realm, the market, and the state/military. Topics include public health, genomics, behavioral genetics, neoliberal market logics and technologies, philanthropy, and the war on terror.  This book is designed for readers interested in a rigorous, comprehensive introduction to the wide array of interdisciplinary work focusing on Foucault, biopower and governmentality. However, Nadesan does not merely reproduce existing literatures but also responds to implicit critiques made by Cultural Studies and Marxist scholarship concerning identity politics, political economy, and sovereign force and disciplinary control. Using concrete examples and detailed illustrations throughout, this book extends the extant literature on governmentality and biopower and helps shape our understanding of everyday life under neoliberalism.","DOI":"10.4324/9780203894620","ISBN":"978-0-203-89462-0","number-of-pages":"258","publisher":"Routledge","publisher-place":"New York","title":"Governmentality, Biopower, and Everyday Life","author":[{"family":"Nadesan","given":"Majia Holmer"}],"issued":{"date-parts":[["2010",6,10]]}}}],"schema":"https://github.com/citation-style-language/schema/raw/master/csl-citation.json"} </w:instrText>
      </w:r>
      <w:r w:rsidRPr="00662E51">
        <w:rPr>
          <w:bCs/>
          <w:iCs/>
          <w:szCs w:val="24"/>
        </w:rPr>
        <w:fldChar w:fldCharType="separate"/>
      </w:r>
      <w:r w:rsidRPr="00662E51">
        <w:rPr>
          <w:szCs w:val="24"/>
        </w:rPr>
        <w:t>(Nadesan 2010)</w:t>
      </w:r>
      <w:r w:rsidRPr="00662E51">
        <w:rPr>
          <w:bCs/>
          <w:iCs/>
          <w:szCs w:val="24"/>
        </w:rPr>
        <w:fldChar w:fldCharType="end"/>
      </w:r>
      <w:r w:rsidRPr="00662E51">
        <w:rPr>
          <w:bCs/>
          <w:iCs/>
          <w:szCs w:val="24"/>
        </w:rPr>
        <w:t xml:space="preserve">. In the realm of council housing,  Gillespie et al.’s </w:t>
      </w:r>
      <w:r w:rsidRPr="00662E51">
        <w:rPr>
          <w:bCs/>
          <w:szCs w:val="24"/>
        </w:rPr>
        <w:fldChar w:fldCharType="begin"/>
      </w:r>
      <w:r w:rsidR="001B2CAA">
        <w:rPr>
          <w:bCs/>
          <w:szCs w:val="24"/>
        </w:rPr>
        <w:instrText xml:space="preserve"> ADDIN ZOTERO_ITEM CSL_CITATION {"citationID":"26KIe8aF","properties":{"formattedCitation":"(2021)","plainCitation":"(2021)","noteIndex":0},"citationItems":[{"id":"n0Saldgp/Pfek5KeZ","uris":["http://zotero.org/users/8977980/items/LK7WKKQI"],"itemData":{"id":"uUNz0iuw/LR9sN0r4","type":"article-journal","abstract":"Urban scholars have traditionally associated displacement in cities of the global North with gentriﬁcation, generally understood as a class-based process of neighbourhood change. This article expands this scalar focus and adopts the larger scale of the local authority district (in this case the London borough) as its epistemological starting point to study the displacement of homeless people by the local state. Participatory action research was undertaken with housing campaigners in the East London borough of Newham to explore who is being displaced, their experiences of displacement and the impacts of displacement on their lives. Empirically, the article argues that displacement in this case is a product of national welfare state restructuring – or ‘austerity urbanism’ – implemented through a localised regime of ‘welfare chauvinism’ in which some groups are framed as economically unproductive and therefore undeserving of access to social housing. Displacement has the effect of reinforcing the surplus status of these groups by separating them from employment, education and care networks and eroding their physical and mental health. The article draws on research on the biopolitics of surplus populations in the global South to develop an original theorisation of the relationship between welfare state restructuring and displacement. This theorisation reveals that displacement is the spatial expression of a biopolitical shift away from the logic of ‘making live’ associated with the post-war welfare state towards a logic of ‘letting die’ more traditionally associated with postcolonial contexts.","container-title":"Environment and Planning A: Economy and Space","DOI":"10.1177/0308518X211026323","ISSN":"0308-518X, 1472-3409","issue":"7","journalAbbreviation":"Environ Plan A","language":"en","page":"1713-1729","source":"DOI.org (Crossref)","title":"Surplus to the city: Austerity urbanism, displacement and ‘letting die’","title-short":"Surplus to the city","volume":"53","author":[{"family":"Gillespie","given":"Tom"},{"family":"Hardy","given":"Kate"},{"family":"Watt","given":"Paul"}],"issued":{"date-parts":[["2021",10]]}},"suppress-author":true}],"schema":"https://github.com/citation-style-language/schema/raw/master/csl-citation.json"} </w:instrText>
      </w:r>
      <w:r w:rsidRPr="00662E51">
        <w:rPr>
          <w:bCs/>
          <w:szCs w:val="24"/>
        </w:rPr>
        <w:fldChar w:fldCharType="separate"/>
      </w:r>
      <w:r w:rsidR="00C83945" w:rsidRPr="00662E51">
        <w:t>(2021)</w:t>
      </w:r>
      <w:r w:rsidRPr="00662E51">
        <w:rPr>
          <w:bCs/>
          <w:szCs w:val="24"/>
        </w:rPr>
        <w:fldChar w:fldCharType="end"/>
      </w:r>
      <w:r w:rsidRPr="00662E51">
        <w:rPr>
          <w:bCs/>
          <w:szCs w:val="24"/>
        </w:rPr>
        <w:t xml:space="preserve"> argue that</w:t>
      </w:r>
      <w:r w:rsidRPr="00662E51">
        <w:rPr>
          <w:bCs/>
          <w:iCs/>
          <w:szCs w:val="24"/>
        </w:rPr>
        <w:t xml:space="preserve"> “letting die” encapsulates a withdrawal of state support for economically unproductive populations. “Letting die” not only deliberately produces populations as unproductive, but also constitutes them as undeserving of social support.</w:t>
      </w:r>
      <w:r w:rsidR="006C3F9A">
        <w:rPr>
          <w:bCs/>
          <w:iCs/>
          <w:szCs w:val="24"/>
        </w:rPr>
        <w:t xml:space="preserve"> In other words, council tenants are treated as t</w:t>
      </w:r>
      <w:r w:rsidR="006C3F9A" w:rsidRPr="00662E51">
        <w:rPr>
          <w:szCs w:val="24"/>
        </w:rPr>
        <w:t>he ‘undeserving poor</w:t>
      </w:r>
      <w:r w:rsidR="00746976">
        <w:rPr>
          <w:szCs w:val="24"/>
        </w:rPr>
        <w:t>,</w:t>
      </w:r>
      <w:r w:rsidR="006C3F9A" w:rsidRPr="00662E51">
        <w:rPr>
          <w:szCs w:val="24"/>
        </w:rPr>
        <w:t xml:space="preserve">’ </w:t>
      </w:r>
      <w:r w:rsidR="00746976">
        <w:rPr>
          <w:szCs w:val="24"/>
        </w:rPr>
        <w:t xml:space="preserve">who are not ‘worth’ supporting </w:t>
      </w:r>
      <w:r w:rsidR="006C3F9A" w:rsidRPr="00662E51">
        <w:rPr>
          <w:szCs w:val="24"/>
        </w:rPr>
        <w:fldChar w:fldCharType="begin"/>
      </w:r>
      <w:r w:rsidR="00A75DC7">
        <w:rPr>
          <w:szCs w:val="24"/>
        </w:rPr>
        <w:instrText xml:space="preserve"> ADDIN ZOTERO_ITEM CSL_CITATION {"citationID":"RYRy9LUU","properties":{"formattedCitation":"(Katz [1989] 2013; Tyler 2013)","plainCitation":"(Katz [1989] 2013; Tyler 2013)","noteIndex":0},"citationItems":[{"id":7087,"uris":["http://zotero.org/users/8977980/items/HET4FXWX"],"itemData":{"id":7087,"type":"book","abstract":"First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light.\n               \n               \n                \n              ,  \n               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light.","edition":"Second Edition","ISBN":"978-0-19-993395-2","number-of-pages":"368","publisher":"Oxford University Press","publisher-place":"Oxford, New York","source":"Oxford University Press","title":"The Undeserving Poor: America's Enduring Confrontation with Poverty: Fully Updated and Revised","title-short":"The Undeserving Poor","author":[{"family":"Katz","given":"Michael B."}],"issued":{"date-parts":[["2013",11,28]]},"original-date":{"date-parts":[["1989"]]}}},{"id":249,"uris":["http://zotero.org/users/8977980/items/DMEF6VBW"],"itemData":{"id":249,"type":"book","edition":"1st edition","ISBN":"978-1-84813-851-3","language":"English","number-of-pages":"224","publisher":"Zed Books Ltd","publisher-place":"London, UK","source":"Amazon","title":"Revolting Subjects: Social Abjection and Resistance in Neoliberal Britain","title-short":"Revolting Subjects","author":[{"family":"Tyler","given":"Imogen"}],"issued":{"date-parts":[["2013",4,11]]}}}],"schema":"https://github.com/citation-style-language/schema/raw/master/csl-citation.json"} </w:instrText>
      </w:r>
      <w:r w:rsidR="006C3F9A" w:rsidRPr="00662E51">
        <w:rPr>
          <w:szCs w:val="24"/>
        </w:rPr>
        <w:fldChar w:fldCharType="separate"/>
      </w:r>
      <w:r w:rsidR="006C3F9A" w:rsidRPr="00662E51">
        <w:t>(Katz [1989] 2013; Tyler 2013)</w:t>
      </w:r>
      <w:r w:rsidR="006C3F9A" w:rsidRPr="00662E51">
        <w:rPr>
          <w:szCs w:val="24"/>
        </w:rPr>
        <w:fldChar w:fldCharType="end"/>
      </w:r>
      <w:r w:rsidRPr="00662E51">
        <w:rPr>
          <w:bCs/>
          <w:iCs/>
          <w:szCs w:val="24"/>
        </w:rPr>
        <w:t xml:space="preserve"> In this case, “letting die” functions via displacement from social housing, which subsequently severs a displaced person’s connections to their community, employment, and support network </w:t>
      </w:r>
      <w:r w:rsidRPr="00662E51">
        <w:rPr>
          <w:bCs/>
          <w:iCs/>
          <w:szCs w:val="24"/>
        </w:rPr>
        <w:fldChar w:fldCharType="begin"/>
      </w:r>
      <w:r w:rsidR="001B2CAA">
        <w:rPr>
          <w:bCs/>
          <w:iCs/>
          <w:szCs w:val="24"/>
        </w:rPr>
        <w:instrText xml:space="preserve"> ADDIN ZOTERO_ITEM CSL_CITATION {"citationID":"CG01U09Z","properties":{"formattedCitation":"(Fullilove 2016; Pain 2019; Pull and Richard 2021)","plainCitation":"(Fullilove 2016; Pain 2019; Pull and Richard 2021)","noteIndex":0},"citationItems":[{"id":3876,"uris":["http://zotero.org/users/8977980/items/VTLFA3IS"],"itemData":{"id":3876,"type":"book","abstract":"Root Shock examines 3 different U.S. cities to unmask the crippling results of decades-old disinvestment in communities of color and the urban renewal practices that ultimately destroyed these neighborhoods for the advantage of developers and the elite. Like a sequel to the prescient warnings of urbanist Jane Jacobs, Dr. Mindy Thompson Fullilove reveals the disturbing effects of decades of insensitive urban renewal projects on communities of color. For those whose homes and neighborhoods were bulldozed, the urban modernization projects that swept America starting in 1949 were nothing short of an assault. Vibrant city blocks - places rich in culture - were torn apart by freeways and other invasive development, devastating the lives of poor residents. Fullilove passionately describes the profound traumatic stress- the \"root shock\"that results when a neighborhood is demolished. She estimates that federal and state urban renewal programs, spearheaded by business and real estate interests, destroyed 1,600 African American districts in cities across the United States. But urban renewal didn't just disrupt black communities: it ruined their economic health and social cohesion, stripping displaced residents of their sense of place as well. It also left big gashes in the centers of cities that are only now slowly being repaired. Focusing on the Hill District of Pittsburgh, the Central Ward in Newark, and the small Virginia city of Roanoke, Dr. Fullilove argues powerfully against policies of displacement. Understanding the damage caused by root shock is crucial to coping with its human toll and helping cities become whole. Mindy Thompson Fullilove, MD, is a research psychiatrist at New York State Psychiatric Institute and professor of clinical psychiatry and public health at Columbia University. She is the author of five books, including Urban Alchemy.","ISBN":"978-1-61332-041-9","publisher":"New Village Press","publisher-place":"New York, UNITED STATES","source":"ProQuest Ebook Central","title":"Root Shock: How Tearing up City Neighborhoods Hurts America, and What We Can Do about It","title-short":"Root Shock","URL":"http://ebookcentral.proquest.com/lib/durham/detail.action?docID=5253420","author":[{"family":"Fullilove","given":"Mindy Thompson"}],"accessed":{"date-parts":[["2023",2,17]]},"issued":{"date-parts":[["2016"]]}}},{"id":"n0Saldgp/opiPSvcV","uris":["http://zotero.org/users/8977980/items/PRZ5AUKN"],"itemData":{"id":"nJiY42fs/9zUngDT6","type":"article-journal","abstract":"This paper sets the idea of slow violence into dialogue with trauma, to understand the practice and legitimisation of the repeated damage done to certain places through state violence. Slow violence (Nixon R (2011) Slow Violence and the Environmentalism of the Poor. Cambridge, MA: Harvard University Press) describes the ?attritional lethality? of many contemporary effects of globalisation. While originating in environmental humanities, it has clear relevance for urban studies. After assessing accounts of the post-traumatic city, the paper draws insights from feminist psychiatry and postcolonial analysis to develop the concept of chronic urban trauma, as a psychological effect of violence involving an ongoing relational dynamic. Reporting from a three-year participatory action research project on the managed decline and disposal of social housing in a former coalmining village in north-east England, the paper discusses the temporal and place-based effects of slow violence. It argues that chronic urban trauma becomes hard-wired in place, enabling retraumatisation while also remaining open to efforts to heal and rebuild.","container-title":"Urban Studies","DOI":"10.1177/0042098018795796","ISSN":"0042-0980","issue":"2","journalAbbreviation":"Urban Studies","note":"publisher: SAGE Publications Ltd","page":"385-400","source":"SAGE Journals","title":"Chronic urban trauma: The slow violence of housing dispossession","title-short":"Chronic urban trauma","volume":"56","author":[{"family":"Pain","given":"Rachel"}],"issued":{"date-parts":[["2019",2,1]]}}},{"id":3646,"uris":["http://zotero.org/users/8977980/items/8X7H4A5W"],"itemData":{"id":3646,"type":"article-journal","abstract":"This article investigates the lived experiences of tenants staying put in two neighborhoods undergoing urban renewal processes and increased rent levels in Uppsala, Sweden. The article is drawing on a place sensitive analysis to escape a ‘Euclidean prison’ that we contend underpin many displacement studies; studies that reduce the notion of displacement to only signify out-migration. Such studies often miss both the scope of displacement, and the grievances experienced by tenants following changes in place and space under various urban transformation processes. Through phenomenologically inspired interviews with tenants, we contend that place cannot, as it often is in practices of urban development, simply be understood as coordinates on a map, but has to be understood relationally. Adhering to such a place-sensitive understanding of space our study asks what changes to place and to ‘home’ is experienced by tenants staying put in neighborhoods under increasing displacement pressures. What surfaces is a series of displacements that can be categorized as spatial dispossessions; thematized under subcategories ‘contraction of home’ and ‘withering entitlements’, and temporal dispossessions; categorized under ‘life on hold’ and ‘erasure of history’. These displacements are suffered by tenants who despite displacement pressures have remained throughout the renewal process.","container-title":"Social &amp; Cultural Geography","DOI":"10.1080/14649365.2019.1601245","ISSN":"1464-9365","issue":"4","note":"_eprint: https://doi.org/10.1080/14649365.2019.1601245","page":"545-564","publisher":"Routledge","source":"Taylor and Francis+NEJM","title":"Domicide: displacement and dispossessions in Uppsala, Sweden","title-short":"Domicide","volume":"22","author":[{"family":"Pull","given":"Emil"},{"family":"Richard","given":"Åse"}],"issued":{"date-parts":[["2021",5,4]]}}}],"schema":"https://github.com/citation-style-language/schema/raw/master/csl-citation.json"} </w:instrText>
      </w:r>
      <w:r w:rsidRPr="00662E51">
        <w:rPr>
          <w:bCs/>
          <w:iCs/>
          <w:szCs w:val="24"/>
        </w:rPr>
        <w:fldChar w:fldCharType="separate"/>
      </w:r>
      <w:r w:rsidRPr="00662E51">
        <w:rPr>
          <w:szCs w:val="24"/>
        </w:rPr>
        <w:t>(Fullilove 2016; Pain 2019; Pull and Richard 2021)</w:t>
      </w:r>
      <w:r w:rsidRPr="00662E51">
        <w:rPr>
          <w:szCs w:val="24"/>
        </w:rPr>
        <w:fldChar w:fldCharType="end"/>
      </w:r>
      <w:r w:rsidRPr="00662E51">
        <w:rPr>
          <w:bCs/>
          <w:iCs/>
          <w:szCs w:val="24"/>
        </w:rPr>
        <w:t xml:space="preserve">. </w:t>
      </w:r>
      <w:r w:rsidRPr="00662E51">
        <w:rPr>
          <w:bCs/>
          <w:szCs w:val="24"/>
        </w:rPr>
        <w:t>Gillespie et al.</w:t>
      </w:r>
      <w:r w:rsidRPr="00662E51">
        <w:rPr>
          <w:bCs/>
          <w:iCs/>
          <w:szCs w:val="24"/>
        </w:rPr>
        <w:t xml:space="preserve"> </w:t>
      </w:r>
      <w:r w:rsidRPr="00662E51">
        <w:rPr>
          <w:bCs/>
          <w:iCs/>
          <w:szCs w:val="24"/>
        </w:rPr>
        <w:fldChar w:fldCharType="begin"/>
      </w:r>
      <w:r w:rsidR="001B2CAA">
        <w:rPr>
          <w:bCs/>
          <w:iCs/>
          <w:szCs w:val="24"/>
        </w:rPr>
        <w:instrText xml:space="preserve"> ADDIN ZOTERO_ITEM CSL_CITATION {"citationID":"5tPJVFDW","properties":{"formattedCitation":"(2021, 1717)","plainCitation":"(2021, 1717)","noteIndex":0},"citationItems":[{"id":"n0Saldgp/Pfek5KeZ","uris":["http://zotero.org/users/8977980/items/LK7WKKQI"],"itemData":{"id":71,"type":"article-journal","abstract":"Urban scholars have traditionally associated displacement in cities of the global North with gentriﬁcation, generally understood as a class-based process of neighbourhood change. This article expands this scalar focus and adopts the larger scale of the local authority district (in this case the London borough) as its epistemological starting point to study the displacement of homeless people by the local state. Participatory action research was undertaken with housing campaigners in the East London borough of Newham to explore who is being displaced, their experiences of displacement and the impacts of displacement on their lives. Empirically, the article argues that displacement in this case is a product of national welfare state restructuring – or ‘austerity urbanism’ – implemented through a localised regime of ‘welfare chauvinism’ in which some groups are framed as economically unproductive and therefore undeserving of access to social housing. Displacement has the effect of reinforcing the surplus status of these groups by separating them from employment, education and care networks and eroding their physical and mental health. The article draws on research on the biopolitics of surplus populations in the global South to develop an original theorisation of the relationship between welfare state restructuring and displacement. This theorisation reveals that displacement is the spatial expression of a biopolitical shift away from the logic of ‘making live’ associated with the post-war welfare state towards a logic of ‘letting die’ more traditionally associated with postcolonial contexts.","container-title":"Environment and Planning A: Economy and Space","DOI":"10.1177/0308518X211026323","ISSN":"0308-518X, 1472-3409","issue":"7","journalAbbreviation":"Environ Plan A","language":"en","page":"1713-1729","source":"DOI.org (Crossref)","title":"Surplus to the city: Austerity urbanism, displacement and ‘letting die’","title-short":"Surplus to the city","volume":"53","author":[{"family":"Gillespie","given":"Tom"},{"family":"Hardy","given":"Kate"},{"family":"Watt","given":"Paul"}],"issued":{"date-parts":[["2021",10]]}},"locator":"1717","suppress-author":true}],"schema":"https://github.com/citation-style-language/schema/raw/master/csl-citation.json"} </w:instrText>
      </w:r>
      <w:r w:rsidRPr="00662E51">
        <w:rPr>
          <w:bCs/>
          <w:iCs/>
          <w:szCs w:val="24"/>
        </w:rPr>
        <w:fldChar w:fldCharType="separate"/>
      </w:r>
      <w:r w:rsidR="00C83945" w:rsidRPr="00662E51">
        <w:t>(2021, 1717)</w:t>
      </w:r>
      <w:r w:rsidRPr="00662E51">
        <w:rPr>
          <w:szCs w:val="24"/>
        </w:rPr>
        <w:fldChar w:fldCharType="end"/>
      </w:r>
      <w:r w:rsidRPr="00662E51">
        <w:rPr>
          <w:bCs/>
          <w:iCs/>
          <w:szCs w:val="24"/>
        </w:rPr>
        <w:t xml:space="preserve"> link “letting die” via displacement to 2010’s welfare restructuring that have “residualise[d] social housing” in the UK, both through reductions in spending and the decentralisation of power that was the centrepiece of the ‘Big Society’ program. Social homes have thus been residualised into a tenure of last resort for those who have no other options in the housing market</w:t>
      </w:r>
      <w:r w:rsidR="00723264">
        <w:rPr>
          <w:bCs/>
          <w:iCs/>
          <w:szCs w:val="24"/>
        </w:rPr>
        <w:t>: t</w:t>
      </w:r>
      <w:r w:rsidR="00723264" w:rsidRPr="00662E51">
        <w:rPr>
          <w:szCs w:val="24"/>
        </w:rPr>
        <w:t xml:space="preserve">he ‘undeserving poor’ </w:t>
      </w:r>
      <w:r w:rsidR="00723264" w:rsidRPr="00662E51">
        <w:rPr>
          <w:szCs w:val="24"/>
        </w:rPr>
        <w:fldChar w:fldCharType="begin"/>
      </w:r>
      <w:r w:rsidR="00A75DC7">
        <w:rPr>
          <w:szCs w:val="24"/>
        </w:rPr>
        <w:instrText xml:space="preserve"> ADDIN ZOTERO_ITEM CSL_CITATION {"citationID":"t445stkA","properties":{"formattedCitation":"(Katz [1989] 2013; Tyler 2013)","plainCitation":"(Katz [1989] 2013; Tyler 2013)","noteIndex":0},"citationItems":[{"id":7087,"uris":["http://zotero.org/users/8977980/items/HET4FXWX"],"itemData":{"id":7087,"type":"book","abstract":"First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light.\n               \n               \n                \n              ,  \n               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light.","edition":"Second Edition","ISBN":"978-0-19-993395-2","number-of-pages":"368","publisher":"Oxford University Press","publisher-place":"Oxford, New York","source":"Oxford University Press","title":"The Undeserving Poor: America's Enduring Confrontation with Poverty: Fully Updated and Revised","title-short":"The Undeserving Poor","author":[{"family":"Katz","given":"Michael B."}],"issued":{"date-parts":[["2013",11,28]]},"original-date":{"date-parts":[["1989"]]}}},{"id":249,"uris":["http://zotero.org/users/8977980/items/DMEF6VBW"],"itemData":{"id":249,"type":"book","edition":"1st edition","ISBN":"978-1-84813-851-3","language":"English","number-of-pages":"224","publisher":"Zed Books Ltd","publisher-place":"London, UK","source":"Amazon","title":"Revolting Subjects: Social Abjection and Resistance in Neoliberal Britain","title-short":"Revolting Subjects","author":[{"family":"Tyler","given":"Imogen"}],"issued":{"date-parts":[["2013",4,11]]}}}],"schema":"https://github.com/citation-style-language/schema/raw/master/csl-citation.json"} </w:instrText>
      </w:r>
      <w:r w:rsidR="00723264" w:rsidRPr="00662E51">
        <w:rPr>
          <w:szCs w:val="24"/>
        </w:rPr>
        <w:fldChar w:fldCharType="separate"/>
      </w:r>
      <w:r w:rsidR="00723264" w:rsidRPr="00662E51">
        <w:t>(Katz [1989] 2013; Tyler 2013)</w:t>
      </w:r>
      <w:r w:rsidR="00723264" w:rsidRPr="00662E51">
        <w:rPr>
          <w:szCs w:val="24"/>
        </w:rPr>
        <w:fldChar w:fldCharType="end"/>
      </w:r>
      <w:r w:rsidR="00723264">
        <w:rPr>
          <w:szCs w:val="24"/>
        </w:rPr>
        <w:t xml:space="preserve">. </w:t>
      </w:r>
      <w:r w:rsidRPr="00662E51">
        <w:rPr>
          <w:bCs/>
          <w:iCs/>
          <w:szCs w:val="24"/>
        </w:rPr>
        <w:t xml:space="preserve">As I explain throughout this chapter, this population is composed of stigmatised, othered groups: minority ethnic communities, disabled individuals, unhoused families, the working class, and so on. Regeneration targets these groups, not only exacerbating their existing social oppressions, but also </w:t>
      </w:r>
      <w:r w:rsidRPr="00662E51">
        <w:rPr>
          <w:bCs/>
          <w:iCs/>
          <w:szCs w:val="24"/>
        </w:rPr>
        <w:lastRenderedPageBreak/>
        <w:t>because of the stigmatisation in the first instance. Hence, contemporary regeneration—with all its harmful effects—might be better understood as a contemporary and ongoing form of letting die.</w:t>
      </w:r>
    </w:p>
    <w:p w14:paraId="5F2AA8AC" w14:textId="3E93DF9E" w:rsidR="00CA6F09" w:rsidRDefault="00CA6F09" w:rsidP="00F56305">
      <w:pPr>
        <w:spacing w:line="360" w:lineRule="auto"/>
        <w:ind w:left="0" w:firstLine="720"/>
        <w:contextualSpacing/>
        <w:rPr>
          <w:bCs/>
          <w:iCs/>
          <w:szCs w:val="24"/>
        </w:rPr>
      </w:pPr>
      <w:r w:rsidRPr="00662E51">
        <w:rPr>
          <w:bCs/>
          <w:iCs/>
          <w:szCs w:val="24"/>
        </w:rPr>
        <w:t xml:space="preserve">Regeneration is a contested phenomenon. As early as the first modern regeneration schemes in the 1980s, local communities have resisted attempts to remake the city in the service of capital. The decrease in local democracy associated with the Docklands project, for instance, meant that activists rallied for better representation to both the London Borough of Tower Hamlets (where the Docklands sits) and the regeneration special purpose vehicle. Though these communities did not always try to halt the scheme in its entirety, their resistance shifted the regeneration process significantly </w:t>
      </w:r>
      <w:r w:rsidRPr="00662E51">
        <w:rPr>
          <w:bCs/>
          <w:iCs/>
          <w:szCs w:val="24"/>
        </w:rPr>
        <w:fldChar w:fldCharType="begin"/>
      </w:r>
      <w:r w:rsidRPr="00662E51">
        <w:rPr>
          <w:bCs/>
          <w:iCs/>
          <w:szCs w:val="24"/>
        </w:rPr>
        <w:instrText xml:space="preserve"> ADDIN ZOTERO_ITEM CSL_CITATION {"citationID":"kkNVuelp","properties":{"formattedCitation":"(Pile 1995)","plainCitation":"(Pile 1995)","noteIndex":0},"citationItems":[{"id":2065,"uris":["http://zotero.org/users/8977980/items/CL8ULHA8"],"itemData":{"id":2065,"type":"article-journal","abstract":"Globalisation has changed the formation of contemporary citizenship. At the same time as undermining the role of the nation state in the construction of political participation, new arenas of citizenship are suggestive of an emergent ‘global citizenship’. Analysis of participation in politics at the scale of the global has suggested that civil society associations are strongly implicated in this process. This paper explores the role played by such institutions in the configuration of global citizenship. Through a case study of international development NGOs in the UK, and the relationship they build with the public, the paper suggests that international non-governmental organisations (INGOs) offer a version of global citizenship, which is highly circumscribed by their professional and institutional imperatives. Concerns with the continuing ability of organisations to deliver a professionally determined development agenda means that the role envisioned for the public by INGOs does not necessarily accord with that presented by advocates of the role of global civil society in citizenship. The paper concludes by exploring the implications of these findings for further research on the formation of global citizenship.","collection-title":"Spaces of citizenship","container-title":"Political Geography","DOI":"10.1016/0962-6298(95)91666-R","ISSN":"0962-6298","issue":"2","journalAbbreviation":"Political Geography","language":"en","page":"199-208","source":"ScienceDirect","title":"‘What we are asking for is decent human life’: SPLASH, neighbourhood demands and citizenship in London's docklands","title-short":"‘What we are asking for is decent human life’","volume":"14","author":[{"family":"Pile","given":"Steve"}],"issued":{"date-parts":[["1995",2,1]]}}}],"schema":"https://github.com/citation-style-language/schema/raw/master/csl-citation.json"} </w:instrText>
      </w:r>
      <w:r w:rsidRPr="00662E51">
        <w:rPr>
          <w:bCs/>
          <w:iCs/>
          <w:szCs w:val="24"/>
        </w:rPr>
        <w:fldChar w:fldCharType="separate"/>
      </w:r>
      <w:r w:rsidRPr="00662E51">
        <w:rPr>
          <w:szCs w:val="24"/>
        </w:rPr>
        <w:t>(Pile 1995)</w:t>
      </w:r>
      <w:r w:rsidRPr="00662E51">
        <w:rPr>
          <w:bCs/>
          <w:iCs/>
          <w:szCs w:val="24"/>
        </w:rPr>
        <w:fldChar w:fldCharType="end"/>
      </w:r>
      <w:r w:rsidRPr="00662E51">
        <w:rPr>
          <w:bCs/>
          <w:iCs/>
          <w:szCs w:val="24"/>
        </w:rPr>
        <w:t xml:space="preserve">. Likewise, regeneration in Liverpool was resisted—but this time one of the driving opposition factions was the city’s radically leftist council </w:t>
      </w:r>
      <w:r w:rsidRPr="00662E51">
        <w:rPr>
          <w:bCs/>
          <w:iCs/>
          <w:szCs w:val="24"/>
        </w:rPr>
        <w:fldChar w:fldCharType="begin"/>
      </w:r>
      <w:r w:rsidR="00407B2F">
        <w:rPr>
          <w:bCs/>
          <w:iCs/>
          <w:szCs w:val="24"/>
        </w:rPr>
        <w:instrText xml:space="preserve"> ADDIN ZOTERO_ITEM CSL_CITATION {"citationID":"yIEFb9BU","properties":{"formattedCitation":"(Taaffe and Mulhearn 1988; Wetherell 2025)","plainCitation":"(Taaffe and Mulhearn 1988; Wetherell 2025)","noteIndex":0},"citationItems":[{"id":7250,"uris":["http://zotero.org/users/8977980/items/9F7WSFL5"],"itemData":{"id":7250,"type":"book","edition":"1. ed","ISBN":"978-1-870958-00-4","language":"eng","number-of-pages":"497","publisher":"Fortress Books","publisher-place":"London","source":"K10plus ISBN","title":"Liverpool: a city that dared to fight","title-short":"Liverpool","author":[{"family":"Taaffe","given":"Peter"},{"family":"Mulhearn","given":"Tony"}],"issued":{"date-parts":[["1988"]]}}},{"id":6494,"uris":["http://zotero.org/users/8977980/items/JDTFD4IU"],"itemData":{"id":6494,"type":"book","abstract":"The city is equally notorious for its poverty, its ethnic and racial divides and, above all, its decline. For Liverpool was once a major port, growing rich on slavery, on trade with the Americas and the British Empire's outposts in Africa and Asia. In the 1980s, it was described as 'obsolete'. Yet the city fights on. This is the epic history of Liverpool since the Second World War. It is a story of vast docklands shrinking and eventually vanishing when corporations discovered they could shift goods in containers and dispense with human workers, of industries like car manufacturing mushrooming and disappearing, of huge new suburbs being built and neglected. It is a moving and horrifying narrative of casual racism - Chinese sailors deported en masse in the aftermath of the war, systematic discrimination against the city's Black population - and of resistance, culminating in the Toxteth riots in 1981. It is the story of a city fighting against a descent into obsolescence. Liverpool also becomes a prism through which recent British history is brought into a new focus. It is the fascinating history of a single, iconic city. But it is also a warning of what the future may hold for many more communities","ISBN":"978-1-80110-888-1","language":"eng","number-of-pages":"438","publisher":"Apollo","publisher-place":"London","source":"K10plus ISBN","title":"Liverpool and the Unmaking of Britain","title-short":"Liverpool","author":[{"family":"Wetherell","given":"Sam"}],"issued":{"date-parts":[["2025"]]}}}],"schema":"https://github.com/citation-style-language/schema/raw/master/csl-citation.json"} </w:instrText>
      </w:r>
      <w:r w:rsidRPr="00662E51">
        <w:rPr>
          <w:bCs/>
          <w:iCs/>
          <w:szCs w:val="24"/>
        </w:rPr>
        <w:fldChar w:fldCharType="separate"/>
      </w:r>
      <w:r w:rsidR="00407B2F" w:rsidRPr="00407B2F">
        <w:t>(Taaffe and Mulhearn 1988; Wetherell 2025)</w:t>
      </w:r>
      <w:r w:rsidRPr="00662E51">
        <w:rPr>
          <w:bCs/>
          <w:iCs/>
          <w:szCs w:val="24"/>
        </w:rPr>
        <w:fldChar w:fldCharType="end"/>
      </w:r>
      <w:r w:rsidRPr="00662E51">
        <w:rPr>
          <w:bCs/>
          <w:iCs/>
          <w:szCs w:val="24"/>
        </w:rPr>
        <w:t>. Elsewhere in London, campaigners and impacted residents have continued to organise against regeneration over the last four decades, with famous examples including the Heygate Estate</w:t>
      </w:r>
      <w:r w:rsidR="001D6A7E">
        <w:rPr>
          <w:bCs/>
          <w:iCs/>
          <w:szCs w:val="24"/>
        </w:rPr>
        <w:t>,</w:t>
      </w:r>
      <w:r w:rsidRPr="00662E51">
        <w:rPr>
          <w:bCs/>
          <w:iCs/>
          <w:szCs w:val="24"/>
        </w:rPr>
        <w:t xml:space="preserve"> starting in the 1990s </w:t>
      </w:r>
      <w:r w:rsidRPr="00662E51">
        <w:rPr>
          <w:bCs/>
          <w:iCs/>
          <w:szCs w:val="24"/>
        </w:rPr>
        <w:fldChar w:fldCharType="begin"/>
      </w:r>
      <w:r w:rsidRPr="00662E51">
        <w:rPr>
          <w:bCs/>
          <w:iCs/>
          <w:szCs w:val="24"/>
        </w:rPr>
        <w:instrText xml:space="preserve"> ADDIN ZOTERO_ITEM CSL_CITATION {"citationID":"Gvq7ORq1","properties":{"formattedCitation":"(Lees and Ferreri 2016)","plainCitation":"(Lees and Ferreri 2016)","noteIndex":0},"citationItems":[{"id":7023,"uris":["http://zotero.org/users/8977980/items/BE8CDN92"],"itemData":{"id":7023,"type":"article-journal","abstract":"The state-led gentrification and social cleansing of low income tenants from inner London has been ongoing since the late 1990s and continues today. Publicly owned and managed council estates have become the key target of what has been aptly labelled the 'new' urban renewal. Council estates are one of the final gentrification frontiers in London, housing low income tenants in the face of the total gentrification of the city. In this paper we focus on the resistance to gentrification that emerged in and around one of these estates: the Heygate Estate in Elephant and Castle, inner London. The research and some of the activities discussed formed part of a Scholar- Activist project. We discuss three forms of resistance: local civil society network organising to support open master planning through active engagement with planning; self-organised activities to keep the estate open and accessible during the displacement of its residents; and the legal challenges to the Compulsory Purchase Order of the last remaining properties in the form of a CPO Public Inquiry. While unsuccessful in saving the estate from demolition, each form of resistance and their interrelation succeeded in exposing the degree to which the regeneration of Elephant and Castle and its centrepiece demolition of the estate, was/is not in the ‘public interest’ and in discrediting the local authority's ‘regeneration spin’.","collection-title":"Resistance to social housing transformation","container-title":"Cities","DOI":"10.1016/j.cities.2015.12.005","ISSN":"0264-2751","journalAbbreviation":"Cities","page":"14-24","source":"ScienceDirect","title":"Resisting gentrification on its final frontiers: Learning from the Heygate Estate in London (1974–2013)","title-short":"Resisting gentrification on its final frontiers","volume":"57","author":[{"family":"Lees","given":"Loretta"},{"family":"Ferreri","given":"Mara"}],"issued":{"date-parts":[["2016",9,1]]}}}],"schema":"https://github.com/citation-style-language/schema/raw/master/csl-citation.json"} </w:instrText>
      </w:r>
      <w:r w:rsidRPr="00662E51">
        <w:rPr>
          <w:bCs/>
          <w:iCs/>
          <w:szCs w:val="24"/>
        </w:rPr>
        <w:fldChar w:fldCharType="separate"/>
      </w:r>
      <w:r w:rsidRPr="00662E51">
        <w:rPr>
          <w:szCs w:val="24"/>
        </w:rPr>
        <w:t>(Lees and Ferreri 2016)</w:t>
      </w:r>
      <w:r w:rsidRPr="00662E51">
        <w:rPr>
          <w:bCs/>
          <w:iCs/>
          <w:szCs w:val="24"/>
        </w:rPr>
        <w:fldChar w:fldCharType="end"/>
      </w:r>
      <w:r w:rsidRPr="00662E51">
        <w:rPr>
          <w:bCs/>
          <w:iCs/>
          <w:szCs w:val="24"/>
        </w:rPr>
        <w:t xml:space="preserve">; Focus E15, a group of mothers who opposed regeneration in 2010s east London </w:t>
      </w:r>
      <w:r w:rsidRPr="00662E51">
        <w:rPr>
          <w:bCs/>
          <w:iCs/>
          <w:szCs w:val="24"/>
        </w:rPr>
        <w:fldChar w:fldCharType="begin"/>
      </w:r>
      <w:r w:rsidRPr="00662E51">
        <w:rPr>
          <w:bCs/>
          <w:iCs/>
          <w:szCs w:val="24"/>
        </w:rPr>
        <w:instrText xml:space="preserve"> ADDIN ZOTERO_ITEM CSL_CITATION {"citationID":"LoFsXI0G","properties":{"formattedCitation":"(Greer Murphy 2017)","plainCitation":"(Greer Murphy 2017)","noteIndex":0},"citationItems":[{"id":7025,"uris":["http://zotero.org/users/8977980/items/5TLY4AJR"],"itemData":{"id":7025,"type":"article-journal","abstract":"This commentary examines gendered and spatial inequalities that are increasing under a regime of austerity in the United Kingdom. It is concerned with how inequalities intersect and interact across space and populations. A sense of urgency is vital when discussing the effects of austerity on regions and local communities; five years of cuts have had devastating effects on many deprived areas. An examination of the specific risks to women under austerity is essential. The commentary will be of interest to geographers concerned with the intersections of gender, economy and place. This paper proposes a feminist political economy perspective for the analysis of austerity and place, to acknowledge the centrality of gendered political economy, absent from many geographical studies of austerity.","container-title":"Area","DOI":"10.1111/area.12281","ISSN":"1475-4762","issue":"1","language":"en","license":"© 2016 Royal Geographical Society (with the Institute of British Geographers)","note":"_eprint: https://rgs-ibg.onlinelibrary.wiley.com/doi/pdf/10.1111/area.12281","page":"122-124","source":"Wiley Online Library","title":"Austerity in the United Kingdom: the intersections of spatial and gendered inequalities","title-short":"Austerity in the United Kingdom","volume":"49","author":[{"family":"Greer Murphy","given":"Amy"}],"issued":{"date-parts":[["2017"]]}}}],"schema":"https://github.com/citation-style-language/schema/raw/master/csl-citation.json"} </w:instrText>
      </w:r>
      <w:r w:rsidRPr="00662E51">
        <w:rPr>
          <w:bCs/>
          <w:iCs/>
          <w:szCs w:val="24"/>
        </w:rPr>
        <w:fldChar w:fldCharType="separate"/>
      </w:r>
      <w:r w:rsidRPr="00662E51">
        <w:rPr>
          <w:szCs w:val="24"/>
        </w:rPr>
        <w:t>(Greer Murphy 2017)</w:t>
      </w:r>
      <w:r w:rsidRPr="00662E51">
        <w:rPr>
          <w:bCs/>
          <w:iCs/>
          <w:szCs w:val="24"/>
        </w:rPr>
        <w:fldChar w:fldCharType="end"/>
      </w:r>
      <w:r w:rsidRPr="00662E51">
        <w:rPr>
          <w:bCs/>
          <w:iCs/>
          <w:szCs w:val="24"/>
        </w:rPr>
        <w:t xml:space="preserve">; and the campaigns studied in this dissertation in 2020s north London. Although the specifics of each illustration differ, the rhetoric and logics of resistance are analogous: activists overwhelmingly articulate resistance to displacement, gentrification, and the sense of urban trauma. The state of council housing in the UK is thus in flux. Although councils across the country are pressing ahead with various regeneration schemes, activists are pushing back. With a present and intensifying housing crisis </w:t>
      </w:r>
      <w:r w:rsidRPr="00662E51">
        <w:rPr>
          <w:bCs/>
          <w:iCs/>
          <w:szCs w:val="24"/>
        </w:rPr>
        <w:fldChar w:fldCharType="begin"/>
      </w:r>
      <w:r w:rsidRPr="00662E51">
        <w:rPr>
          <w:bCs/>
          <w:iCs/>
          <w:szCs w:val="24"/>
        </w:rPr>
        <w:instrText xml:space="preserve"> ADDIN ZOTERO_ITEM CSL_CITATION {"citationID":"37Y55uor","properties":{"formattedCitation":"(Heslop and Ormerod 2020)","plainCitation":"(Heslop and Ormerod 2020)","noteIndex":0},"citationItems":[{"id":4024,"uris":["http://zotero.org/users/8977980/items/JTTLS6M8"],"itemData":{"id":4024,"type":"article-journal","abstract":"This paper considers how dominant narratives of the housing crisis, since the 2008 banking crisis in England, have been created and what actions taken in its name. The paper deconstructs the term “crisis”, highlighting that its meaning has evolved from a critical moment to a protracted narrative which must be understood historically. Through discourse analysis into housing and party political policy, media and think tank reports, we argue that the employment of housing crisis by the government and others perceives it as an outcome of housing supply constraints and over-regulation—narratives that have justified subsequent policy actions aimed at propping up the housing and financial systems, opening new avenues for housing commodification, deregulation and financialisation and reproducing crisis anew. However, we note that these narratives can also break down and space can be created for the articulation of new narratives which refocus housing crises as emerging from inequality and class divisions.","container-title":"Antipode","DOI":"10.1111/anti.12585","ISSN":"1467-8330","issue":"1","language":"en","note":"_eprint: https://onlinelibrary.wiley.com/doi/pdf/10.1111/anti.12585","page":"145-163","source":"Wiley Online Library","title":"The Politics of Crisis: Deconstructing the Dominant Narratives of the Housing Crisis","title-short":"The Politics of Crisis","volume":"52","author":[{"family":"Heslop","given":"Julia"},{"family":"Ormerod","given":"Emma"}],"issued":{"date-parts":[["2020"]]}}}],"schema":"https://github.com/citation-style-language/schema/raw/master/csl-citation.json"} </w:instrText>
      </w:r>
      <w:r w:rsidRPr="00662E51">
        <w:rPr>
          <w:bCs/>
          <w:iCs/>
          <w:szCs w:val="24"/>
        </w:rPr>
        <w:fldChar w:fldCharType="separate"/>
      </w:r>
      <w:r w:rsidRPr="00662E51">
        <w:rPr>
          <w:szCs w:val="24"/>
        </w:rPr>
        <w:t>(Heslop and Ormerod 2020)</w:t>
      </w:r>
      <w:r w:rsidRPr="00662E51">
        <w:rPr>
          <w:bCs/>
          <w:iCs/>
          <w:szCs w:val="24"/>
        </w:rPr>
        <w:fldChar w:fldCharType="end"/>
      </w:r>
      <w:r w:rsidRPr="00662E51">
        <w:rPr>
          <w:bCs/>
          <w:iCs/>
          <w:szCs w:val="24"/>
        </w:rPr>
        <w:t xml:space="preserve">, greater attention from across the political spectrum has been given to building new council homes </w:t>
      </w:r>
      <w:r w:rsidRPr="00662E51">
        <w:rPr>
          <w:bCs/>
          <w:iCs/>
          <w:szCs w:val="24"/>
        </w:rPr>
        <w:fldChar w:fldCharType="begin"/>
      </w:r>
      <w:r w:rsidRPr="00662E51">
        <w:rPr>
          <w:bCs/>
          <w:iCs/>
          <w:szCs w:val="24"/>
        </w:rPr>
        <w:instrText xml:space="preserve"> ADDIN ZOTERO_ITEM CSL_CITATION {"citationID":"2xZTCxnl","properties":{"formattedCitation":"(Delahunty 2025)","plainCitation":"(Delahunty 2025)","noteIndex":0},"citationItems":[{"id":7027,"uris":["http://zotero.org/users/8977980/items/N8HBVB6P"],"itemData":{"id":7027,"type":"article-newspaper","abstract":"Several cross-party MPs, including former housing and shadow housing ministers, have backed a new report that calls for the building of 100,000 council homes a year.","container-title":"Inside Housing","language":"En","title":"Report shows cross-party backing for 100,000 new council-built homes a year","URL":"https://www.insidehousing.co.uk/news/report-shows-cross-party-backing-for-100000-new-council-built-homes-a-year-93277","author":[{"family":"Delahunty","given":"Stephen"}],"accessed":{"date-parts":[["2025",10,7]]},"issued":{"date-parts":[["2025",8,14]]}}}],"schema":"https://github.com/citation-style-language/schema/raw/master/csl-citation.json"} </w:instrText>
      </w:r>
      <w:r w:rsidRPr="00662E51">
        <w:rPr>
          <w:bCs/>
          <w:iCs/>
          <w:szCs w:val="24"/>
        </w:rPr>
        <w:fldChar w:fldCharType="separate"/>
      </w:r>
      <w:r w:rsidRPr="00662E51">
        <w:rPr>
          <w:szCs w:val="24"/>
        </w:rPr>
        <w:t>(Delahunty 2025)</w:t>
      </w:r>
      <w:r w:rsidRPr="00662E51">
        <w:rPr>
          <w:bCs/>
          <w:iCs/>
          <w:szCs w:val="24"/>
        </w:rPr>
        <w:fldChar w:fldCharType="end"/>
      </w:r>
      <w:r w:rsidRPr="00662E51">
        <w:rPr>
          <w:bCs/>
          <w:iCs/>
          <w:szCs w:val="24"/>
        </w:rPr>
        <w:t>. Although council housing has been residualised, the future remains open.</w:t>
      </w:r>
      <w:bookmarkStart w:id="73" w:name="_Toc216095948"/>
      <w:bookmarkStart w:id="74" w:name="_Toc216096052"/>
      <w:bookmarkStart w:id="75" w:name="_Toc216096143"/>
      <w:bookmarkStart w:id="76" w:name="_Toc216875703"/>
      <w:bookmarkStart w:id="77" w:name="_Toc216875807"/>
      <w:bookmarkStart w:id="78" w:name="_Toc216876584"/>
      <w:bookmarkStart w:id="79" w:name="_Toc216877751"/>
      <w:bookmarkStart w:id="80" w:name="_Toc216878140"/>
      <w:bookmarkStart w:id="81" w:name="_Toc216878491"/>
      <w:bookmarkStart w:id="82" w:name="_Toc216959798"/>
      <w:bookmarkStart w:id="83" w:name="_Toc216960662"/>
      <w:bookmarkStart w:id="84" w:name="_Toc216968001"/>
      <w:bookmarkStart w:id="85" w:name="_Toc216968262"/>
      <w:bookmarkStart w:id="86" w:name="_Toc216968404"/>
      <w:bookmarkStart w:id="87" w:name="_Toc216970076"/>
      <w:bookmarkStart w:id="88" w:name="_Toc216985715"/>
      <w:bookmarkStart w:id="89" w:name="_Toc216985832"/>
      <w:bookmarkStart w:id="90" w:name="_Toc216985949"/>
      <w:bookmarkStart w:id="91" w:name="_Toc216986066"/>
      <w:bookmarkStart w:id="92" w:name="_Toc216986183"/>
      <w:bookmarkStart w:id="93" w:name="_Toc217295403"/>
      <w:bookmarkStart w:id="94" w:name="_Toc220791025"/>
      <w:bookmarkStart w:id="95" w:name="_Toc220922357"/>
      <w:bookmarkStart w:id="96" w:name="_Toc221112478"/>
      <w:bookmarkStart w:id="97" w:name="_Toc221184306"/>
      <w:bookmarkStart w:id="98" w:name="_Toc221195221"/>
      <w:bookmarkStart w:id="99" w:name="_Toc221786805"/>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6FD374A9" w14:textId="77777777" w:rsidR="00CA6F09" w:rsidRPr="00662E51" w:rsidRDefault="00CA6F09" w:rsidP="00F56305">
      <w:pPr>
        <w:pStyle w:val="ListParagraph"/>
        <w:keepNext/>
        <w:keepLines/>
        <w:numPr>
          <w:ilvl w:val="0"/>
          <w:numId w:val="5"/>
        </w:numPr>
        <w:spacing w:line="360" w:lineRule="auto"/>
        <w:contextualSpacing w:val="0"/>
        <w:outlineLvl w:val="1"/>
        <w:rPr>
          <w:rFonts w:eastAsiaTheme="majorEastAsia" w:cstheme="majorBidi"/>
          <w:vanish/>
          <w:u w:val="single"/>
          <w:lang w:eastAsia="en-US"/>
        </w:rPr>
      </w:pPr>
      <w:bookmarkStart w:id="100" w:name="_Toc231215229"/>
      <w:bookmarkEnd w:id="100"/>
    </w:p>
    <w:p w14:paraId="46D0F700" w14:textId="7A8B9301" w:rsidR="00CA6F09" w:rsidRPr="00662E51" w:rsidRDefault="00CA6F09" w:rsidP="00F56305">
      <w:pPr>
        <w:pStyle w:val="Heading2"/>
      </w:pPr>
      <w:bookmarkStart w:id="101" w:name="_Toc216096144"/>
      <w:bookmarkStart w:id="102" w:name="_Toc221184307"/>
      <w:bookmarkStart w:id="103" w:name="_Toc231215230"/>
      <w:r w:rsidRPr="00662E51">
        <w:t>Race and Ethnicity</w:t>
      </w:r>
      <w:r w:rsidR="008649E2" w:rsidRPr="00BD17AF">
        <w:rPr>
          <w:rStyle w:val="FootnoteReference"/>
        </w:rPr>
        <w:footnoteReference w:id="34"/>
      </w:r>
      <w:r w:rsidRPr="00662E51">
        <w:t xml:space="preserve"> in Council Housing</w:t>
      </w:r>
      <w:bookmarkEnd w:id="101"/>
      <w:bookmarkEnd w:id="102"/>
      <w:r w:rsidR="00836748">
        <w:t>:</w:t>
      </w:r>
      <w:bookmarkEnd w:id="103"/>
    </w:p>
    <w:p w14:paraId="59A08C13" w14:textId="5BFEB6DD" w:rsidR="00CA6F09" w:rsidRPr="00662E51" w:rsidRDefault="00CA6F09" w:rsidP="008649E2">
      <w:pPr>
        <w:spacing w:line="360" w:lineRule="auto"/>
        <w:ind w:left="0"/>
        <w:contextualSpacing/>
        <w:rPr>
          <w:bCs/>
          <w:iCs/>
          <w:szCs w:val="24"/>
        </w:rPr>
      </w:pPr>
      <w:r w:rsidRPr="00662E51">
        <w:rPr>
          <w:bCs/>
          <w:iCs/>
          <w:szCs w:val="24"/>
        </w:rPr>
        <w:t xml:space="preserve">Before concluding, I briefly evaluate the relationships between immigration, race and ethnicity, and council housing. Council housing is intertwined with British histories of race, migration, and empire. Substantial scholarship has revealed how British imperial policies have shaped urban political economy—especially in London—as well as the quality and spatial characteristics of housing </w:t>
      </w:r>
      <w:r w:rsidRPr="00662E51">
        <w:rPr>
          <w:bCs/>
          <w:iCs/>
          <w:szCs w:val="24"/>
        </w:rPr>
        <w:fldChar w:fldCharType="begin"/>
      </w:r>
      <w:r w:rsidR="008835AB" w:rsidRPr="00662E51">
        <w:rPr>
          <w:bCs/>
          <w:iCs/>
          <w:szCs w:val="24"/>
        </w:rPr>
        <w:instrText xml:space="preserve"> ADDIN ZOTERO_ITEM CSL_CITATION {"citationID":"fVwPtrAK","properties":{"formattedCitation":"(Danewid 2020; Elliott-Cooper 2021; Gilroy 2002)","plainCitation":"(Danewid 2020; Elliott-Cooper 2021; Gilroy 2002)","noteIndex":0},"citationItems":[{"id":4600,"uris":["http://zotero.org/users/8977980/items/TEBBILIT"],"itemData":{"id":4600,"type":"article-journal","abstract":"Over the last few years, an emergent body of International Relations scholarship has taken an interest in the rise of global cities and the challenges they bring to existing geographies of power. In this article, I argue that a focus on race and empire should be central to this literature. Using the Grenfell Tower fire in London as a starting point, the article shows that global cities are part of a historical and ongoing imperial terrain. From London to New York, São Paulo to Cape Town, Singapore to Cairo, the ‘making’ of global cities has typically gone hand in hand with racialized forms of displacement, dispossession and police violence. Drawing on the literature on racial capitalism, as well as Aimé Césaire’s image of the ‘boomerang’, I show that these strategies build on practices of urban planning, slum administration and law-and-order policing long experimented with in the (post)colonies. By examining the colonial dimensions of what many assume to be a strictly national problem for the welfare state, the article thus reveals global cities as part of a much wider cartography of imperial and racial violence. This not only calls into question the presentism of scholarship that highlights the ‘newness’ of neoliberal urbanism. In demonstrating how global cities and colonial borderlands are bound together through racial capitalism, it also exposes the positionality of scholars and policymakers that seek to counter the violence of neoliberalism with a nostalgic return to the post-1945 welfare state. As the Grenfell fire revealed, the global city is less a new type of international actor or governance structure than an extension and reconfiguration of the domestic space of empire.","container-title":"European Journal of International Relations","DOI":"10.1177/1354066119858388","ISSN":"1354-0661","issue":"1","language":"en","page":"289-313","publisher":"SAGE Publications Ltd","source":"SAGE Journals","title":"The fire this time: Grenfell, racial capitalism and the urbanisation of empire","title-short":"The fire this time","volume":"26","author":[{"family":"Danewid","given":"Ida"}],"issued":{"date-parts":[["2020",3,1]]}}},{"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id":3194,"uris":["http://zotero.org/users/8977980/items/UCQZ5MBA"],"itemData":{"id":3194,"type":"book","call-number":"DA125.N4 G55 2002","collection-title":"Routledge classics","ISBN":"978-0-415-28980-1","note":"OCLC: ocm50100824","number-of-pages":"366","publisher":"Routledge","publisher-place":"London ; New York","source":"Library of Congress ISBN","title":"There ain't no black in the Union Jack: the cultural politics of race and nation","title-short":"There ain't no black in the Union Jack","author":[{"family":"Gilroy","given":"Paul"}],"issued":{"date-parts":[["2002"]]}}}],"schema":"https://github.com/citation-style-language/schema/raw/master/csl-citation.json"} </w:instrText>
      </w:r>
      <w:r w:rsidRPr="00662E51">
        <w:rPr>
          <w:bCs/>
          <w:iCs/>
          <w:szCs w:val="24"/>
        </w:rPr>
        <w:fldChar w:fldCharType="separate"/>
      </w:r>
      <w:r w:rsidR="00B36D89" w:rsidRPr="00662E51">
        <w:t>(Danewid 2020; Elliott-Cooper 2021; Gilroy 2002)</w:t>
      </w:r>
      <w:r w:rsidRPr="00662E51">
        <w:rPr>
          <w:bCs/>
          <w:iCs/>
          <w:szCs w:val="24"/>
        </w:rPr>
        <w:fldChar w:fldCharType="end"/>
      </w:r>
      <w:r w:rsidRPr="00662E51">
        <w:rPr>
          <w:bCs/>
          <w:iCs/>
          <w:szCs w:val="24"/>
        </w:rPr>
        <w:t xml:space="preserve">. Moreover, my investigation considers housing with a high proportion of Black and minority ethnic tenants </w:t>
      </w:r>
      <w:r w:rsidRPr="00662E51">
        <w:rPr>
          <w:bCs/>
          <w:iCs/>
          <w:szCs w:val="24"/>
        </w:rPr>
        <w:fldChar w:fldCharType="begin"/>
      </w:r>
      <w:r w:rsidR="008835AB" w:rsidRPr="00662E51">
        <w:rPr>
          <w:bCs/>
          <w:iCs/>
          <w:szCs w:val="24"/>
        </w:rPr>
        <w:instrText xml:space="preserve"> ADDIN ZOTERO_ITEM CSL_CITATION {"citationID":"DMfob568","properties":{"formattedCitation":"(Haringey Borough Council 2024a)","plainCitation":"(Haringey Borough Council 2024a)","noteIndex":0},"citationItems":[{"id":6897,"uris":["http://zotero.org/users/8977980/items/5JTDEXBQ"],"itemData":{"id":6897,"type":"report","publisher":"London Borough of Haringey","publisher-place":"London","title":"Haringey at a glance: State of the Borough","URL":"https://haringey.gov.uk/sites/default/files/2024-04/state_of_the_borough_final_master_version.pdf","author":[{"literal":"Haringey Borough Council"}],"issued":{"date-parts":[["2024"]]}}}],"schema":"https://github.com/citation-style-language/schema/raw/master/csl-citation.json"} </w:instrText>
      </w:r>
      <w:r w:rsidRPr="00662E51">
        <w:rPr>
          <w:bCs/>
          <w:iCs/>
          <w:szCs w:val="24"/>
        </w:rPr>
        <w:fldChar w:fldCharType="separate"/>
      </w:r>
      <w:r w:rsidR="005E72FD" w:rsidRPr="00662E51">
        <w:t>(Haringey Borough Council 2024a)</w:t>
      </w:r>
      <w:r w:rsidRPr="00662E51">
        <w:rPr>
          <w:bCs/>
          <w:iCs/>
          <w:szCs w:val="24"/>
        </w:rPr>
        <w:fldChar w:fldCharType="end"/>
      </w:r>
      <w:r w:rsidRPr="00662E51">
        <w:rPr>
          <w:bCs/>
          <w:iCs/>
          <w:szCs w:val="24"/>
        </w:rPr>
        <w:t xml:space="preserve">. As such, this research cannot be explored without considering how imperialism, colonialism, and racism have influenced urban development in the United Kingdom. </w:t>
      </w:r>
    </w:p>
    <w:p w14:paraId="7F2A93E8" w14:textId="11C588AA" w:rsidR="00CA6F09" w:rsidRPr="00662E51" w:rsidRDefault="00CA6F09" w:rsidP="00F56305">
      <w:pPr>
        <w:spacing w:line="360" w:lineRule="auto"/>
        <w:ind w:left="0" w:firstLine="720"/>
        <w:contextualSpacing/>
        <w:rPr>
          <w:bCs/>
          <w:iCs/>
          <w:szCs w:val="24"/>
        </w:rPr>
      </w:pPr>
      <w:r w:rsidRPr="00662E51">
        <w:rPr>
          <w:bCs/>
          <w:iCs/>
          <w:szCs w:val="24"/>
        </w:rPr>
        <w:t xml:space="preserve">Ethnic minorities are heterogeneously represented within social housing, with Black residents overrepresented while some Asian groups (e.g., Indians) are underrepresented. </w:t>
      </w:r>
      <w:r w:rsidR="003749B4" w:rsidRPr="00662E51">
        <w:rPr>
          <w:bCs/>
          <w:iCs/>
          <w:szCs w:val="24"/>
        </w:rPr>
        <w:t>Yet</w:t>
      </w:r>
      <w:r w:rsidRPr="00662E51">
        <w:rPr>
          <w:bCs/>
          <w:iCs/>
          <w:szCs w:val="24"/>
        </w:rPr>
        <w:t xml:space="preserve"> the residualisation of social housing over the last decade has impacted groups unevenly, with Bangladeshi residents for example being harshly affected. These families are often pushed into overcrowded and dangerous living conditions as a result </w:t>
      </w:r>
      <w:r w:rsidRPr="00662E51">
        <w:rPr>
          <w:bCs/>
          <w:iCs/>
          <w:szCs w:val="24"/>
        </w:rPr>
        <w:fldChar w:fldCharType="begin"/>
      </w:r>
      <w:r w:rsidR="008835AB" w:rsidRPr="00662E51">
        <w:rPr>
          <w:bCs/>
          <w:iCs/>
          <w:szCs w:val="24"/>
        </w:rPr>
        <w:instrText xml:space="preserve"> ADDIN ZOTERO_ITEM CSL_CITATION {"citationID":"Pluz1QMU","properties":{"formattedCitation":"(Shankley and Finney 2020)","plainCitation":"(Shankley and Finney 2020)","noteIndex":0},"citationItems":[{"id":4185,"uris":["http://zotero.org/users/8977980/items/D6NDJJY6"],"itemData":{"id":4185,"type":"chapter","container-title":"Ethnicity, race and inequality in the UK: state of the nation","ISBN":"978-1-4473-5126-9","language":"eng","page":"149-166","publisher":"Policy Press","publisher-place":"Bristol, UNITED KINGDOM","source":"K10plus ISBN","title":"Ethnic minorities and housing in Britain","editor":[{"family":"Byrne","given":"Bridget"},{"family":"Alexander","given":"Claire E."},{"family":"Khan","given":"Omar"},{"family":"Nazroo","given":"James"},{"family":"Shankley","given":"William"}],"author":[{"family":"Shankley","given":"William"},{"family":"Finney","given":"Nissa"}],"issued":{"date-parts":[["2020"]]}}}],"schema":"https://github.com/citation-style-language/schema/raw/master/csl-citation.json"} </w:instrText>
      </w:r>
      <w:r w:rsidRPr="00662E51">
        <w:rPr>
          <w:bCs/>
          <w:iCs/>
          <w:szCs w:val="24"/>
        </w:rPr>
        <w:fldChar w:fldCharType="separate"/>
      </w:r>
      <w:r w:rsidRPr="00662E51">
        <w:rPr>
          <w:szCs w:val="24"/>
        </w:rPr>
        <w:t>(Shankley and Finney 2020)</w:t>
      </w:r>
      <w:r w:rsidRPr="00662E51">
        <w:rPr>
          <w:bCs/>
          <w:iCs/>
          <w:szCs w:val="24"/>
        </w:rPr>
        <w:fldChar w:fldCharType="end"/>
      </w:r>
      <w:r w:rsidRPr="00662E51">
        <w:rPr>
          <w:bCs/>
          <w:iCs/>
          <w:szCs w:val="24"/>
        </w:rPr>
        <w:t xml:space="preserve">. Council housing’s residualisation has led to an overrepresentation of minoritised ethnic groups in London’s council homes. Gleeson </w:t>
      </w:r>
      <w:r w:rsidRPr="00662E51">
        <w:rPr>
          <w:bCs/>
          <w:iCs/>
          <w:szCs w:val="24"/>
        </w:rPr>
        <w:fldChar w:fldCharType="begin"/>
      </w:r>
      <w:r w:rsidR="008835AB" w:rsidRPr="00662E51">
        <w:rPr>
          <w:bCs/>
          <w:iCs/>
          <w:szCs w:val="24"/>
        </w:rPr>
        <w:instrText xml:space="preserve"> ADDIN ZOTERO_ITEM CSL_CITATION {"citationID":"O8mOHJCl","properties":{"formattedCitation":"(2022)","plainCitation":"(2022)","noteIndex":0},"citationItems":[{"id":7037,"uris":["http://zotero.org/users/8977980/items/N6499NPF"],"itemData":{"id":7037,"type":"report","genre":"Housing Research Note","number":"8","publisher":"Greater London Authority","publisher-place":"London","title":"Housing and race equality in London: An analysis of secondary data","URL":"https://www.london.gov.uk/sites/default/files/2023-12/HRN%208%20-%20Housing%20and%20race%20equality%20in%20London.pdf","author":[{"family":"Gleeson","given":"James"}],"accessed":{"date-parts":[["2025",10,9]]},"issued":{"date-parts":[["2022",3]]}},"suppress-author":true}],"schema":"https://github.com/citation-style-language/schema/raw/master/csl-citation.json"} </w:instrText>
      </w:r>
      <w:r w:rsidRPr="00662E51">
        <w:rPr>
          <w:bCs/>
          <w:iCs/>
          <w:szCs w:val="24"/>
        </w:rPr>
        <w:fldChar w:fldCharType="separate"/>
      </w:r>
      <w:r w:rsidRPr="00662E51">
        <w:rPr>
          <w:szCs w:val="24"/>
        </w:rPr>
        <w:t>(2022)</w:t>
      </w:r>
      <w:r w:rsidRPr="00662E51">
        <w:rPr>
          <w:bCs/>
          <w:iCs/>
          <w:szCs w:val="24"/>
        </w:rPr>
        <w:fldChar w:fldCharType="end"/>
      </w:r>
      <w:r w:rsidRPr="00662E51">
        <w:rPr>
          <w:bCs/>
          <w:iCs/>
          <w:szCs w:val="24"/>
        </w:rPr>
        <w:t xml:space="preserve"> finds that over half of Black households and nearly half of Bangladeshi families, for instance, live in social housing. Black families were similarly most likely to shift from private renting to social housing, reflecting economic pressures. Moreover, Black and Asian families are more likely to live in substandard and overcrowded social homes, and to pay the most proportion of income on rent </w:t>
      </w:r>
      <w:r w:rsidRPr="00662E51">
        <w:rPr>
          <w:bCs/>
          <w:iCs/>
          <w:szCs w:val="24"/>
        </w:rPr>
        <w:fldChar w:fldCharType="begin"/>
      </w:r>
      <w:r w:rsidR="008835AB" w:rsidRPr="00662E51">
        <w:rPr>
          <w:bCs/>
          <w:iCs/>
          <w:szCs w:val="24"/>
        </w:rPr>
        <w:instrText xml:space="preserve"> ADDIN ZOTERO_ITEM CSL_CITATION {"citationID":"XSiW0OVB","properties":{"formattedCitation":"(Gleeson 2022)","plainCitation":"(Gleeson 2022)","noteIndex":0},"citationItems":[{"id":7037,"uris":["http://zotero.org/users/8977980/items/N6499NPF"],"itemData":{"id":7037,"type":"report","genre":"Housing Research Note","number":"8","publisher":"Greater London Authority","publisher-place":"London","title":"Housing and race equality in London: An analysis of secondary data","URL":"https://www.london.gov.uk/sites/default/files/2023-12/HRN%208%20-%20Housing%20and%20race%20equality%20in%20London.pdf","author":[{"family":"Gleeson","given":"James"}],"accessed":{"date-parts":[["2025",10,9]]},"issued":{"date-parts":[["2022",3]]}}}],"schema":"https://github.com/citation-style-language/schema/raw/master/csl-citation.json"} </w:instrText>
      </w:r>
      <w:r w:rsidRPr="00662E51">
        <w:rPr>
          <w:bCs/>
          <w:iCs/>
          <w:szCs w:val="24"/>
        </w:rPr>
        <w:fldChar w:fldCharType="separate"/>
      </w:r>
      <w:r w:rsidRPr="00662E51">
        <w:rPr>
          <w:szCs w:val="24"/>
        </w:rPr>
        <w:t>(Gleeson 2022)</w:t>
      </w:r>
      <w:r w:rsidRPr="00662E51">
        <w:rPr>
          <w:bCs/>
          <w:iCs/>
          <w:szCs w:val="24"/>
        </w:rPr>
        <w:fldChar w:fldCharType="end"/>
      </w:r>
      <w:r w:rsidRPr="00662E51">
        <w:rPr>
          <w:bCs/>
          <w:iCs/>
          <w:szCs w:val="24"/>
        </w:rPr>
        <w:t xml:space="preserve">. The governance of social housing estates is likewise racialised, with heavy policing of Black youth and subcultures </w:t>
      </w:r>
      <w:r w:rsidRPr="00662E51">
        <w:rPr>
          <w:bCs/>
          <w:iCs/>
          <w:szCs w:val="24"/>
        </w:rPr>
        <w:fldChar w:fldCharType="begin"/>
      </w:r>
      <w:r w:rsidR="008835AB" w:rsidRPr="00662E51">
        <w:rPr>
          <w:bCs/>
          <w:iCs/>
          <w:szCs w:val="24"/>
        </w:rPr>
        <w:instrText xml:space="preserve"> ADDIN ZOTERO_ITEM CSL_CITATION {"citationID":"rBa4LMbV","properties":{"formattedCitation":"(Atkinson 2006; Perera 2019a)","plainCitation":"(Atkinson 2006; Perera 2019a)","noteIndex":0},"citationItems":[{"id":2662,"uris":["http://zotero.org/users/8977980/items/3CZ99R6Z"],"itemData":{"id":2662,"type":"chapter","abstract":"This book is the first comprehensive volume exploring an issue of growing importance to policy makers, academics, housing practitioners and students. It brings together contributions from the most prominent scholars in the field to provide a range of theoretical perspectives, critical analysis and empirical research findings about the role of housing and urban governance in addressing anti-social behaviour. Contributors assess constructions of anti-social behaviour in policy discourse, identify how housing is increasingly central to the governance of anti-social behaviour and critically evaluate a wide range of measures used by housing and other agencies to tackle what is perceived to be a growing social problem. Although the book focuses on the UK, comparative international perspectives are provided from France, Australia and the United States. The book covers definitions of anti-social behaviour and policy responses including key new legislation and the legal role of social landlords in governing anti-social behaviour. There is comprehensive coverage of key measures including eviction, probationary tenancies, Anti-social Behaviour Orders, mediation and Acceptable Behaviour Contracts, and of innovative developments such as gated communities, intensive support services and the use of private security. Housing, urban governance and anti-social behaviour will be of interest to academics, policy-makers, practitioners and students in the fields of housing, urban studies, social policy, legal studies and criminology.","container-title":"Housing, Urban Governance and Anti-social Behaviour: Perspectives, Policy and Practice","ISBN":"978-1-86134-684-1","language":"en","note":"Google-Books-ID: P981DwAAQBAJ","page":"99-116","publisher":"Policy Press","source":"Google Books","title":"Spaces of discipline and control: the compounded citizenship of social renting","editor":[{"family":"Flint","given":"John"}],"author":[{"family":"Atkinson","given":"Rowland"}],"issued":{"date-parts":[["2006",7,19]]}}},{"id":3141,"uris":["http://zotero.org/users/8977980/items/CB3BBSPP"],"itemData":{"id":3141,"type":"report","language":"en","number":"12","publisher":"Institute of Race Relations","publisher-place":"London","source":"Zotero","title":"The London Clearances: Race, Housing and Policing","URL":"https://irr.org.uk/wp-content/uploads/2020/09/The-London-Clearances-Race-Housing-and-Policing-1.pdf","author":[{"family":"Perera","given":"Jessica"}],"issued":{"date-parts":[["2019"]]}}}],"schema":"https://github.com/citation-style-language/schema/raw/master/csl-citation.json"} </w:instrText>
      </w:r>
      <w:r w:rsidRPr="00662E51">
        <w:rPr>
          <w:bCs/>
          <w:iCs/>
          <w:szCs w:val="24"/>
        </w:rPr>
        <w:fldChar w:fldCharType="separate"/>
      </w:r>
      <w:r w:rsidRPr="00662E51">
        <w:rPr>
          <w:szCs w:val="24"/>
        </w:rPr>
        <w:t>(Atkinson 2006; Perera 2019a)</w:t>
      </w:r>
      <w:r w:rsidRPr="00662E51">
        <w:rPr>
          <w:bCs/>
          <w:iCs/>
          <w:szCs w:val="24"/>
        </w:rPr>
        <w:fldChar w:fldCharType="end"/>
      </w:r>
      <w:r w:rsidRPr="00662E51">
        <w:rPr>
          <w:bCs/>
          <w:iCs/>
          <w:szCs w:val="24"/>
        </w:rPr>
        <w:t xml:space="preserve">. Policing goes hand in hand with stigmatisation, which itself is a process steeped in racial othering and punishment </w:t>
      </w:r>
      <w:r w:rsidRPr="00662E51">
        <w:rPr>
          <w:bCs/>
          <w:iCs/>
          <w:szCs w:val="24"/>
        </w:rPr>
        <w:fldChar w:fldCharType="begin"/>
      </w:r>
      <w:r w:rsidR="008835AB" w:rsidRPr="00662E51">
        <w:rPr>
          <w:bCs/>
          <w:iCs/>
          <w:szCs w:val="24"/>
        </w:rPr>
        <w:instrText xml:space="preserve"> ADDIN ZOTERO_ITEM CSL_CITATION {"citationID":"wHQQbiEu","properties":{"formattedCitation":"(Slater 2016; Wacquant et al. 2014)","plainCitation":"(Slater 2016; Wacquant et al. 2014)","noteIndex":0},"citationItems":[{"id":1517,"uris":["http://zotero.org/users/8977980/items/3XU3FD6N"],"itemData":{"id":1517,"type":"chapter","abstract":"Abstract This paper exposes, analyses, and challenges the revanchism (Smith, 1996) exhibited by ruling elites in austerity Britain. After recapitulating the concept of revanchism in its original form, and discussing some critiques and extensions, it scrutinizes the emergence of revanchist political economy in Britain, with particular reference to the UK housing crisis. In order to explain how revanchism has become so ingrained in British society, the paper analyses the production of ignorance via the activation of class and place stigma, where free market think tanks play a crucial role in deflecting attention away from the causes of housing crisis. It is argued that the production of ignorance carves an economic and political path for gentrification on a scale never before seen in the United Kingdom, where speculation, rentier capitalist extraction, and the global circulation of capital in urban land markets is resulting in staggering fortunes for those expropriating socially created use values.","collection-title":"Research in Political Economy","container-title":"Risking Capitalism","DOI":"10.1108/S0161-723020160000031001","ISBN":"978-1-78635-235-4","page":"23-48","publisher":"Emerald Group Publishing Limited","source":"Emerald Insight","title":"Revanchism, Stigma, and the Production of Ignorance: Housing Struggles in Austerity Britain","title-short":"Revanchism, Stigma, and the Production of Ignorance","URL":"https://doi.org/10.1108/S0161-723020160000031001","volume":"31","author":[{"family":"Slater","given":"Tom"}],"accessed":{"date-parts":[["2022",9,30]]},"issued":{"date-parts":[["2016",1,1]]}}},{"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Borges"}],"issued":{"date-parts":[["2014",6,1]]}}}],"schema":"https://github.com/citation-style-language/schema/raw/master/csl-citation.json"} </w:instrText>
      </w:r>
      <w:r w:rsidRPr="00662E51">
        <w:rPr>
          <w:bCs/>
          <w:iCs/>
          <w:szCs w:val="24"/>
        </w:rPr>
        <w:fldChar w:fldCharType="separate"/>
      </w:r>
      <w:r w:rsidRPr="00662E51">
        <w:rPr>
          <w:szCs w:val="24"/>
        </w:rPr>
        <w:t>(Slater 2016; Wacquant et al. 2014)</w:t>
      </w:r>
      <w:r w:rsidRPr="00662E51">
        <w:rPr>
          <w:bCs/>
          <w:iCs/>
          <w:szCs w:val="24"/>
        </w:rPr>
        <w:fldChar w:fldCharType="end"/>
      </w:r>
      <w:r w:rsidRPr="00662E51">
        <w:rPr>
          <w:bCs/>
          <w:iCs/>
          <w:szCs w:val="24"/>
        </w:rPr>
        <w:t xml:space="preserve">. The targets of these moves are overwhelmingly Black </w:t>
      </w:r>
      <w:r w:rsidRPr="00662E51">
        <w:rPr>
          <w:bCs/>
          <w:iCs/>
          <w:szCs w:val="24"/>
        </w:rPr>
        <w:lastRenderedPageBreak/>
        <w:t>Londoners. As territorially stigmatised places, then, council estates see significant social problems and pervasive racial discrimination.</w:t>
      </w:r>
    </w:p>
    <w:p w14:paraId="1F7937C6" w14:textId="5888A0D8" w:rsidR="00CA6F09" w:rsidRPr="00662E51" w:rsidRDefault="00CA6F09" w:rsidP="00F56305">
      <w:pPr>
        <w:spacing w:line="360" w:lineRule="auto"/>
        <w:ind w:left="0" w:firstLine="720"/>
        <w:contextualSpacing/>
        <w:rPr>
          <w:bCs/>
          <w:iCs/>
          <w:szCs w:val="24"/>
        </w:rPr>
      </w:pPr>
      <w:r w:rsidRPr="00662E51">
        <w:rPr>
          <w:bCs/>
          <w:iCs/>
          <w:szCs w:val="24"/>
        </w:rPr>
        <w:t xml:space="preserve">Discrimination is also a long-standing historical reality. In the 1960s, for instance, councils housed only around 1 percent of Asian and Black households, a gross under-representation. This colour bar was enforced by both a set of explicit policies and implicit </w:t>
      </w:r>
      <w:r w:rsidR="00681967">
        <w:rPr>
          <w:bCs/>
          <w:iCs/>
          <w:szCs w:val="24"/>
        </w:rPr>
        <w:t>management</w:t>
      </w:r>
      <w:r w:rsidRPr="00662E51">
        <w:rPr>
          <w:bCs/>
          <w:iCs/>
          <w:szCs w:val="24"/>
        </w:rPr>
        <w:t xml:space="preserve"> tactics. Some councils like Willesden, London accepted Black and Asian applications onto the waiting list but intentionally declined to let to them. Other councils gave white families priority on waiting lists, ensuring they would be selected before ethnic minority applicants </w:t>
      </w:r>
      <w:r w:rsidRPr="00662E51">
        <w:rPr>
          <w:bCs/>
          <w:iCs/>
          <w:szCs w:val="24"/>
        </w:rPr>
        <w:fldChar w:fldCharType="begin"/>
      </w:r>
      <w:r w:rsidRPr="00662E51">
        <w:rPr>
          <w:bCs/>
          <w:iCs/>
          <w:szCs w:val="24"/>
        </w:rPr>
        <w:instrText xml:space="preserve"> ADDIN ZOTERO_ITEM CSL_CITATION {"citationID":"MmXe09Px","properties":{"formattedCitation":"(Hilliard 2025)","plainCitation":"(Hilliard 2025)","noteIndex":0},"citationItems":[{"id":6859,"uris":["http://zotero.org/users/8977980/items/692VG83B"],"itemData":{"id":6859,"type":"article-journal","abstract":"The idea that there was a ratio of people of colour to white people that, if exceeded, would prompt a white backlash was a tenet of folk sociology in Britain. This belief was the basis of strategies of ‘dispersal’. In the 1940s and 1950s, officials counted on the labour market to spread people from the Caribbean, South Asia, and Africa around the country. However, the housing market had the opposite effect. It ‘concentrated’ Black and Asian people in run-down parts of British cities. Later, as urban authorities began to demolish these neighbourhoods and to integrate public housing, some (most notably Birmingham) introduced formal dispersal programmes with racial quotas. Dispersal in particular and housing policy in general illustrate the way central government devolved contentious matters involving race to local councils. Examining this process of ‘peripheralization’ brings two distinct concerns in the historiography — national policy on immigration and local social processes — into the same frame. City and regional authorities in France and West Germany pursued dispersal in parallel ways, despite the differences in the three countries’ migration histories and citizenship regimes. The similarities in the project of dispersal and its failure point to a common European history of the origins of multiculturalism.","container-title":"Past &amp; Present","DOI":"10.1093/pastj/gtaf019","ISSN":"0031-2746","journalAbbreviation":"Past Present","page":"gtaf019","source":"Silverchair","title":"Housing and the Peripheralization of Race Politics in Britain, 1948–1977","author":[{"family":"Hilliard","given":"Christopher"}],"issued":{"date-parts":[["2025",8,5]]}}}],"schema":"https://github.com/citation-style-language/schema/raw/master/csl-citation.json"} </w:instrText>
      </w:r>
      <w:r w:rsidRPr="00662E51">
        <w:rPr>
          <w:bCs/>
          <w:iCs/>
          <w:szCs w:val="24"/>
        </w:rPr>
        <w:fldChar w:fldCharType="separate"/>
      </w:r>
      <w:r w:rsidRPr="00662E51">
        <w:rPr>
          <w:szCs w:val="24"/>
        </w:rPr>
        <w:t>(Hilliard 2025)</w:t>
      </w:r>
      <w:r w:rsidRPr="00662E51">
        <w:rPr>
          <w:bCs/>
          <w:iCs/>
          <w:szCs w:val="24"/>
        </w:rPr>
        <w:fldChar w:fldCharType="end"/>
      </w:r>
      <w:r w:rsidRPr="00662E51">
        <w:rPr>
          <w:bCs/>
          <w:iCs/>
          <w:szCs w:val="24"/>
        </w:rPr>
        <w:t xml:space="preserve">. Council staff also expressed fear that moving ethnic minorities to white estates would incite violence against the newcomers, and so would use their power to disperse and reduce their number </w:t>
      </w:r>
      <w:r w:rsidRPr="00662E51">
        <w:rPr>
          <w:bCs/>
          <w:iCs/>
          <w:szCs w:val="24"/>
        </w:rPr>
        <w:fldChar w:fldCharType="begin"/>
      </w:r>
      <w:r w:rsidR="008835AB" w:rsidRPr="00662E51">
        <w:rPr>
          <w:bCs/>
          <w:iCs/>
          <w:szCs w:val="24"/>
        </w:rPr>
        <w:instrText xml:space="preserve"> ADDIN ZOTERO_ITEM CSL_CITATION {"citationID":"0nRZ8Ybm","properties":{"formattedCitation":"(Ginsburg 1988)","plainCitation":"(Ginsburg 1988)","noteIndex":0},"citationItems":[{"id":7041,"uris":["http://zotero.org/users/8977980/items/KPR2EPU2"],"itemData":{"id":7041,"type":"article-journal","container-title":"Critical Social Policy","DOI":"10.1177/026101838800802401","ISSN":"0261-0183","issue":"24","language":"EN","page":"4-19","publisher":"SAGE Publications Ltd","source":"SAGE Journals","title":"Institutional racism and local authority housing","volume":"8","author":[{"family":"Ginsburg","given":"Norman"}],"issued":{"date-parts":[["1988",12,1]]}}}],"schema":"https://github.com/citation-style-language/schema/raw/master/csl-citation.json"} </w:instrText>
      </w:r>
      <w:r w:rsidRPr="00662E51">
        <w:rPr>
          <w:bCs/>
          <w:iCs/>
          <w:szCs w:val="24"/>
        </w:rPr>
        <w:fldChar w:fldCharType="separate"/>
      </w:r>
      <w:r w:rsidRPr="00662E51">
        <w:rPr>
          <w:szCs w:val="24"/>
        </w:rPr>
        <w:t>(Ginsburg 1988)</w:t>
      </w:r>
      <w:r w:rsidRPr="00662E51">
        <w:rPr>
          <w:bCs/>
          <w:iCs/>
          <w:szCs w:val="24"/>
        </w:rPr>
        <w:fldChar w:fldCharType="end"/>
      </w:r>
      <w:r w:rsidRPr="00662E51">
        <w:rPr>
          <w:bCs/>
          <w:iCs/>
          <w:szCs w:val="24"/>
        </w:rPr>
        <w:t xml:space="preserve">. Indeed, as Jeffers and Hoggett </w:t>
      </w:r>
      <w:r w:rsidRPr="00662E51">
        <w:rPr>
          <w:bCs/>
          <w:iCs/>
          <w:szCs w:val="24"/>
        </w:rPr>
        <w:fldChar w:fldCharType="begin"/>
      </w:r>
      <w:r w:rsidR="008835AB" w:rsidRPr="00662E51">
        <w:rPr>
          <w:bCs/>
          <w:iCs/>
          <w:szCs w:val="24"/>
        </w:rPr>
        <w:instrText xml:space="preserve"> ADDIN ZOTERO_ITEM CSL_CITATION {"citationID":"OVlJwxX7","properties":{"formattedCitation":"(1995)","plainCitation":"(1995)","noteIndex":0},"citationItems":[{"id":7042,"uris":["http://zotero.org/users/8977980/items/G2DCTIMA"],"itemData":{"id":7042,"type":"article-journal","abstract":"Why and how do black people lose out in the provision of social housing? This was the question that we set out to examine, looking at the situation in two London boroughs with a declared commitment to anti</w:instrText>
      </w:r>
      <w:r w:rsidR="008835AB" w:rsidRPr="00662E51">
        <w:rPr>
          <w:rFonts w:ascii="Cambria Math" w:hAnsi="Cambria Math" w:cs="Cambria Math"/>
          <w:bCs/>
          <w:iCs/>
          <w:szCs w:val="24"/>
        </w:rPr>
        <w:instrText>‐</w:instrText>
      </w:r>
      <w:r w:rsidR="008835AB" w:rsidRPr="00662E51">
        <w:rPr>
          <w:bCs/>
          <w:iCs/>
          <w:szCs w:val="24"/>
        </w:rPr>
        <w:instrText>racism in the late 1980s. Previous studies had focused on the role of officer discretion, and a popular strategy of ‘institutional hygiene’ had been adopted to counter this factor by many agencies as part of an anti</w:instrText>
      </w:r>
      <w:r w:rsidR="008835AB" w:rsidRPr="00662E51">
        <w:rPr>
          <w:rFonts w:ascii="Cambria Math" w:hAnsi="Cambria Math" w:cs="Cambria Math"/>
          <w:bCs/>
          <w:iCs/>
          <w:szCs w:val="24"/>
        </w:rPr>
        <w:instrText>‐</w:instrText>
      </w:r>
      <w:r w:rsidR="008835AB" w:rsidRPr="00662E51">
        <w:rPr>
          <w:bCs/>
          <w:iCs/>
          <w:szCs w:val="24"/>
        </w:rPr>
        <w:instrText>racist or more general equal opportunities policy. This strategy concentrated on limiting individual officer discretion near the point of service delivery in favour of formalising procedures and monitoring outcomes. In this paper we re</w:instrText>
      </w:r>
      <w:r w:rsidR="008835AB" w:rsidRPr="00662E51">
        <w:rPr>
          <w:rFonts w:ascii="Cambria Math" w:hAnsi="Cambria Math" w:cs="Cambria Math"/>
          <w:bCs/>
          <w:iCs/>
          <w:szCs w:val="24"/>
        </w:rPr>
        <w:instrText>‐</w:instrText>
      </w:r>
      <w:r w:rsidR="008835AB" w:rsidRPr="00662E51">
        <w:rPr>
          <w:bCs/>
          <w:iCs/>
          <w:szCs w:val="24"/>
        </w:rPr>
        <w:instrText xml:space="preserve">examine the role of officer discretion and look at the way that differing local institutional discourses of racial and ethnic difference, particularly essentialist ones, affect the way that housing outcomes are produced and either made visible or hidden. We argue first that it is important to examine the local context to see how racial meanings are constructed and reproduced by individual and institutions in a dynamic relationship. Second, we argue that using a gaming metaphor is helpful in examining the way that different interests and players interact at different levels in the process of housing allocation, and that this contributes to a better understanding of how racialised groups can be disadvantaged by a number of factors in the allocation of social housing.","container-title":"Housing Studies","DOI":"10.1080/02673039508720824","ISSN":"0267-3037","issue":"3","note":"_eprint: https://doi.org/10.1080/02673039508720824","page":"325-344","publisher":"Routledge","source":"Taylor and Francis+NEJM","title":"Like counting deckchairs on the Titanic: A study of institutional racism and housing allocations in Haringey and Lambeth","title-short":"Like counting deckchairs on the Titanic","volume":"10","author":[{"family":"Jeffers","given":"Syd"},{"family":"Hoggett","given":"Paul"}],"issued":{"date-parts":[["1995",7,1]]}},"suppress-author":true}],"schema":"https://github.com/citation-style-language/schema/raw/master/csl-citation.json"} </w:instrText>
      </w:r>
      <w:r w:rsidRPr="00662E51">
        <w:rPr>
          <w:bCs/>
          <w:iCs/>
          <w:szCs w:val="24"/>
        </w:rPr>
        <w:fldChar w:fldCharType="separate"/>
      </w:r>
      <w:r w:rsidRPr="00662E51">
        <w:rPr>
          <w:szCs w:val="24"/>
        </w:rPr>
        <w:t>(1995)</w:t>
      </w:r>
      <w:r w:rsidRPr="00662E51">
        <w:rPr>
          <w:bCs/>
          <w:iCs/>
          <w:szCs w:val="24"/>
        </w:rPr>
        <w:fldChar w:fldCharType="end"/>
      </w:r>
      <w:r w:rsidR="00F63971">
        <w:rPr>
          <w:bCs/>
          <w:iCs/>
          <w:szCs w:val="24"/>
        </w:rPr>
        <w:t xml:space="preserve"> found</w:t>
      </w:r>
      <w:r w:rsidRPr="00662E51">
        <w:rPr>
          <w:bCs/>
          <w:iCs/>
          <w:szCs w:val="24"/>
        </w:rPr>
        <w:t>, housing managers intentionally balanced the material housing needs of minoritised ethnic groups against fears of racist violence—to the detriment of those racialised minorities. Even policies that were not explicit</w:t>
      </w:r>
      <w:r w:rsidR="00A14886">
        <w:rPr>
          <w:bCs/>
          <w:iCs/>
          <w:szCs w:val="24"/>
        </w:rPr>
        <w:t>ly</w:t>
      </w:r>
      <w:r w:rsidRPr="00662E51">
        <w:rPr>
          <w:bCs/>
          <w:iCs/>
          <w:szCs w:val="24"/>
        </w:rPr>
        <w:t xml:space="preserve"> racist in effect kept minoritised ethnic groups out of public housing, forming an institutionally racist system </w:t>
      </w:r>
      <w:r w:rsidRPr="00662E51">
        <w:rPr>
          <w:bCs/>
          <w:iCs/>
          <w:szCs w:val="24"/>
        </w:rPr>
        <w:fldChar w:fldCharType="begin"/>
      </w:r>
      <w:r w:rsidR="008835AB" w:rsidRPr="00662E51">
        <w:rPr>
          <w:bCs/>
          <w:iCs/>
          <w:szCs w:val="24"/>
        </w:rPr>
        <w:instrText xml:space="preserve"> ADDIN ZOTERO_ITEM CSL_CITATION {"citationID":"vNiud8Z1","properties":{"formattedCitation":"(Ginsburg 1988)","plainCitation":"(Ginsburg 1988)","noteIndex":0},"citationItems":[{"id":7041,"uris":["http://zotero.org/users/8977980/items/KPR2EPU2"],"itemData":{"id":7041,"type":"article-journal","container-title":"Critical Social Policy","DOI":"10.1177/026101838800802401","ISSN":"0261-0183","issue":"24","language":"EN","page":"4-19","publisher":"SAGE Publications Ltd","source":"SAGE Journals","title":"Institutional racism and local authority housing","volume":"8","author":[{"family":"Ginsburg","given":"Norman"}],"issued":{"date-parts":[["1988",12,1]]}}}],"schema":"https://github.com/citation-style-language/schema/raw/master/csl-citation.json"} </w:instrText>
      </w:r>
      <w:r w:rsidRPr="00662E51">
        <w:rPr>
          <w:bCs/>
          <w:iCs/>
          <w:szCs w:val="24"/>
        </w:rPr>
        <w:fldChar w:fldCharType="separate"/>
      </w:r>
      <w:r w:rsidRPr="00662E51">
        <w:rPr>
          <w:szCs w:val="24"/>
        </w:rPr>
        <w:t>(Ginsburg 1988)</w:t>
      </w:r>
      <w:r w:rsidRPr="00662E51">
        <w:rPr>
          <w:bCs/>
          <w:iCs/>
          <w:szCs w:val="24"/>
        </w:rPr>
        <w:fldChar w:fldCharType="end"/>
      </w:r>
      <w:r w:rsidRPr="00662E51">
        <w:rPr>
          <w:bCs/>
          <w:iCs/>
          <w:szCs w:val="24"/>
        </w:rPr>
        <w:t xml:space="preserve">. Councils, for example, frequently imposed time restrictions to join the waitlist: new applicants sometimes had to show residency in a region for at least five years, which many new migrants could not meet. Since waiting lists were already long, hardly any migrant families were successful </w:t>
      </w:r>
      <w:r w:rsidRPr="00662E51">
        <w:rPr>
          <w:bCs/>
          <w:iCs/>
          <w:szCs w:val="24"/>
        </w:rPr>
        <w:fldChar w:fldCharType="begin"/>
      </w:r>
      <w:r w:rsidRPr="00662E51">
        <w:rPr>
          <w:bCs/>
          <w:iCs/>
          <w:szCs w:val="24"/>
        </w:rPr>
        <w:instrText xml:space="preserve"> ADDIN ZOTERO_ITEM CSL_CITATION {"citationID":"jXC2OCJt","properties":{"formattedCitation":"(Hilliard 2025)","plainCitation":"(Hilliard 2025)","noteIndex":0},"citationItems":[{"id":6859,"uris":["http://zotero.org/users/8977980/items/692VG83B"],"itemData":{"id":6859,"type":"article-journal","abstract":"The idea that there was a ratio of people of colour to white people that, if exceeded, would prompt a white backlash was a tenet of folk sociology in Britain. This belief was the basis of strategies of ‘dispersal’. In the 1940s and 1950s, officials counted on the labour market to spread people from the Caribbean, South Asia, and Africa around the country. However, the housing market had the opposite effect. It ‘concentrated’ Black and Asian people in run-down parts of British cities. Later, as urban authorities began to demolish these neighbourhoods and to integrate public housing, some (most notably Birmingham) introduced formal dispersal programmes with racial quotas. Dispersal in particular and housing policy in general illustrate the way central government devolved contentious matters involving race to local councils. Examining this process of ‘peripheralization’ brings two distinct concerns in the historiography — national policy on immigration and local social processes — into the same frame. City and regional authorities in France and West Germany pursued dispersal in parallel ways, despite the differences in the three countries’ migration histories and citizenship regimes. The similarities in the project of dispersal and its failure point to a common European history of the origins of multiculturalism.","container-title":"Past &amp; Present","DOI":"10.1093/pastj/gtaf019","ISSN":"0031-2746","journalAbbreviation":"Past Present","page":"gtaf019","source":"Silverchair","title":"Housing and the Peripheralization of Race Politics in Britain, 1948–1977","author":[{"family":"Hilliard","given":"Christopher"}],"issued":{"date-parts":[["2025",8,5]]}}}],"schema":"https://github.com/citation-style-language/schema/raw/master/csl-citation.json"} </w:instrText>
      </w:r>
      <w:r w:rsidRPr="00662E51">
        <w:rPr>
          <w:bCs/>
          <w:iCs/>
          <w:szCs w:val="24"/>
        </w:rPr>
        <w:fldChar w:fldCharType="separate"/>
      </w:r>
      <w:r w:rsidRPr="00662E51">
        <w:rPr>
          <w:szCs w:val="24"/>
        </w:rPr>
        <w:t>(Hilliard 2025)</w:t>
      </w:r>
      <w:r w:rsidRPr="00662E51">
        <w:rPr>
          <w:bCs/>
          <w:iCs/>
          <w:szCs w:val="24"/>
        </w:rPr>
        <w:fldChar w:fldCharType="end"/>
      </w:r>
      <w:r w:rsidRPr="00662E51">
        <w:rPr>
          <w:bCs/>
          <w:iCs/>
          <w:szCs w:val="24"/>
        </w:rPr>
        <w:t xml:space="preserve">. Thus, council housing was yet another site of ongoing institutional racism in the UK’s past. </w:t>
      </w:r>
    </w:p>
    <w:p w14:paraId="085D7097" w14:textId="197E88D5" w:rsidR="00CA6F09" w:rsidRPr="00662E51" w:rsidRDefault="00CA6F09" w:rsidP="00C21741">
      <w:pPr>
        <w:spacing w:line="360" w:lineRule="auto"/>
        <w:ind w:left="0" w:firstLine="720"/>
        <w:contextualSpacing/>
        <w:rPr>
          <w:bCs/>
          <w:iCs/>
          <w:szCs w:val="24"/>
        </w:rPr>
      </w:pPr>
      <w:r w:rsidRPr="00662E51">
        <w:rPr>
          <w:bCs/>
          <w:iCs/>
          <w:szCs w:val="24"/>
        </w:rPr>
        <w:t xml:space="preserve">Eventually, the government passed several race relations acts throughout the 1960s and 1970s, aiming to mitigate housing discrimination. When racialised minorities were finally granted council flats, however, the homes were typically in high-rise buildings in high-density estates, poorly located and connected, aesthetically ugly, and in adequate condition. That is, minoritised ethnic groups were routinely granted undesirable homes. Wetherell </w:t>
      </w:r>
      <w:r w:rsidRPr="00662E51">
        <w:rPr>
          <w:bCs/>
          <w:iCs/>
          <w:szCs w:val="24"/>
        </w:rPr>
        <w:fldChar w:fldCharType="begin"/>
      </w:r>
      <w:r w:rsidR="008835AB" w:rsidRPr="00662E51">
        <w:rPr>
          <w:bCs/>
          <w:iCs/>
          <w:szCs w:val="24"/>
        </w:rPr>
        <w:instrText xml:space="preserve"> ADDIN ZOTERO_ITEM CSL_CITATION {"citationID":"xbyYYnjS","properties":{"formattedCitation":"(2020)","plainCitation":"(2020)","noteIndex":0},"citationItems":[{"id":6861,"uris":["http://zotero.org/users/8977980/items/T7XS82TX"],"itemData":{"id":6861,"type":"article-journal","abstract":"&lt;em&gt;Gale&lt;/em&gt; Academic OneFile includes 'Redlining' the British city. by Sam Wetherell. Read the beginning or sign in for the full text.","container-title":"Renewal","ISSN":"0968252X","issue":"2","language":"English","page":"81-90","publisher":"Lawrence &amp;amp; Wishart Ltd.","source":"go-gale-com.ezphost.dur.ac.uk","title":"'Redlining' the British city.","volume":"28","author":[{"family":"Wetherell","given":"Sam"}],"issued":{"date-parts":[["2020",6,22]]}},"suppress-author":true}],"schema":"https://github.com/citation-style-language/schema/raw/master/csl-citation.json"} </w:instrText>
      </w:r>
      <w:r w:rsidRPr="00662E51">
        <w:rPr>
          <w:bCs/>
          <w:iCs/>
          <w:szCs w:val="24"/>
        </w:rPr>
        <w:fldChar w:fldCharType="separate"/>
      </w:r>
      <w:r w:rsidRPr="00662E51">
        <w:rPr>
          <w:szCs w:val="24"/>
        </w:rPr>
        <w:t>(2020)</w:t>
      </w:r>
      <w:r w:rsidRPr="00662E51">
        <w:rPr>
          <w:bCs/>
          <w:iCs/>
          <w:szCs w:val="24"/>
        </w:rPr>
        <w:fldChar w:fldCharType="end"/>
      </w:r>
      <w:r w:rsidRPr="00662E51">
        <w:rPr>
          <w:bCs/>
          <w:iCs/>
          <w:szCs w:val="24"/>
        </w:rPr>
        <w:t xml:space="preserve"> argues that this methodical sorting—coupled with the Housing (Homeless Persons) Act of 1977</w:t>
      </w:r>
      <w:r w:rsidRPr="00BD17AF">
        <w:rPr>
          <w:rStyle w:val="FootnoteReference"/>
        </w:rPr>
        <w:footnoteReference w:id="35"/>
      </w:r>
      <w:r w:rsidRPr="00662E51">
        <w:rPr>
          <w:bCs/>
          <w:iCs/>
          <w:szCs w:val="24"/>
        </w:rPr>
        <w:t xml:space="preserve">—played an integral part of what would become council housing residualisation </w:t>
      </w:r>
      <w:r w:rsidRPr="00662E51">
        <w:rPr>
          <w:bCs/>
          <w:iCs/>
          <w:szCs w:val="24"/>
        </w:rPr>
        <w:lastRenderedPageBreak/>
        <w:fldChar w:fldCharType="begin"/>
      </w:r>
      <w:r w:rsidR="001B2CAA">
        <w:rPr>
          <w:bCs/>
          <w:iCs/>
          <w:szCs w:val="24"/>
        </w:rPr>
        <w:instrText xml:space="preserve"> ADDIN ZOTERO_ITEM CSL_CITATION {"citationID":"dYftKHqG","properties":{"formattedCitation":"(Gillespie et al. 2021)","plainCitation":"(Gillespie et al. 2021)","noteIndex":0},"citationItems":[{"id":"n0Saldgp/Pfek5KeZ","uris":["http://zotero.org/users/8977980/items/LK7WKKQI"],"itemData":{"id":"kVZz3fGE/RsFO0zcX","type":"article-journal","abstract":"Urban scholars have traditionally associated displacement in cities of the global North with gentriﬁcation, generally understood as a class-based process of neighbourhood change. This article expands this scalar focus and adopts the larger scale of the local authority district (in this case the London borough) as its epistemological starting point to study the displacement of homeless people by the local state. Participatory action research was undertaken with housing campaigners in the East London borough of Newham to explore who is being displaced, their experiences of displacement and the impacts of displacement on their lives. Empirically, the article argues that displacement in this case is a product of national welfare state restructuring – or ‘austerity urbanism’ – implemented through a localised regime of ‘welfare chauvinism’ in which some groups are framed as economically unproductive and therefore undeserving of access to social housing. Displacement has the effect of reinforcing the surplus status of these groups by separating them from employment, education and care networks and eroding their physical and mental health. The article draws on research on the biopolitics of surplus populations in the global South to develop an original theorisation of the relationship between welfare state restructuring and displacement. This theorisation reveals that displacement is the spatial expression of a biopolitical shift away from the logic of ‘making live’ associated with the post-war welfare state towards a logic of ‘letting die’ more traditionally associated with postcolonial contexts.","container-title":"Environment and Planning A: Economy and Space","DOI":"10.1177/0308518X211026323","ISSN":"0308-518X, 1472-3409","issue":"7","journalAbbreviation":"Environ Plan A","language":"en","page":"1713-1729","source":"DOI.org (Crossref)","title":"Surplus to the city: Austerity urbanism, displacement and ‘letting die’","title-short":"Surplus to the city","volume":"53","author":[{"family":"Gillespie","given":"Tom"},{"family":"Hardy","given":"Kate"},{"family":"Watt","given":"Paul"}],"issued":{"date-parts":[["2021",10]]}}}],"schema":"https://github.com/citation-style-language/schema/raw/master/csl-citation.json"} </w:instrText>
      </w:r>
      <w:r w:rsidRPr="00662E51">
        <w:rPr>
          <w:bCs/>
          <w:iCs/>
          <w:szCs w:val="24"/>
        </w:rPr>
        <w:fldChar w:fldCharType="separate"/>
      </w:r>
      <w:r w:rsidR="00C83945" w:rsidRPr="00662E51">
        <w:t>(Gillespie et al. 2021)</w:t>
      </w:r>
      <w:r w:rsidRPr="00662E51">
        <w:rPr>
          <w:bCs/>
          <w:iCs/>
          <w:szCs w:val="24"/>
        </w:rPr>
        <w:fldChar w:fldCharType="end"/>
      </w:r>
      <w:r w:rsidRPr="00662E51">
        <w:rPr>
          <w:bCs/>
          <w:iCs/>
          <w:szCs w:val="24"/>
        </w:rPr>
        <w:t>. Considering the undesirability of such dwellings, the technical problems with shared spaces in high-rises, and an unwillingness of banks to provide mortgages to minoritised ethnic groups, the right-to-buy for minoritised ethnic tenants was difficult to exercise. Furthermore, for such tenants who actually were able to buy their council flats, ongoing regeneration is now targeting their estates—meaning that this group is now being dispossessed at a high rate</w:t>
      </w:r>
      <w:r w:rsidR="00980CE4" w:rsidRPr="00662E51">
        <w:rPr>
          <w:bCs/>
          <w:iCs/>
          <w:szCs w:val="24"/>
        </w:rPr>
        <w:t xml:space="preserve"> </w:t>
      </w:r>
      <w:r w:rsidR="00980CE4" w:rsidRPr="00662E51">
        <w:rPr>
          <w:bCs/>
          <w:szCs w:val="24"/>
        </w:rPr>
        <w:fldChar w:fldCharType="begin"/>
      </w:r>
      <w:r w:rsidR="008835AB" w:rsidRPr="00662E51">
        <w:rPr>
          <w:bCs/>
          <w:szCs w:val="24"/>
        </w:rPr>
        <w:instrText xml:space="preserve"> ADDIN ZOTERO_ITEM CSL_CITATION {"citationID":"adVCxJOp","properties":{"formattedCitation":"(Elliott-Cooper et al. 2020)","plainCitation":"(Elliott-Cooper et al. 2020)","noteIndex":0},"citationItems":[{"id":3189,"uris":["http://zotero.org/users/8977980/items/X86726V8"],"itemData":{"id":3189,"type":"article-journal","abstract":"Since the 1990s, the renewal of council housing estates in London has involved widespread ?decanting? of resident populations to allow for demolition and redevelopment, primarily by private developers who sell the majority of new housing at market rate. This process of decanting has displaced long-term council tenants and shorter-term ?temporary? tenants, with many not able to return to the estate. In contrast, those leaseholders who bought under the ?right-to-buy? legislation introduced in the 1980s have a ?right to remain? by virtue of the property rights they have. Nonetheless, given the threat that their property will ultimately be subject to compulsory purchase because the redevelopment of the estate is in the ?public interest?, these leaseholders experience similar displacement pressures to other residents. Describing these pressures, this article argues that the right-to-buy legislation offered these residents the illusion of entering a property-owning middle-class, but that they were never able to escape the labelling of council estates as stigmatised spaces which have ultimately been seized by the state and capital in a moment of ?accumulation by dispossession?.","container-title":"The Sociological Review","DOI":"10.1177/0038026120906790","ISSN":"0038-0261","issue":"6","language":"en","page":"1354-1369","publisher":"SAGE Publications Ltd","source":"SAGE Journals","title":"Sold out? The right-to-buy, gentrification and working-class displacements in London","title-short":"Sold out?","volume":"68","author":[{"family":"Elliott-Cooper","given":"Adam"},{"family":"Hubbard","given":"Phil"},{"family":"Lees","given":"Loretta"}],"issued":{"date-parts":[["2020",11,1]]}}}],"schema":"https://github.com/citation-style-language/schema/raw/master/csl-citation.json"} </w:instrText>
      </w:r>
      <w:r w:rsidR="00980CE4" w:rsidRPr="00662E51">
        <w:rPr>
          <w:bCs/>
          <w:szCs w:val="24"/>
        </w:rPr>
        <w:fldChar w:fldCharType="separate"/>
      </w:r>
      <w:r w:rsidR="00980CE4" w:rsidRPr="00662E51">
        <w:t>(Elliott-Cooper et al. 2020)</w:t>
      </w:r>
      <w:r w:rsidR="00980CE4" w:rsidRPr="00662E51">
        <w:rPr>
          <w:bCs/>
          <w:szCs w:val="24"/>
        </w:rPr>
        <w:fldChar w:fldCharType="end"/>
      </w:r>
      <w:r w:rsidR="00980CE4" w:rsidRPr="00662E51">
        <w:rPr>
          <w:bCs/>
          <w:szCs w:val="24"/>
        </w:rPr>
        <w:t>.</w:t>
      </w:r>
      <w:r w:rsidRPr="00662E51">
        <w:rPr>
          <w:bCs/>
          <w:iCs/>
          <w:szCs w:val="24"/>
        </w:rPr>
        <w:t xml:space="preserve"> For Wetherell </w:t>
      </w:r>
      <w:r w:rsidRPr="00662E51">
        <w:rPr>
          <w:bCs/>
          <w:iCs/>
          <w:szCs w:val="24"/>
        </w:rPr>
        <w:fldChar w:fldCharType="begin"/>
      </w:r>
      <w:r w:rsidR="008835AB" w:rsidRPr="00662E51">
        <w:rPr>
          <w:bCs/>
          <w:iCs/>
          <w:szCs w:val="24"/>
        </w:rPr>
        <w:instrText xml:space="preserve"> ADDIN ZOTERO_ITEM CSL_CITATION {"citationID":"F1G2BeDc","properties":{"formattedCitation":"(2020)","plainCitation":"(2020)","noteIndex":0},"citationItems":[{"id":6861,"uris":["http://zotero.org/users/8977980/items/T7XS82TX"],"itemData":{"id":6861,"type":"article-journal","abstract":"&lt;em&gt;Gale&lt;/em&gt; Academic OneFile includes 'Redlining' the British city. by Sam Wetherell. Read the beginning or sign in for the full text.","container-title":"Renewal","ISSN":"0968252X","issue":"2","language":"English","page":"81-90","publisher":"Lawrence &amp;amp; Wishart Ltd.","source":"go-gale-com.ezphost.dur.ac.uk","title":"'Redlining' the British city.","volume":"28","author":[{"family":"Wetherell","given":"Sam"}],"issued":{"date-parts":[["2020",6,22]]}},"suppress-author":true}],"schema":"https://github.com/citation-style-language/schema/raw/master/csl-citation.json"} </w:instrText>
      </w:r>
      <w:r w:rsidRPr="00662E51">
        <w:rPr>
          <w:bCs/>
          <w:iCs/>
          <w:szCs w:val="24"/>
        </w:rPr>
        <w:fldChar w:fldCharType="separate"/>
      </w:r>
      <w:r w:rsidRPr="00662E51">
        <w:rPr>
          <w:szCs w:val="24"/>
        </w:rPr>
        <w:t>(2020)</w:t>
      </w:r>
      <w:r w:rsidRPr="00662E51">
        <w:rPr>
          <w:bCs/>
          <w:iCs/>
          <w:szCs w:val="24"/>
        </w:rPr>
        <w:fldChar w:fldCharType="end"/>
      </w:r>
      <w:r w:rsidRPr="00662E51">
        <w:rPr>
          <w:bCs/>
          <w:iCs/>
          <w:szCs w:val="24"/>
        </w:rPr>
        <w:t xml:space="preserve">, this is a British form of redlining: the systematic financial discrimination of areas of racialised minorities. </w:t>
      </w:r>
      <w:r w:rsidR="00406051" w:rsidRPr="00662E51">
        <w:rPr>
          <w:bCs/>
          <w:iCs/>
          <w:szCs w:val="24"/>
        </w:rPr>
        <w:t xml:space="preserve">Although redlining is a uniquely American form of housing discrimination </w:t>
      </w:r>
      <w:r w:rsidR="005156B3" w:rsidRPr="00662E51">
        <w:rPr>
          <w:bCs/>
          <w:iCs/>
          <w:szCs w:val="24"/>
        </w:rPr>
        <w:t xml:space="preserve">that does not neatly map on to the British case </w:t>
      </w:r>
      <w:r w:rsidR="00D071F0" w:rsidRPr="00662E51">
        <w:rPr>
          <w:bCs/>
          <w:iCs/>
          <w:szCs w:val="24"/>
        </w:rPr>
        <w:fldChar w:fldCharType="begin"/>
      </w:r>
      <w:r w:rsidR="008835AB" w:rsidRPr="00662E51">
        <w:rPr>
          <w:bCs/>
          <w:iCs/>
          <w:szCs w:val="24"/>
        </w:rPr>
        <w:instrText xml:space="preserve"> ADDIN ZOTERO_ITEM CSL_CITATION {"citationID":"EaTfWVh0","properties":{"formattedCitation":"(see Rothstein 2017)","plainCitation":"(see Rothstein 2017)","noteIndex":0},"citationItems":[{"id":7094,"uris":["http://zotero.org/users/8977980/items/9P5E7LXD"],"itemData":{"id":7094,"type":"book","abstract":"In this groundbreaking history of the modern American metropolis, Richard Rothstein, a leading authority on housing policy, explodes the myth that America’s cities came to be racially divided through de facto segregation―that is, through individual prejudices, income differences, or the actions of private institutions like banks and real estate agencies. Rather, The Color of Law incontrovertibly makes clear that it was de jure segregation―the laws and policy decisions passed by local, state, and federal governments―that actually promoted the discriminatory patterns that continue to this day.Through extraordinary revelations and extensive research that Ta-Nehisi Coates has lauded as \"brilliant\" (The Atlantic), Rothstein comes to chronicle nothing less than an untold story that begins in the 1920s, showing how this process of de jure segregation began with explicit racial zoning, as millions of African Americans moved in a great historical migration from the south to the north.As Jane Jacobs established in her classic The Death and Life of Great American Cities, it was the deeply flawed urban planning of the 1950s that created many of the impoverished neighborhoods we know. Now, Rothstein expands our understanding of this history, showing how government policies led to the creation of officially segregated public housing and the demolition of previously integrated neighborhoods. While urban areas rapidly deteriorated, the great American suburbanization of the post–World War II years was spurred on by federal subsidies for builders on the condition that no homes be sold to African Americans. Finally, Rothstein shows how police and prosecutors brutally upheld these standards by supporting violent resistance to black families in white neighborhoods.The Fair Housing Act of 1968 prohibited future discrimination but did nothing to reverse residential patterns that had become deeply embedded. Yet recent outbursts of violence in cities like Baltimore, Ferguson, and Minneapolis show us precisely how the legacy of these earlier eras contributes to persistent racial unrest. “The American landscape will never look the same to readers of this important book” (Sherrilyn Ifill, president of the NAACP Legal Defense Fund), as Rothstein’s invaluable examination shows that only by relearning this history can we finally pave the way for the nation to remedy its unconstitutional past.","ISBN":"978-1-63149-285-3","language":"English","number-of-pages":"368","publisher":"Liveright","publisher-place":"New York","title":"The Color of Law – A Forgotten History of How Our Government Segregated America","author":[{"family":"Rothstein","given":"Richard"}],"issued":{"date-parts":[["2017"]]}},"prefix":"see "}],"schema":"https://github.com/citation-style-language/schema/raw/master/csl-citation.json"} </w:instrText>
      </w:r>
      <w:r w:rsidR="00D071F0" w:rsidRPr="00662E51">
        <w:rPr>
          <w:bCs/>
          <w:iCs/>
          <w:szCs w:val="24"/>
        </w:rPr>
        <w:fldChar w:fldCharType="separate"/>
      </w:r>
      <w:r w:rsidR="00D071F0" w:rsidRPr="00662E51">
        <w:t>(see Rothstein 2017)</w:t>
      </w:r>
      <w:r w:rsidR="00D071F0" w:rsidRPr="00662E51">
        <w:rPr>
          <w:bCs/>
          <w:iCs/>
          <w:szCs w:val="24"/>
        </w:rPr>
        <w:fldChar w:fldCharType="end"/>
      </w:r>
      <w:r w:rsidR="005156B3" w:rsidRPr="00662E51">
        <w:rPr>
          <w:bCs/>
          <w:iCs/>
          <w:szCs w:val="24"/>
        </w:rPr>
        <w:t xml:space="preserve">, </w:t>
      </w:r>
      <w:r w:rsidR="00E77798" w:rsidRPr="00662E51">
        <w:rPr>
          <w:bCs/>
          <w:iCs/>
          <w:szCs w:val="24"/>
        </w:rPr>
        <w:t xml:space="preserve">the scholarship is clear that </w:t>
      </w:r>
      <w:r w:rsidR="00DA6D8A" w:rsidRPr="00662E51">
        <w:rPr>
          <w:bCs/>
          <w:iCs/>
          <w:szCs w:val="24"/>
        </w:rPr>
        <w:t xml:space="preserve">such discrimination </w:t>
      </w:r>
      <w:r w:rsidR="00D071F0" w:rsidRPr="00662E51">
        <w:rPr>
          <w:bCs/>
          <w:iCs/>
          <w:szCs w:val="24"/>
        </w:rPr>
        <w:t xml:space="preserve">is </w:t>
      </w:r>
      <w:r w:rsidR="002271F4" w:rsidRPr="00662E51">
        <w:rPr>
          <w:bCs/>
          <w:iCs/>
          <w:szCs w:val="24"/>
        </w:rPr>
        <w:t xml:space="preserve">a primary driver for the overrepresentation of minoritised ethnics groups in council housing </w:t>
      </w:r>
      <w:r w:rsidRPr="00662E51">
        <w:rPr>
          <w:bCs/>
          <w:iCs/>
          <w:szCs w:val="24"/>
        </w:rPr>
        <w:fldChar w:fldCharType="begin"/>
      </w:r>
      <w:r w:rsidR="008835AB" w:rsidRPr="00662E51">
        <w:rPr>
          <w:bCs/>
          <w:iCs/>
          <w:szCs w:val="24"/>
        </w:rPr>
        <w:instrText xml:space="preserve"> ADDIN ZOTERO_ITEM CSL_CITATION {"citationID":"yeKnW94K","properties":{"formattedCitation":"(Gleeson 2022; Shankley and Finney 2020)","plainCitation":"(Gleeson 2022; Shankley and Finney 2020)","noteIndex":0},"citationItems":[{"id":7037,"uris":["http://zotero.org/users/8977980/items/N6499NPF"],"itemData":{"id":7037,"type":"report","genre":"Housing Research Note","number":"8","publisher":"Greater London Authority","publisher-place":"London","title":"Housing and race equality in London: An analysis of secondary data","URL":"https://www.london.gov.uk/sites/default/files/2023-12/HRN%208%20-%20Housing%20and%20race%20equality%20in%20London.pdf","author":[{"family":"Gleeson","given":"James"}],"accessed":{"date-parts":[["2025",10,9]]},"issued":{"date-parts":[["2022",3]]}}},{"id":4185,"uris":["http://zotero.org/users/8977980/items/D6NDJJY6"],"itemData":{"id":4185,"type":"chapter","container-title":"Ethnicity, race and inequality in the UK: state of the nation","ISBN":"978-1-4473-5126-9","language":"eng","page":"149-166","publisher":"Policy Press","publisher-place":"Bristol, UNITED KINGDOM","source":"K10plus ISBN","title":"Ethnic minorities and housing in Britain","editor":[{"family":"Byrne","given":"Bridget"},{"family":"Alexander","given":"Claire E."},{"family":"Khan","given":"Omar"},{"family":"Nazroo","given":"James"},{"family":"Shankley","given":"William"}],"author":[{"family":"Shankley","given":"William"},{"family":"Finney","given":"Nissa"}],"issued":{"date-parts":[["2020"]]}}}],"schema":"https://github.com/citation-style-language/schema/raw/master/csl-citation.json"} </w:instrText>
      </w:r>
      <w:r w:rsidRPr="00662E51">
        <w:rPr>
          <w:bCs/>
          <w:iCs/>
          <w:szCs w:val="24"/>
        </w:rPr>
        <w:fldChar w:fldCharType="separate"/>
      </w:r>
      <w:r w:rsidRPr="00662E51">
        <w:rPr>
          <w:szCs w:val="24"/>
        </w:rPr>
        <w:t>(Gleeson 2022; Shankley and Finney 2020)</w:t>
      </w:r>
      <w:r w:rsidRPr="00662E51">
        <w:rPr>
          <w:bCs/>
          <w:iCs/>
          <w:szCs w:val="24"/>
        </w:rPr>
        <w:fldChar w:fldCharType="end"/>
      </w:r>
      <w:r w:rsidRPr="00662E51">
        <w:rPr>
          <w:bCs/>
          <w:iCs/>
          <w:szCs w:val="24"/>
        </w:rPr>
        <w:t>.</w:t>
      </w:r>
      <w:r w:rsidR="00FC26C4" w:rsidRPr="00662E51">
        <w:rPr>
          <w:bCs/>
          <w:iCs/>
          <w:szCs w:val="24"/>
        </w:rPr>
        <w:t xml:space="preserve"> </w:t>
      </w:r>
      <w:r w:rsidRPr="00662E51">
        <w:rPr>
          <w:bCs/>
          <w:iCs/>
          <w:szCs w:val="24"/>
        </w:rPr>
        <w:t xml:space="preserve">As such, racism has produced discourses of </w:t>
      </w:r>
      <w:r w:rsidR="00C21741">
        <w:rPr>
          <w:bCs/>
          <w:iCs/>
          <w:szCs w:val="24"/>
        </w:rPr>
        <w:t xml:space="preserve">the ‘undeserving poor’ </w:t>
      </w:r>
      <w:r w:rsidR="00C21741">
        <w:rPr>
          <w:bCs/>
          <w:iCs/>
          <w:szCs w:val="24"/>
        </w:rPr>
        <w:fldChar w:fldCharType="begin"/>
      </w:r>
      <w:r w:rsidR="00C21741">
        <w:rPr>
          <w:bCs/>
          <w:iCs/>
          <w:szCs w:val="24"/>
        </w:rPr>
        <w:instrText xml:space="preserve"> ADDIN ZOTERO_ITEM CSL_CITATION {"citationID":"ZSxl3a4B","properties":{"formattedCitation":"(Katz [1989] 2013)","plainCitation":"(Katz [1989] 2013)","noteIndex":0},"citationItems":[{"id":7087,"uris":["http://zotero.org/users/8977980/items/HET4FXWX"],"itemData":{"id":7087,"type":"book","abstract":"First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light.\n               \n               \n                \n              ,  \n               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light.","edition":"Second Edition","ISBN":"978-0-19-993395-2","number-of-pages":"368","publisher":"Oxford University Press","publisher-place":"Oxford, New York","source":"Oxford University Press","title":"The Undeserving Poor: America's Enduring Confrontation with Poverty: Fully Updated and Revised","title-short":"The Undeserving Poor","author":[{"family":"Katz","given":"Michael B."}],"issued":{"date-parts":[["2013",11,28]]},"original-date":{"date-parts":[["1989"]]}}}],"schema":"https://github.com/citation-style-language/schema/raw/master/csl-citation.json"} </w:instrText>
      </w:r>
      <w:r w:rsidR="00C21741">
        <w:rPr>
          <w:bCs/>
          <w:iCs/>
          <w:szCs w:val="24"/>
        </w:rPr>
        <w:fldChar w:fldCharType="separate"/>
      </w:r>
      <w:r w:rsidR="00C21741" w:rsidRPr="00C21741">
        <w:t>(Katz [1989] 2013)</w:t>
      </w:r>
      <w:r w:rsidR="00C21741">
        <w:rPr>
          <w:bCs/>
          <w:iCs/>
          <w:szCs w:val="24"/>
        </w:rPr>
        <w:fldChar w:fldCharType="end"/>
      </w:r>
      <w:r w:rsidR="00C21741">
        <w:rPr>
          <w:bCs/>
          <w:iCs/>
          <w:szCs w:val="24"/>
        </w:rPr>
        <w:t xml:space="preserve">, and </w:t>
      </w:r>
      <w:r w:rsidRPr="00662E51">
        <w:rPr>
          <w:bCs/>
          <w:iCs/>
          <w:szCs w:val="24"/>
        </w:rPr>
        <w:t xml:space="preserve">‘problem people’ and ‘problem places’ </w:t>
      </w:r>
      <w:r w:rsidRPr="00662E51">
        <w:rPr>
          <w:bCs/>
          <w:iCs/>
          <w:szCs w:val="24"/>
        </w:rPr>
        <w:fldChar w:fldCharType="begin"/>
      </w:r>
      <w:r w:rsidR="00213B80">
        <w:rPr>
          <w:bCs/>
          <w:iCs/>
          <w:szCs w:val="24"/>
        </w:rPr>
        <w:instrText xml:space="preserve"> ADDIN ZOTERO_ITEM CSL_CITATION {"citationID":"DhFA9YN1","properties":{"formattedCitation":"(C. Johnston and Mooney 2007)","plainCitation":"(C. Johnston and Mooney 2007)","noteIndex":0},"citationItems":[{"id":4027,"uris":["http://zotero.org/users/8977980/items/8HIRKD7J"],"itemData":{"id":4027,"type":"chapter","container-title":"Securing an Urban Renaissance","ISBN":"978-1-84742-247-7","publisher":"Policy Press","publisher-place":"Bristol, UNITED KINGDOM","source":"ProQuest Ebook Central","title":"‘Problem’ people, ‘problem’ places? New Labour and council estates","URL":"http://ebookcentral.proquest.com/lib/durham/detail.action?docID=419289","editor":[{"family":"Atkinson","given":"Rowland"},{"family":"Helms","given":"Gesma"}],"author":[{"family":"Johnston","given":"Charlie"},{"family":"Mooney","given":"Gerry"}],"accessed":{"date-parts":[["2023",3,15]]},"issued":{"date-parts":[["2007"]]}}}],"schema":"https://github.com/citation-style-language/schema/raw/master/csl-citation.json"} </w:instrText>
      </w:r>
      <w:r w:rsidRPr="00662E51">
        <w:rPr>
          <w:bCs/>
          <w:iCs/>
          <w:szCs w:val="24"/>
        </w:rPr>
        <w:fldChar w:fldCharType="separate"/>
      </w:r>
      <w:r w:rsidR="00213B80" w:rsidRPr="00213B80">
        <w:t>(C. Johnston and Mooney 2007)</w:t>
      </w:r>
      <w:r w:rsidRPr="00662E51">
        <w:rPr>
          <w:bCs/>
          <w:iCs/>
          <w:szCs w:val="24"/>
        </w:rPr>
        <w:fldChar w:fldCharType="end"/>
      </w:r>
      <w:r w:rsidRPr="00662E51">
        <w:rPr>
          <w:bCs/>
          <w:iCs/>
          <w:szCs w:val="24"/>
        </w:rPr>
        <w:t xml:space="preserve"> that continue to depict council homes as places of disrepute. As discussed above with the ‘chav,’ these discourses intersect with those of class, thus continually reinforce existing ethnically discriminatory practices and territorial stigma (Wacquant et al. 2014).</w:t>
      </w:r>
    </w:p>
    <w:p w14:paraId="03B4F32D" w14:textId="4D4DE5D3" w:rsidR="00CA6F09" w:rsidRPr="00662E51" w:rsidRDefault="00CA6F09" w:rsidP="00FA41E7">
      <w:pPr>
        <w:spacing w:line="360" w:lineRule="auto"/>
        <w:ind w:left="0" w:firstLine="720"/>
        <w:contextualSpacing/>
        <w:rPr>
          <w:bCs/>
          <w:iCs/>
          <w:szCs w:val="24"/>
        </w:rPr>
      </w:pPr>
      <w:r w:rsidRPr="00662E51">
        <w:rPr>
          <w:bCs/>
          <w:iCs/>
          <w:szCs w:val="24"/>
        </w:rPr>
        <w:t xml:space="preserve">Disproportionate effects on minoritised ethnic groups do not stop here, however. Lukes et al. </w:t>
      </w:r>
      <w:r w:rsidRPr="00662E51">
        <w:rPr>
          <w:bCs/>
          <w:iCs/>
          <w:szCs w:val="24"/>
        </w:rPr>
        <w:fldChar w:fldCharType="begin"/>
      </w:r>
      <w:r w:rsidR="008835AB" w:rsidRPr="00662E51">
        <w:rPr>
          <w:bCs/>
          <w:iCs/>
          <w:szCs w:val="24"/>
        </w:rPr>
        <w:instrText xml:space="preserve"> ADDIN ZOTERO_ITEM CSL_CITATION {"citationID":"ueJ1vHfP","properties":{"formattedCitation":"(2019)","plainCitation":"(2019)","noteIndex":0},"citationItems":[{"id":4187,"uris":["http://zotero.org/users/8977980/items/WKWRRJBC"],"itemData":{"id":4187,"type":"article-journal","abstract":"This paper aims to identify housing disadvantages faced by migrants and ethnic minorities; the legal, policy and market forces that shape them; how they have developed over time; how they are manifest nationally and locally; and how they are being responded to locally by those concerned with mitigating them. The paper thereby intends to provide a foundation to inform future research and policy and to engage with local actors to develop ways of overcoming migrant housing disadvantage and challenging discrimination. The paper finds that the interplay of legal changes, which have increasingly differentiated migrants since the 1940s, and shifting housing markets, has driven exclusion of migrants and minorities such that considerable disadvantage is revealed by analysis of census data. However, attention to local specificity provides evidence of positive responses. Examples are presented in relation to access to affordable housing, enactment of homelessness duties and community actions. Methodologically, this paper highlights the importance of simultaneous consideration of migration and ethnicity as markers of difference and exclusion, and the potential of co-production approaches for socially meaningful research concerned with inequalities.","container-title":"Journal of Ethnic and Migration Studies","DOI":"10.1080/1369183X.2018.1480996","ISSN":"1369-183X","issue":"17","note":"_eprint: https://doi.org/10.1080/1369183X.2018.1480996","page":"3188-3206","publisher":"Routledge","source":"Taylor and Francis+NEJM","title":"Slippery discrimination: a review of the drivers of migrant and minority housing disadvantage","title-short":"Slippery discrimination","volume":"45","author":[{"family":"Lukes","given":"Sue"},{"family":"Noronha","given":"Nigel","non-dropping-particle":"de"},{"family":"Finney","given":"Nissa"}],"issued":{"date-parts":[["2019",12,10]]}},"suppress-author":true}],"schema":"https://github.com/citation-style-language/schema/raw/master/csl-citation.json"} </w:instrText>
      </w:r>
      <w:r w:rsidRPr="00662E51">
        <w:rPr>
          <w:bCs/>
          <w:iCs/>
          <w:szCs w:val="24"/>
        </w:rPr>
        <w:fldChar w:fldCharType="separate"/>
      </w:r>
      <w:r w:rsidRPr="00662E51">
        <w:rPr>
          <w:szCs w:val="24"/>
        </w:rPr>
        <w:t>(2019)</w:t>
      </w:r>
      <w:r w:rsidRPr="00662E51">
        <w:rPr>
          <w:bCs/>
          <w:iCs/>
          <w:szCs w:val="24"/>
        </w:rPr>
        <w:fldChar w:fldCharType="end"/>
      </w:r>
      <w:r w:rsidRPr="00662E51">
        <w:rPr>
          <w:bCs/>
          <w:iCs/>
          <w:szCs w:val="24"/>
        </w:rPr>
        <w:t xml:space="preserve"> outline both a system of regressive laws that disadvantage</w:t>
      </w:r>
      <w:r w:rsidR="007075B7">
        <w:rPr>
          <w:bCs/>
          <w:iCs/>
          <w:szCs w:val="24"/>
        </w:rPr>
        <w:t xml:space="preserve"> contemporary</w:t>
      </w:r>
      <w:r w:rsidRPr="00662E51">
        <w:rPr>
          <w:bCs/>
          <w:iCs/>
          <w:szCs w:val="24"/>
        </w:rPr>
        <w:t xml:space="preserve"> migrants (frequently racialised minorities) but also the incorrect application of those laws across multiple scales. Landlords often illegally refuse migrants homes, for instance, meaning that the council ends up housing such groups. </w:t>
      </w:r>
      <w:r w:rsidR="00FA41E7">
        <w:rPr>
          <w:bCs/>
          <w:iCs/>
          <w:szCs w:val="24"/>
        </w:rPr>
        <w:t xml:space="preserve">Asylum seekers </w:t>
      </w:r>
      <w:r w:rsidR="00ED778A">
        <w:rPr>
          <w:bCs/>
          <w:iCs/>
          <w:szCs w:val="24"/>
        </w:rPr>
        <w:t>similarly suffer from a lack of social housing supply, meaning they are often housed in temporary, inadequate, or unsafe and inappropriate housing.</w:t>
      </w:r>
      <w:r w:rsidR="002D2AB6">
        <w:rPr>
          <w:bCs/>
          <w:iCs/>
          <w:szCs w:val="24"/>
        </w:rPr>
        <w:t xml:space="preserve"> This housing is dispersed into communities, meaning </w:t>
      </w:r>
      <w:r w:rsidR="00331E35">
        <w:rPr>
          <w:bCs/>
          <w:iCs/>
          <w:szCs w:val="24"/>
        </w:rPr>
        <w:t>that individual asylum seekers are often placed in areas without existing support networks</w:t>
      </w:r>
      <w:r w:rsidR="003C5034">
        <w:rPr>
          <w:bCs/>
          <w:iCs/>
          <w:szCs w:val="24"/>
        </w:rPr>
        <w:t>, that had little experience accommodating diverse newcomers, and were already deprived</w:t>
      </w:r>
      <w:r w:rsidR="00AB1A63">
        <w:rPr>
          <w:bCs/>
          <w:iCs/>
          <w:szCs w:val="24"/>
        </w:rPr>
        <w:t xml:space="preserve">. </w:t>
      </w:r>
      <w:r w:rsidR="00ED778A">
        <w:rPr>
          <w:bCs/>
          <w:iCs/>
          <w:szCs w:val="24"/>
        </w:rPr>
        <w:t>Simultaneously, where asylum seekers are eventually able to access social homes</w:t>
      </w:r>
      <w:r w:rsidR="000A3127">
        <w:rPr>
          <w:bCs/>
          <w:iCs/>
          <w:szCs w:val="24"/>
        </w:rPr>
        <w:t xml:space="preserve">, there has been some strain on such homes—largely stemming from </w:t>
      </w:r>
      <w:r w:rsidR="00323876">
        <w:rPr>
          <w:bCs/>
          <w:iCs/>
          <w:szCs w:val="24"/>
        </w:rPr>
        <w:t xml:space="preserve">a combination of high rents in the private sector and general poverty </w:t>
      </w:r>
      <w:r w:rsidR="00323876">
        <w:rPr>
          <w:bCs/>
          <w:iCs/>
          <w:szCs w:val="24"/>
        </w:rPr>
        <w:fldChar w:fldCharType="begin"/>
      </w:r>
      <w:r w:rsidR="00323876">
        <w:rPr>
          <w:bCs/>
          <w:iCs/>
          <w:szCs w:val="24"/>
        </w:rPr>
        <w:instrText xml:space="preserve"> ADDIN ZOTERO_ITEM CSL_CITATION {"citationID":"DwzqPzGT","properties":{"formattedCitation":"(Brown et al. 2024)","plainCitation":"(Brown et al. 2024)","noteIndex":0},"citationItems":[{"id":7189,"uris":["http://zotero.org/users/8977980/items/IZN28GY2"],"itemData":{"id":7189,"type":"article-journal","abstract":"Housing has always had a close association with refugees but despite this, the knowledge base about housing and its impact in the lives of refugees lacks cohesion. The accommodation of refugees tends to be connected with broader neo-liberal trends, alongside a general animosity towards refugees, culminating in an overt, or implied, ‘hostile environment’. This paper synthesises the available evidence to understand several key issues in the settlement of refugees, including: the role and impact of housing systems and policies, the impact of housing quality, tenure, housing support workers and how the diversity of the refugee population is reflected in the evidence. We also point towards gaps in the knowledge base and call for housing studies scholars to focus on the plight faced by refugees in order to help challenge the wider structural inequalities which constrain their lives. In this discussion, our focus is the United Kingdom (UK), although the paper draws on literature from a wider international perspective.","container-title":"Housing Studies","DOI":"10.1080/02673037.2022.2045007","ISSN":"0267-3037","issue":"1","note":"_eprint: https://doi.org/10.1080/02673037.2022.2045007","page":"227-271","publisher":"Routledge","source":"Taylor and Francis+NEJM","title":"The impact of housing on refugees: an evidence synthesis","title-short":"The impact of housing on refugees","volume":"39","author":[{"family":"Brown","given":"Philip"},{"family":"Gill","given":"Santokh"},{"family":"Halsall","given":"Jamie P."}],"issued":{"date-parts":[["2024",1,2]]}}}],"schema":"https://github.com/citation-style-language/schema/raw/master/csl-citation.json"} </w:instrText>
      </w:r>
      <w:r w:rsidR="00323876">
        <w:rPr>
          <w:bCs/>
          <w:iCs/>
          <w:szCs w:val="24"/>
        </w:rPr>
        <w:fldChar w:fldCharType="separate"/>
      </w:r>
      <w:r w:rsidR="00323876" w:rsidRPr="00323876">
        <w:t>(Brown et al. 2024)</w:t>
      </w:r>
      <w:r w:rsidR="00323876">
        <w:rPr>
          <w:bCs/>
          <w:iCs/>
          <w:szCs w:val="24"/>
        </w:rPr>
        <w:fldChar w:fldCharType="end"/>
      </w:r>
      <w:r w:rsidR="00C85A35">
        <w:rPr>
          <w:bCs/>
          <w:iCs/>
          <w:szCs w:val="24"/>
        </w:rPr>
        <w:t>.</w:t>
      </w:r>
      <w:r w:rsidR="000E3B2B">
        <w:rPr>
          <w:bCs/>
          <w:iCs/>
          <w:szCs w:val="24"/>
        </w:rPr>
        <w:t xml:space="preserve"> </w:t>
      </w:r>
      <w:r w:rsidR="00B67EED">
        <w:rPr>
          <w:bCs/>
          <w:iCs/>
          <w:szCs w:val="24"/>
        </w:rPr>
        <w:t xml:space="preserve">While these policies are not </w:t>
      </w:r>
      <w:r w:rsidR="00B011EB">
        <w:rPr>
          <w:bCs/>
          <w:iCs/>
          <w:szCs w:val="24"/>
        </w:rPr>
        <w:t xml:space="preserve">specifically </w:t>
      </w:r>
      <w:r w:rsidR="00B67EED">
        <w:rPr>
          <w:bCs/>
          <w:iCs/>
          <w:szCs w:val="24"/>
        </w:rPr>
        <w:t>about council homes</w:t>
      </w:r>
      <w:r w:rsidR="005B29A1">
        <w:rPr>
          <w:bCs/>
          <w:iCs/>
          <w:szCs w:val="24"/>
        </w:rPr>
        <w:t xml:space="preserve"> (as </w:t>
      </w:r>
      <w:r w:rsidR="005B29A1">
        <w:rPr>
          <w:bCs/>
          <w:iCs/>
          <w:szCs w:val="24"/>
        </w:rPr>
        <w:lastRenderedPageBreak/>
        <w:t>asylum seekers cannot access social homes until after their cla</w:t>
      </w:r>
      <w:r w:rsidR="008356CA">
        <w:rPr>
          <w:bCs/>
          <w:iCs/>
          <w:szCs w:val="24"/>
        </w:rPr>
        <w:t>i</w:t>
      </w:r>
      <w:r w:rsidR="005B29A1">
        <w:rPr>
          <w:bCs/>
          <w:iCs/>
          <w:szCs w:val="24"/>
        </w:rPr>
        <w:t>ms are successful),</w:t>
      </w:r>
      <w:r w:rsidR="002B6A81">
        <w:rPr>
          <w:bCs/>
          <w:iCs/>
          <w:szCs w:val="24"/>
        </w:rPr>
        <w:t xml:space="preserve"> they reflect systematic racialised biases within the system. </w:t>
      </w:r>
      <w:r w:rsidR="000E3B2B">
        <w:rPr>
          <w:bCs/>
          <w:iCs/>
          <w:szCs w:val="24"/>
        </w:rPr>
        <w:t xml:space="preserve">The local scale matters here, too, with some councils refusing </w:t>
      </w:r>
      <w:r w:rsidR="00085CF4">
        <w:rPr>
          <w:bCs/>
          <w:iCs/>
          <w:szCs w:val="24"/>
        </w:rPr>
        <w:t xml:space="preserve">to house asylum seekers </w:t>
      </w:r>
      <w:r w:rsidR="00085CF4">
        <w:rPr>
          <w:bCs/>
          <w:iCs/>
          <w:szCs w:val="24"/>
        </w:rPr>
        <w:fldChar w:fldCharType="begin"/>
      </w:r>
      <w:r w:rsidR="00085CF4">
        <w:rPr>
          <w:bCs/>
          <w:iCs/>
          <w:szCs w:val="24"/>
        </w:rPr>
        <w:instrText xml:space="preserve"> ADDIN ZOTERO_ITEM CSL_CITATION {"citationID":"7jWn2WEk","properties":{"formattedCitation":"({\\i{}BBC News} 2021)","plainCitation":"(BBC News 2021)","noteIndex":0},"citationItems":[{"id":7190,"uris":["http://zotero.org/users/8977980/items/BAQAL58R"],"itemData":{"id":7190,"type":"article-newspaper","abstract":"Seven West Midlands authorities say they have \"carried the burden\" of the scheme for years.","container-title":"BBC News","language":"en-GB","section":"England","source":"www.bbc.co.uk","title":"West Midlands councils stop resettling refugees amid court bid","URL":"https://www.bbc.co.uk/news/uk-england-58582874","accessed":{"date-parts":[["2026",2,2]]},"issued":{"date-parts":[["2021",9,16]]}}}],"schema":"https://github.com/citation-style-language/schema/raw/master/csl-citation.json"} </w:instrText>
      </w:r>
      <w:r w:rsidR="00085CF4">
        <w:rPr>
          <w:bCs/>
          <w:iCs/>
          <w:szCs w:val="24"/>
        </w:rPr>
        <w:fldChar w:fldCharType="separate"/>
      </w:r>
      <w:r w:rsidR="00085CF4" w:rsidRPr="00085CF4">
        <w:rPr>
          <w:rFonts w:cs="Times New Roman"/>
          <w:kern w:val="0"/>
        </w:rPr>
        <w:t>(</w:t>
      </w:r>
      <w:r w:rsidR="00085CF4" w:rsidRPr="00085CF4">
        <w:rPr>
          <w:rFonts w:cs="Times New Roman"/>
          <w:i/>
          <w:iCs/>
          <w:kern w:val="0"/>
        </w:rPr>
        <w:t>BBC News</w:t>
      </w:r>
      <w:r w:rsidR="00085CF4" w:rsidRPr="00085CF4">
        <w:rPr>
          <w:rFonts w:cs="Times New Roman"/>
          <w:kern w:val="0"/>
        </w:rPr>
        <w:t xml:space="preserve"> 2021)</w:t>
      </w:r>
      <w:r w:rsidR="00085CF4">
        <w:rPr>
          <w:bCs/>
          <w:iCs/>
          <w:szCs w:val="24"/>
        </w:rPr>
        <w:fldChar w:fldCharType="end"/>
      </w:r>
      <w:r w:rsidR="00085CF4">
        <w:rPr>
          <w:bCs/>
          <w:iCs/>
          <w:szCs w:val="24"/>
        </w:rPr>
        <w:t xml:space="preserve">. </w:t>
      </w:r>
      <w:r w:rsidRPr="00662E51">
        <w:rPr>
          <w:bCs/>
          <w:iCs/>
          <w:szCs w:val="24"/>
        </w:rPr>
        <w:t xml:space="preserve">The residualisation of council housing not only directly impacts ethnic minorities, but also has been a driver of wider institutional racism in housing policy </w:t>
      </w:r>
      <w:r w:rsidRPr="00662E51">
        <w:rPr>
          <w:bCs/>
          <w:iCs/>
          <w:szCs w:val="24"/>
        </w:rPr>
        <w:fldChar w:fldCharType="begin"/>
      </w:r>
      <w:r w:rsidR="008835AB" w:rsidRPr="00662E51">
        <w:rPr>
          <w:bCs/>
          <w:iCs/>
          <w:szCs w:val="24"/>
        </w:rPr>
        <w:instrText xml:space="preserve"> ADDIN ZOTERO_ITEM CSL_CITATION {"citationID":"ITqKK2KM","properties":{"formattedCitation":"(Robinson 2025)","plainCitation":"(Robinson 2025)","noteIndex":0},"citationItems":[{"id":7043,"uris":["http://zotero.org/users/8977980/items/WUWP27WA"],"itemData":{"id":7043,"type":"article-journal","abstract":"Ethnic inequalities in housing in England are entrenched and long-standing. Minority ethnic groups are more likely than the White British population to experience housing disadvantage and deprivation. In recent years, little attention has focused on what steps housing policy is taking to promote race equality. This study fills this gap in knowledge. Focusing on four key housing policy interventions, it traces the policy approach to race equality in England since 2000. A paradigmatic shift is revealed. Previously, policy actively promoted race equality. Inequalities remained but progress was made tackling disadvantage. In contrast, the contemporary policy approach is characterised by non-intervention. This shift is related to the retreat from multiculturalism and increasing influence of postracial notions about the fading legacy of racism, allied with neoliberal understandings of inequality as the product of individual responsibility and choice. In conclusion, the paper calls for research to scrutinise these presumptions and explore whether policy is following a similar trajectory in other countries.","container-title":"Housing Studies","DOI":"10.1080/02673037.2024.2388189","ISSN":"0267-3037","issue":"9","note":"_eprint: https://doi.org/10.1080/02673037.2024.2388189","page":"1967-1988","publisher":"Routledge","source":"Taylor and Francis+NEJM","title":"Race equality in housing: tracing the postracial turn in English housing policy","title-short":"Race equality in housing","volume":"40","author":[{"family":"Robinson","given":"David"}],"issued":{"date-parts":[["2025",9,2]]}}}],"schema":"https://github.com/citation-style-language/schema/raw/master/csl-citation.json"} </w:instrText>
      </w:r>
      <w:r w:rsidRPr="00662E51">
        <w:rPr>
          <w:bCs/>
          <w:iCs/>
          <w:szCs w:val="24"/>
        </w:rPr>
        <w:fldChar w:fldCharType="separate"/>
      </w:r>
      <w:r w:rsidRPr="00662E51">
        <w:rPr>
          <w:szCs w:val="24"/>
        </w:rPr>
        <w:t>(Robinson 2025)</w:t>
      </w:r>
      <w:r w:rsidRPr="00662E51">
        <w:rPr>
          <w:bCs/>
          <w:iCs/>
          <w:szCs w:val="24"/>
        </w:rPr>
        <w:fldChar w:fldCharType="end"/>
      </w:r>
      <w:r w:rsidRPr="00662E51">
        <w:rPr>
          <w:bCs/>
          <w:iCs/>
          <w:szCs w:val="24"/>
        </w:rPr>
        <w:t xml:space="preserve">. More relevantly, regeneration and state-led gentrification often target areas with higher rates of ethnic minority residents, as such places are depicted as deprived </w:t>
      </w:r>
      <w:r w:rsidRPr="00662E51">
        <w:rPr>
          <w:bCs/>
          <w:iCs/>
          <w:szCs w:val="24"/>
        </w:rPr>
        <w:fldChar w:fldCharType="begin"/>
      </w:r>
      <w:r w:rsidR="008835AB" w:rsidRPr="00662E51">
        <w:rPr>
          <w:bCs/>
          <w:iCs/>
          <w:szCs w:val="24"/>
        </w:rPr>
        <w:instrText xml:space="preserve"> ADDIN ZOTERO_ITEM CSL_CITATION {"citationID":"RPGNeDx1","properties":{"formattedCitation":"(Shankley and Finney 2020)","plainCitation":"(Shankley and Finney 2020)","noteIndex":0},"citationItems":[{"id":4185,"uris":["http://zotero.org/users/8977980/items/D6NDJJY6"],"itemData":{"id":4185,"type":"chapter","container-title":"Ethnicity, race and inequality in the UK: state of the nation","ISBN":"978-1-4473-5126-9","language":"eng","page":"149-166","publisher":"Policy Press","publisher-place":"Bristol, UNITED KINGDOM","source":"K10plus ISBN","title":"Ethnic minorities and housing in Britain","editor":[{"family":"Byrne","given":"Bridget"},{"family":"Alexander","given":"Claire E."},{"family":"Khan","given":"Omar"},{"family":"Nazroo","given":"James"},{"family":"Shankley","given":"William"}],"author":[{"family":"Shankley","given":"William"},{"family":"Finney","given":"Nissa"}],"issued":{"date-parts":[["2020"]]}}}],"schema":"https://github.com/citation-style-language/schema/raw/master/csl-citation.json"} </w:instrText>
      </w:r>
      <w:r w:rsidRPr="00662E51">
        <w:rPr>
          <w:bCs/>
          <w:iCs/>
          <w:szCs w:val="24"/>
        </w:rPr>
        <w:fldChar w:fldCharType="separate"/>
      </w:r>
      <w:r w:rsidRPr="00662E51">
        <w:rPr>
          <w:szCs w:val="24"/>
        </w:rPr>
        <w:t>(Shankley and Finney 2020)</w:t>
      </w:r>
      <w:r w:rsidRPr="00662E51">
        <w:rPr>
          <w:bCs/>
          <w:iCs/>
          <w:szCs w:val="24"/>
        </w:rPr>
        <w:fldChar w:fldCharType="end"/>
      </w:r>
      <w:r w:rsidRPr="00662E51">
        <w:rPr>
          <w:bCs/>
          <w:iCs/>
          <w:szCs w:val="24"/>
        </w:rPr>
        <w:t xml:space="preserve">. Indeed, race and state-led gentrification go hand-in-hand in contemporary London. The disproportionate impact of regeneration on minoritised ethnic Londoners is intertwined with continuing processes of capitalist accumulation—insofar as racism and capitalism are interdependent </w:t>
      </w:r>
      <w:r w:rsidRPr="00662E51">
        <w:rPr>
          <w:bCs/>
          <w:iCs/>
          <w:szCs w:val="24"/>
        </w:rPr>
        <w:fldChar w:fldCharType="begin"/>
      </w:r>
      <w:r w:rsidR="008835AB" w:rsidRPr="00662E51">
        <w:rPr>
          <w:bCs/>
          <w:iCs/>
          <w:szCs w:val="24"/>
        </w:rPr>
        <w:instrText xml:space="preserve"> ADDIN ZOTERO_ITEM CSL_CITATION {"citationID":"rq31nkTL","properties":{"formattedCitation":"(Lees and Hubbard 2022; Penny and Horton 2024)","plainCitation":"(Lees and Hubbard 2022; Penny and Horton 2024)","noteIndex":0},"citationItems":[{"id":2758,"uris":["http://zotero.org/users/8977980/items/3IEJLJZ9"],"itemData":{"id":2758,"type":"article-journal","abstract":"Since 1997, over 50,000 homes have been demolished to allow for the “renewal” of council estates in London. This has involved the “decanting” of short and long-term tenants, as well as those lease­ holders who bought their homes under “right to buy” legislation. Often described as “social cleansing”, the racialized dimensions of these displacements remain under-explored despite asizable litera­ ture documenting the connections between race, place and statesubsidized housing in Britain. Drawing on interviews with Black, Asian, and Minority Ethnic estate residents– including many active in housing movements– this paper shows that this displacement is understood in relation to histories of racial discrimination, the destruction of ethno-cultural infrastructures, and long-stand­ ing racialized inequalities. These themes resonate with apolitics of resistance grounded in aracialized class consciousness that seeks to intervene more broadly in the politics of capital and the state.","container-title":"Housing, Theory and Society","DOI":"10.1080/14036096.2021.1959392","ISSN":"1403-6096, 1651-2278","issue":"3","journalAbbreviation":"Housing, Theory and Society","language":"en","page":"341-358","source":"DOI.org (Crossref)","title":"“So, Don’t You Want Us Here No More?” Slow Violence, Frustrated Hope, and Racialized Struggle on London’s Council Estates","title-short":"“So, Don’t You Want Us Here No More?","volume":"39","author":[{"family":"Lees","given":"Loretta"},{"family":"Hubbard","given":"Phil"}],"issued":{"date-parts":[["2022",5,27]]}}},{"id":6159,"uris":["http://zotero.org/users/8977980/items/IZ9GNASG"],"itemData":{"id":6159,"type":"article-journal","abstract":"Internationally, speculative real estate development has become an increasingly central means for states to raise revenue and to govern urban space. This ‘speculative city’ regime is a product of the economic dominance of property investment and the financialisation of urban land; of state transformation across different scales; and of racialised hierarchies of urban citizenship. Challenging these forces is difficult. But, drawing on research in Tottenham, we identify how a broad community coalition successfully disrupted the speculative city – through a combination of tactics within and against the state. The ‘StopHDV’ campaign offers insights for actors seeking to contest racialised speculative urbanism.","container-title":"Finance and Space","DOI":"10.1080/2833115X.2024.2407334","ISSN":"null","issue":"1","note":"_eprint: https://doi.org/10.1080/2833115X.2024.2407334","page":"406-412","publisher":"Routledge","source":"Taylor and Francis+NEJM","title":"Race, resistance and the speculative city: reflections from London","title-short":"Race, resistance and the speculative city","volume":"1","author":[{"family":"Penny","given":"Joe"},{"family":"Horton","given":"Amy"}],"issued":{"date-parts":[["2024",12,31]]}}}],"schema":"https://github.com/citation-style-language/schema/raw/master/csl-citation.json"} </w:instrText>
      </w:r>
      <w:r w:rsidRPr="00662E51">
        <w:rPr>
          <w:bCs/>
          <w:iCs/>
          <w:szCs w:val="24"/>
        </w:rPr>
        <w:fldChar w:fldCharType="separate"/>
      </w:r>
      <w:r w:rsidRPr="00662E51">
        <w:rPr>
          <w:szCs w:val="24"/>
        </w:rPr>
        <w:t>(Lees and Hubbard 2022; Penny and Horton 2024)</w:t>
      </w:r>
      <w:r w:rsidRPr="00662E51">
        <w:rPr>
          <w:bCs/>
          <w:iCs/>
          <w:szCs w:val="24"/>
        </w:rPr>
        <w:fldChar w:fldCharType="end"/>
      </w:r>
      <w:r w:rsidRPr="00662E51">
        <w:rPr>
          <w:bCs/>
          <w:iCs/>
          <w:szCs w:val="24"/>
        </w:rPr>
        <w:t xml:space="preserve">. Scholars have found similar links between racism and police violence in council housing </w:t>
      </w:r>
      <w:r w:rsidRPr="00662E51">
        <w:rPr>
          <w:bCs/>
          <w:iCs/>
          <w:szCs w:val="24"/>
        </w:rPr>
        <w:fldChar w:fldCharType="begin"/>
      </w:r>
      <w:r w:rsidR="00F15CF8">
        <w:rPr>
          <w:bCs/>
          <w:iCs/>
          <w:szCs w:val="24"/>
        </w:rPr>
        <w:instrText xml:space="preserve"> ADDIN ZOTERO_ITEM CSL_CITATION {"citationID":"PxTnfCib","properties":{"formattedCitation":"(Perera 2019a, 2019b)","plainCitation":"(Perera 2019a, 2019b)","noteIndex":0},"citationItems":[{"id":3141,"uris":["http://zotero.org/users/8977980/items/CB3BBSPP"],"itemData":{"id":3141,"type":"report","language":"en","number":"12","publisher":"Institute of Race Relations","publisher-place":"London","source":"Zotero","title":"The London Clearances: Race, Housing and Policing","URL":"https://irr.org.uk/wp-content/uploads/2020/09/The-London-Clearances-Race-Housing-and-Policing-1.pdf","author":[{"family":"Perera","given":"Jessica"}],"issued":{"date-parts":[["2019"]]}}},{"id":4590,"uris":["http://zotero.org/users/8977980/items/3LU2NP77"],"itemData":{"id":4590,"type":"post-weblog","abstract":"With regeneration looming large over Tottenham, north London, IRR interviews young activist Tash Bonner who is fighting back.  Tottenham in many respects has been unable to heal from both the murder of Mark Duggan and the uprisings of 2011 because rather than the state dealing with both of these matters and investing in the community,Read More...","container-title":"Institute of Race Relations","language":"en-GB","title":"This is ‘Grenfell Britain’, where if a fire does not get you, demolition will","URL":"https://irr.org.uk/article/this-is-grenfell-britain-where-if-a-fire-does-not-get-you-demolition-will/","author":[{"family":"Perera","given":"Jessica"}],"accessed":{"date-parts":[["2023",7,12]]},"issued":{"date-parts":[["2019",5,9]]}}}],"schema":"https://github.com/citation-style-language/schema/raw/master/csl-citation.json"} </w:instrText>
      </w:r>
      <w:r w:rsidRPr="00662E51">
        <w:rPr>
          <w:bCs/>
          <w:iCs/>
          <w:szCs w:val="24"/>
        </w:rPr>
        <w:fldChar w:fldCharType="separate"/>
      </w:r>
      <w:r w:rsidR="00F15CF8" w:rsidRPr="00F15CF8">
        <w:t>(Perera 2019a, 2019b)</w:t>
      </w:r>
      <w:r w:rsidRPr="00662E51">
        <w:rPr>
          <w:bCs/>
          <w:iCs/>
          <w:szCs w:val="24"/>
        </w:rPr>
        <w:fldChar w:fldCharType="end"/>
      </w:r>
      <w:r w:rsidRPr="00662E51">
        <w:rPr>
          <w:bCs/>
          <w:iCs/>
          <w:szCs w:val="24"/>
        </w:rPr>
        <w:t xml:space="preserve">. As racialised and stigmatised spaces </w:t>
      </w:r>
      <w:r w:rsidRPr="00662E51">
        <w:rPr>
          <w:bCs/>
          <w:iCs/>
          <w:szCs w:val="24"/>
        </w:rPr>
        <w:fldChar w:fldCharType="begin"/>
      </w:r>
      <w:r w:rsidR="001B2CAA">
        <w:rPr>
          <w:bCs/>
          <w:iCs/>
          <w:szCs w:val="24"/>
        </w:rPr>
        <w:instrText xml:space="preserve"> ADDIN ZOTERO_ITEM CSL_CITATION {"citationID":"pZYMLGdi","properties":{"formattedCitation":"(Slater 2016, 2018b; Wacquant et al. 2014)","plainCitation":"(Slater 2016, 2018b; Wacquant et al. 2014)","noteIndex":0},"citationItems":[{"id":1517,"uris":["http://zotero.org/users/8977980/items/3XU3FD6N"],"itemData":{"id":1517,"type":"chapter","abstract":"Abstract This paper exposes, analyses, and challenges the revanchism (Smith, 1996) exhibited by ruling elites in austerity Britain. After recapitulating the concept of revanchism in its original form, and discussing some critiques and extensions, it scrutinizes the emergence of revanchist political economy in Britain, with particular reference to the UK housing crisis. In order to explain how revanchism has become so ingrained in British society, the paper analyses the production of ignorance via the activation of class and place stigma, where free market think tanks play a crucial role in deflecting attention away from the causes of housing crisis. It is argued that the production of ignorance carves an economic and political path for gentrification on a scale never before seen in the United Kingdom, where speculation, rentier capitalist extraction, and the global circulation of capital in urban land markets is resulting in staggering fortunes for those expropriating socially created use values.","collection-title":"Research in Political Economy","container-title":"Risking Capitalism","DOI":"10.1108/S0161-723020160000031001","ISBN":"978-1-78635-235-4","page":"23-48","publisher":"Emerald Group Publishing Limited","source":"Emerald Insight","title":"Revanchism, Stigma, and the Production of Ignorance: Housing Struggles in Austerity Britain","title-short":"Revanchism, Stigma, and the Production of Ignorance","URL":"https://doi.org/10.1108/S0161-723020160000031001","volume":"31","author":[{"family":"Slater","given":"Tom"}],"accessed":{"date-parts":[["2022",9,30]]},"issued":{"date-parts":[["2016",1,1]]}}},{"id":"n0Saldgp/lTrFgxr9","uris":["http://zotero.org/users/8977980/items/G54SJBAX"],"itemData":{"id":"kVZz3fGE/AXxw85sH","type":"article-journal","abstract":"This article explores the history and traces the realisation of a category that was invented by journalists, amplified by free market think tanks and converted into policy doxa (common sense) by politicians in the United Kingdom: the ‘sink estate’. This derogatory designator, signifying social housing estates that supposedly create poverty, family breakdown, worklessness, welfare dependency, antisocial behaviour and personal irresponsibility, has become the symbolic frame justifying current policies towards social housing that have resulted in considerable social suffering and intensified dislocation. The article deploys a conceptual articulation of agnotology (the intentional production of ignorance) with Bourdieu’s theory of symbolic power to understand the institutional arrangements and cognitive systems structuring deeply unequal social relations. Specifically, the highly influential publications on housing by a free market think tank, Policy Exchange, are dissected in order to demonstrate how the activation of territorial stigma has become an instrument of urban politics. The ‘sink estate’, it is argued, is the semantic battering ram in the ideological assault on social housing, deflecting attention away from social housing not only as urgent necessity during a serious crisis of affordability, but as incubator of community, solidarity, shelter and home.","container-title":"The Sociological Review","DOI":"10.1177/0038026118777451","ISSN":"0038-0261","issue":"4","journalAbbreviation":"The Sociological Review","language":"en","note":"publisher: SAGE Publications Ltd","page":"877-897","source":"SAGE Journals","title":"The invention of the ‘sink estate’: Consequential categorisation and the UK housing crisis","title-short":"The invention of the ‘sink estate’","volume":"66","author":[{"family":"Slater","given":"Tom"}],"issued":{"date-parts":[["2018",7,1]]}}},{"id":4557,"uris":["http://zotero.org/users/8977980/items/QNSJUP9M"],"itemData":{"id":4557,"type":"article-journal","abstract":"This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Borges"}],"issued":{"date-parts":[["2014",6,1]]}}}],"schema":"https://github.com/citation-style-language/schema/raw/master/csl-citation.json"} </w:instrText>
      </w:r>
      <w:r w:rsidRPr="00662E51">
        <w:rPr>
          <w:bCs/>
          <w:iCs/>
          <w:szCs w:val="24"/>
        </w:rPr>
        <w:fldChar w:fldCharType="separate"/>
      </w:r>
      <w:r w:rsidR="00F15CF8" w:rsidRPr="00F15CF8">
        <w:t>(Slater 2016, 2018b; Wacquant et al. 2014)</w:t>
      </w:r>
      <w:r w:rsidRPr="00662E51">
        <w:rPr>
          <w:bCs/>
          <w:iCs/>
          <w:szCs w:val="24"/>
        </w:rPr>
        <w:fldChar w:fldCharType="end"/>
      </w:r>
      <w:r w:rsidRPr="00662E51">
        <w:rPr>
          <w:bCs/>
          <w:iCs/>
          <w:szCs w:val="24"/>
        </w:rPr>
        <w:t xml:space="preserve">, council homes are frequent targets for state-led evictions and violence </w:t>
      </w:r>
      <w:r w:rsidRPr="00662E51">
        <w:rPr>
          <w:bCs/>
          <w:szCs w:val="24"/>
        </w:rPr>
        <w:fldChar w:fldCharType="begin"/>
      </w:r>
      <w:r w:rsidR="008835AB" w:rsidRPr="00662E51">
        <w:rPr>
          <w:bCs/>
          <w:szCs w:val="24"/>
        </w:rPr>
        <w:instrText xml:space="preserve"> ADDIN ZOTERO_ITEM CSL_CITATION {"citationID":"UK658mnS","properties":{"formattedCitation":"(Fullilove 2016; Paton and Cooper 2016)","plainCitation":"(Fullilove 2016; Paton and Cooper 2016)","noteIndex":0},"citationItems":[{"id":3876,"uris":["http://zotero.org/users/8977980/items/VTLFA3IS"],"itemData":{"id":3876,"type":"book","abstract":"Root Shock examines 3 different U.S. cities to unmask the crippling results of decades-old disinvestment in communities of color and the urban renewal practices that ultimately destroyed these neighborhoods for the advantage of developers and the elite. Like a sequel to the prescient warnings of urbanist Jane Jacobs, Dr. Mindy Thompson Fullilove reveals the disturbing effects of decades of insensitive urban renewal projects on communities of color. For those whose homes and neighborhoods were bulldozed, the urban modernization projects that swept America starting in 1949 were nothing short of an assault. Vibrant city blocks - places rich in culture - were torn apart by freeways and other invasive development, devastating the lives of poor residents. Fullilove passionately describes the profound traumatic stress- the \"root shock\"that results when a neighborhood is demolished. She estimates that federal and state urban renewal programs, spearheaded by business and real estate interests, destroyed 1,600 African American districts in cities across the United States. But urban renewal didn't just disrupt black communities: it ruined their economic health and social cohesion, stripping displaced residents of their sense of place as well. It also left big gashes in the centers of cities that are only now slowly being repaired. Focusing on the Hill District of Pittsburgh, the Central Ward in Newark, and the small Virginia city of Roanoke, Dr. Fullilove argues powerfully against policies of displacement. Understanding the damage caused by root shock is crucial to coping with its human toll and helping cities become whole. Mindy Thompson Fullilove, MD, is a research psychiatrist at New York State Psychiatric Institute and professor of clinical psychiatry and public health at Columbia University. She is the author of five books, including Urban Alchemy.","ISBN":"978-1-61332-041-9","publisher":"New Village Press","publisher-place":"New York, UNITED STATES","source":"ProQuest Ebook Central","title":"Root Shock: How Tearing up City Neighborhoods Hurts America, and What We Can Do about It","title-short":"Root Shock","URL":"http://ebookcentral.proquest.com/lib/durham/detail.action?docID=5253420","author":[{"family":"Fullilove","given":"Mindy Thompson"}],"accessed":{"date-parts":[["2023",2,17]]},"issued":{"date-parts":[["2016"]]}}},{"id":582,"uris":["http://zotero.org/users/8977980/items/YVT778X3"],"itemData":{"id":582,"type":"article-journal","abstract":"In this paper we show how the form and effects of gentrification have advanced in the post crash, recessionary context. As such, we argue that state-led gentrification contributes to state-led evictions. The cumulative impacts of government cuts and the paradigmatic shift of housing from a social to financialised entity not only increases eviction risk amongst low income households but, through various legal repossession frameworks that prioritise ownership, the state actively endorses it. Given the nature and extent of these changes in housing, we argue that the state-led gentrification has advanced further. Evictions, we argue, are the new urban frontier and this is orchestrated by the state in fundamental ways.","container-title":"Sociological Research Online","DOI":"10.5153/sro.4064","ISSN":"1360-7804","issue":"3","journalAbbreviation":"Sociological Research Online","language":"en","page":"134-140","publisher":"SAGE Publications Ltd","source":"SAGE Journals","title":"It's the State, Stupid: 21st Gentrification and State-Led Evictions","title-short":"It's the State, Stupid","volume":"21","author":[{"family":"Paton","given":"Kirsteen"},{"family":"Cooper","given":"Vickie"}],"issued":{"date-parts":[["2016",8,1]]}}}],"schema":"https://github.com/citation-style-language/schema/raw/master/csl-citation.json"} </w:instrText>
      </w:r>
      <w:r w:rsidRPr="00662E51">
        <w:rPr>
          <w:bCs/>
          <w:szCs w:val="24"/>
        </w:rPr>
        <w:fldChar w:fldCharType="separate"/>
      </w:r>
      <w:r w:rsidRPr="00662E51">
        <w:rPr>
          <w:szCs w:val="24"/>
        </w:rPr>
        <w:t>(Fullilove 2016; Paton and Cooper 2016)</w:t>
      </w:r>
      <w:r w:rsidRPr="00662E51">
        <w:rPr>
          <w:szCs w:val="24"/>
        </w:rPr>
        <w:fldChar w:fldCharType="end"/>
      </w:r>
      <w:r w:rsidRPr="00662E51">
        <w:rPr>
          <w:szCs w:val="24"/>
        </w:rPr>
        <w:t xml:space="preserve">. </w:t>
      </w:r>
      <w:r w:rsidRPr="00662E51">
        <w:rPr>
          <w:bCs/>
          <w:iCs/>
          <w:szCs w:val="24"/>
        </w:rPr>
        <w:t xml:space="preserve">The 2017 Grenfell tragedy revealed other layers of racialised marginalisation. The disaster involved a preventable fire in a council tower block in London, in which 72 residents were victims of ‘social murder’ </w:t>
      </w:r>
      <w:r w:rsidRPr="00662E51">
        <w:rPr>
          <w:bCs/>
          <w:iCs/>
          <w:szCs w:val="24"/>
        </w:rPr>
        <w:fldChar w:fldCharType="begin"/>
      </w:r>
      <w:r w:rsidR="00775F77">
        <w:rPr>
          <w:bCs/>
          <w:iCs/>
          <w:szCs w:val="24"/>
        </w:rPr>
        <w:instrText xml:space="preserve"> ADDIN ZOTERO_ITEM CSL_CITATION {"citationID":"TSiwmzZ6","properties":{"formattedCitation":"(MacLeod 2018; Madden 2017)","plainCitation":"(MacLeod 2018; Madden 2017)","noteIndex":0},"citationItems":[{"id":7187,"uris":["http://zotero.org/users/8977980/items/VFGU2V4Q"],"itemData":{"id":7187,"type":"article-journal","container-title":"City","DOI":"10.1080/13604813.2018.1507099","ISSN":"1360-4813, 1470-3629","issue":"4","journalAbbreviation":"City","language":"en","page":"460-489","source":"DOI.org (Crossref)","title":"The Grenfell Tower atrocity: Exposing urban worlds of inequality, injustice, and an impaired democracy","title-short":"The Grenfell Tower atrocity","volume":"22","author":[{"family":"MacLeod","given":"Gordon"}],"issued":{"date-parts":[["2018",7,4]]}}},{"id":4188,"uris":["http://zotero.org/users/8977980/items/XTW37RI9"],"itemData":{"id":4188,"type":"article-journal","abstract":"Justice for Grenfell. Source: Paul Watt, 2017.‘It is a truly terrifying thought but the Grenfell Action Group firmly believe that only a catastrophic event will expose the ineptitude and incompetence of our landlord … and bring an end to the dangerous living conditions and neglect of health and safety legislation that they inflict upon their tenants and leaseholders.’Grenfell Action Group (2016) ‘Whether explicitly stated or not, every political effort to manage populations involves a tactical distribution of precarity, more often than not articulated through an unequal distribution of precarity, one that depends on dominant norms regarding whose life is grievable and worth protecting and whose life is ungrievable, or marginally or episodically grievable and so, in that sense, already lost in part or in whole, and thus less worthy of protection and sustenance.’Judith Butler (2012, 148) ‘For what may we hope? Kant put this question in the first-person singular along with two others—What can I know? and What ought I to do?—that he thought essentially marked the human condition. With two centuries of philosophical reflection, it seems that these questions are best transposed to the first-person plural … . Radical hope anticipates a good for which those who have the hope as yet lack the appropriate concepts with which to understand it. What would it be for such hope to be justified?’ Jonathan Lear (2006, 103)No one who observed the deadly fire in Grenfell Tower or its chaotic aftermath can doubt that it constituted precisely the catastrophic event that its residents feared. Beginning in the early morning hours of Wednesday, the 14th of June, the 24-storey public housing block in North Kensington, in inner west London, was rapidly consumed by an uncontrollable conflagration. The exact number of fatalities is still being tallied, but as of this writing, at least seventy-nine people have died. Scores of family members and neighbours are missing. Dozens of those who survived are in hospital. Hundreds of people were made homeless and have lost everything.The disorganised and inadequate response by local authorities and the Westminster government spurred protests that resembled a resistance movement. It quickly emerged that tenant and resident organisations, such as the Grenfell Action Group, had been calling attention to the risk of disaster in the building for years. The tower lacked a building-wide alarm or sprinkler system and contained only a single staircase for escape. Recent renovation work may also have contributed to the risk of fire. Rather than being heeded, tenants who raised these concerns were actively threatened by the council. Following the fire, reports suggested that when refurbishing the tower’s exterior cladding, the landlord, the Kensington and Chelsea Tenant Management Organisation, may have opted for substandard, in fact flammable materials in pursuit of cost savings. As this picture emerged, popular outrage grew. Increasingly it seems that the tower’s largely working-class residents had been living with a level of deadly risk that would never have been tolerated for their wealthier neighbours in the Royal Borough of Kensington and Chelsea.","container-title":"City","DOI":"10.1080/13604813.2017.1348743","ISSN":"1360-4813","issue":"1","note":"_eprint: https://doi.org/10.1080/13604813.2017.1348743","page":"1-5","publisher":"Routledge","source":"Taylor and Francis+NEJM","title":"Editorial: A catastrophic event","title-short":"Editorial","volume":"21","author":[{"family":"Madden","given":"David J."}],"issued":{"date-parts":[["2017",1,2]]}}}],"schema":"https://github.com/citation-style-language/schema/raw/master/csl-citation.json"} </w:instrText>
      </w:r>
      <w:r w:rsidRPr="00662E51">
        <w:rPr>
          <w:bCs/>
          <w:iCs/>
          <w:szCs w:val="24"/>
        </w:rPr>
        <w:fldChar w:fldCharType="separate"/>
      </w:r>
      <w:r w:rsidR="00775F77" w:rsidRPr="00775F77">
        <w:t>(MacLeod 2018; Madden 2017)</w:t>
      </w:r>
      <w:r w:rsidRPr="00662E51">
        <w:rPr>
          <w:bCs/>
          <w:iCs/>
          <w:szCs w:val="24"/>
        </w:rPr>
        <w:fldChar w:fldCharType="end"/>
      </w:r>
      <w:r w:rsidRPr="00662E51">
        <w:rPr>
          <w:bCs/>
          <w:iCs/>
          <w:szCs w:val="24"/>
        </w:rPr>
        <w:t xml:space="preserve">. Writing after the tragedy and amidst ongoing activism for justice for the victims, Danewid </w:t>
      </w:r>
      <w:r w:rsidRPr="00662E51">
        <w:rPr>
          <w:bCs/>
          <w:iCs/>
          <w:szCs w:val="24"/>
        </w:rPr>
        <w:fldChar w:fldCharType="begin"/>
      </w:r>
      <w:r w:rsidR="008835AB" w:rsidRPr="00662E51">
        <w:rPr>
          <w:bCs/>
          <w:iCs/>
          <w:szCs w:val="24"/>
        </w:rPr>
        <w:instrText xml:space="preserve"> ADDIN ZOTERO_ITEM CSL_CITATION {"citationID":"FGVDb2MA","properties":{"formattedCitation":"(2020, 292)","plainCitation":"(2020, 292)","noteIndex":0},"citationItems":[{"id":4600,"uris":["http://zotero.org/users/8977980/items/TEBBILIT"],"itemData":{"id":4600,"type":"article-journal","abstract":"Over the last few years, an emergent body of International Relations scholarship has taken an interest in the rise of global cities and the challenges they bring to existing geographies of power. In this article, I argue that a focus on race and empire should be central to this literature. Using the Grenfell Tower fire in London as a starting point, the article shows that global cities are part of a historical and ongoing imperial terrain. From London to New York, São Paulo to Cape Town, Singapore to Cairo, the ‘making’ of global cities has typically gone hand in hand with racialized forms of displacement, dispossession and police violence. Drawing on the literature on racial capitalism, as well as Aimé Césaire’s image of the ‘boomerang’, I show that these strategies build on practices of urban planning, slum administration and law-and-order policing long experimented with in the (post)colonies. By examining the colonial dimensions of what many assume to be a strictly national problem for the welfare state, the article thus reveals global cities as part of a much wider cartography of imperial and racial violence. This not only calls into question the presentism of scholarship that highlights the ‘newness’ of neoliberal urbanism. In demonstrating how global cities and colonial borderlands are bound together through racial capitalism, it also exposes the positionality of scholars and policymakers that seek to counter the violence of neoliberalism with a nostalgic return to the post-1945 welfare state. As the Grenfell fire revealed, the global city is less a new type of international actor or governance structure than an extension and reconfiguration of the domestic space of empire.","container-title":"European Journal of International Relations","DOI":"10.1177/1354066119858388","ISSN":"1354-0661","issue":"1","language":"en","page":"289-313","publisher":"SAGE Publications Ltd","source":"SAGE Journals","title":"The fire this time: Grenfell, racial capitalism and the urbanisation of empire","title-short":"The fire this time","volume":"26","author":[{"family":"Danewid","given":"Ida"}],"issued":{"date-parts":[["2020",3,1]]}},"locator":"292","label":"page","suppress-author":true}],"schema":"https://github.com/citation-style-language/schema/raw/master/csl-citation.json"} </w:instrText>
      </w:r>
      <w:r w:rsidRPr="00662E51">
        <w:rPr>
          <w:bCs/>
          <w:iCs/>
          <w:szCs w:val="24"/>
        </w:rPr>
        <w:fldChar w:fldCharType="separate"/>
      </w:r>
      <w:r w:rsidRPr="00662E51">
        <w:rPr>
          <w:szCs w:val="24"/>
        </w:rPr>
        <w:t>(2020, 292)</w:t>
      </w:r>
      <w:r w:rsidRPr="00662E51">
        <w:rPr>
          <w:bCs/>
          <w:iCs/>
          <w:szCs w:val="24"/>
        </w:rPr>
        <w:fldChar w:fldCharType="end"/>
      </w:r>
      <w:r w:rsidRPr="00662E51">
        <w:rPr>
          <w:bCs/>
          <w:iCs/>
          <w:szCs w:val="24"/>
        </w:rPr>
        <w:t xml:space="preserve"> argues for the centrality of race to not only the Grenfell deaths, but also an acknowledgement of the “racial and imperial political economy that produces some people and places as ‘surplus.’” </w:t>
      </w:r>
      <w:r w:rsidR="001E542D" w:rsidRPr="001E542D">
        <w:rPr>
          <w:bCs/>
          <w:iCs/>
          <w:szCs w:val="24"/>
        </w:rPr>
        <w:t>As MacLeod</w:t>
      </w:r>
      <w:r w:rsidR="00AF4FBD">
        <w:rPr>
          <w:bCs/>
          <w:iCs/>
          <w:szCs w:val="24"/>
        </w:rPr>
        <w:t xml:space="preserve"> </w:t>
      </w:r>
      <w:r w:rsidR="006A4F31">
        <w:rPr>
          <w:bCs/>
          <w:iCs/>
          <w:szCs w:val="24"/>
        </w:rPr>
        <w:fldChar w:fldCharType="begin"/>
      </w:r>
      <w:r w:rsidR="00704ADC">
        <w:rPr>
          <w:bCs/>
          <w:iCs/>
          <w:szCs w:val="24"/>
        </w:rPr>
        <w:instrText xml:space="preserve"> ADDIN ZOTERO_ITEM CSL_CITATION {"citationID":"9O6c1WRZ","properties":{"formattedCitation":"(2018)","plainCitation":"(2018)","noteIndex":0},"citationItems":[{"id":7187,"uris":["http://zotero.org/users/8977980/items/VFGU2V4Q"],"itemData":{"id":7187,"type":"article-journal","container-title":"City","DOI":"10.1080/13604813.2018.1507099","ISSN":"1360-4813, 1470-3629","issue":"4","journalAbbreviation":"City","language":"en","page":"460-489","source":"DOI.org (Crossref)","title":"The Grenfell Tower atrocity: Exposing urban worlds of inequality, injustice, and an impaired democracy","title-short":"The Grenfell Tower atrocity","volume":"22","author":[{"family":"MacLeod","given":"Gordon"}],"issued":{"date-parts":[["2018",7,4]]}},"suppress-author":true}],"schema":"https://github.com/citation-style-language/schema/raw/master/csl-citation.json"} </w:instrText>
      </w:r>
      <w:r w:rsidR="006A4F31">
        <w:rPr>
          <w:bCs/>
          <w:iCs/>
          <w:szCs w:val="24"/>
        </w:rPr>
        <w:fldChar w:fldCharType="separate"/>
      </w:r>
      <w:r w:rsidR="006A4F31" w:rsidRPr="006A4F31">
        <w:t>(2018)</w:t>
      </w:r>
      <w:r w:rsidR="006A4F31">
        <w:rPr>
          <w:bCs/>
          <w:iCs/>
          <w:szCs w:val="24"/>
        </w:rPr>
        <w:fldChar w:fldCharType="end"/>
      </w:r>
      <w:r w:rsidR="001E542D" w:rsidRPr="001E542D">
        <w:rPr>
          <w:bCs/>
          <w:iCs/>
          <w:szCs w:val="24"/>
        </w:rPr>
        <w:t xml:space="preserve"> </w:t>
      </w:r>
      <w:r w:rsidR="001E542D">
        <w:rPr>
          <w:bCs/>
          <w:iCs/>
          <w:szCs w:val="24"/>
        </w:rPr>
        <w:t xml:space="preserve">additionally </w:t>
      </w:r>
      <w:r w:rsidR="001E542D" w:rsidRPr="001E542D">
        <w:rPr>
          <w:bCs/>
          <w:iCs/>
          <w:szCs w:val="24"/>
        </w:rPr>
        <w:t>argues,</w:t>
      </w:r>
      <w:r w:rsidR="001E542D">
        <w:rPr>
          <w:bCs/>
          <w:iCs/>
          <w:szCs w:val="24"/>
        </w:rPr>
        <w:t xml:space="preserve"> Grenfell especially was caught in a</w:t>
      </w:r>
      <w:r w:rsidR="00C2007A">
        <w:rPr>
          <w:bCs/>
          <w:iCs/>
          <w:szCs w:val="24"/>
        </w:rPr>
        <w:t xml:space="preserve"> “l</w:t>
      </w:r>
      <w:r w:rsidR="00C2007A" w:rsidRPr="00C2007A">
        <w:rPr>
          <w:bCs/>
          <w:iCs/>
          <w:szCs w:val="24"/>
        </w:rPr>
        <w:t xml:space="preserve">ocal </w:t>
      </w:r>
      <w:r w:rsidR="00C2007A">
        <w:rPr>
          <w:bCs/>
          <w:iCs/>
          <w:szCs w:val="24"/>
        </w:rPr>
        <w:t>p</w:t>
      </w:r>
      <w:r w:rsidR="00C2007A" w:rsidRPr="00C2007A">
        <w:rPr>
          <w:bCs/>
          <w:iCs/>
          <w:szCs w:val="24"/>
        </w:rPr>
        <w:t xml:space="preserve">olitical </w:t>
      </w:r>
      <w:r w:rsidR="00C2007A">
        <w:rPr>
          <w:bCs/>
          <w:iCs/>
          <w:szCs w:val="24"/>
        </w:rPr>
        <w:t>e</w:t>
      </w:r>
      <w:r w:rsidR="00C2007A" w:rsidRPr="00C2007A">
        <w:rPr>
          <w:bCs/>
          <w:iCs/>
          <w:szCs w:val="24"/>
        </w:rPr>
        <w:t>conomy of</w:t>
      </w:r>
      <w:r w:rsidR="00C2007A">
        <w:rPr>
          <w:bCs/>
          <w:iCs/>
          <w:szCs w:val="24"/>
        </w:rPr>
        <w:t xml:space="preserve"> c</w:t>
      </w:r>
      <w:r w:rsidR="00C2007A" w:rsidRPr="00C2007A">
        <w:rPr>
          <w:bCs/>
          <w:iCs/>
          <w:szCs w:val="24"/>
        </w:rPr>
        <w:t>ontempt</w:t>
      </w:r>
      <w:r w:rsidR="00C2007A">
        <w:rPr>
          <w:bCs/>
          <w:iCs/>
          <w:szCs w:val="24"/>
        </w:rPr>
        <w:t xml:space="preserve">,” in which the Royal Borough of Kensington and Chelsea (the relevant London Borough) </w:t>
      </w:r>
      <w:r w:rsidR="00AF4FBD">
        <w:rPr>
          <w:bCs/>
          <w:iCs/>
          <w:szCs w:val="24"/>
        </w:rPr>
        <w:t>effectively treated Grenfell residents as second-class. T</w:t>
      </w:r>
      <w:r w:rsidRPr="00662E51">
        <w:rPr>
          <w:bCs/>
          <w:iCs/>
          <w:szCs w:val="24"/>
        </w:rPr>
        <w:t xml:space="preserve">hat is, beneath the rubble of the soon-to-be destroyed Grenfell Tower is the fact that race was a driving force of the socio-political context that allowed the preventable fire to cause social murder. Council homes thus continue to perpetuate racist policies and discourses that let Londoners of colour die </w:t>
      </w:r>
      <w:r w:rsidRPr="00662E51">
        <w:rPr>
          <w:bCs/>
          <w:iCs/>
          <w:szCs w:val="24"/>
        </w:rPr>
        <w:fldChar w:fldCharType="begin"/>
      </w:r>
      <w:r w:rsidR="001B2CAA">
        <w:rPr>
          <w:bCs/>
          <w:iCs/>
          <w:szCs w:val="24"/>
        </w:rPr>
        <w:instrText xml:space="preserve"> ADDIN ZOTERO_ITEM CSL_CITATION {"citationID":"P2VGLiUB","properties":{"formattedCitation":"(Gillespie et al. 2021)","plainCitation":"(Gillespie et al. 2021)","noteIndex":0},"citationItems":[{"id":"n0Saldgp/Pfek5KeZ","uris":["http://zotero.org/users/8977980/items/LK7WKKQI"],"itemData":{"id":"TBnkwMlc/TVmmZ3bD","type":"article-journal","abstract":"Urban scholars have traditionally associated displacement in cities of the global North with gentriﬁcation, generally understood as a class-based process of neighbourhood change. This article expands this scalar focus and adopts the larger scale of the local authority district (in this case the London borough) as its epistemological starting point to study the displacement of homeless people by the local state. Participatory action research was undertaken with housing campaigners in the East London borough of Newham to explore who is being displaced, their experiences of displacement and the impacts of displacement on their lives. Empirically, the article argues that displacement in this case is a product of national welfare state restructuring – or ‘austerity urbanism’ – implemented through a localised regime of ‘welfare chauvinism’ in which some groups are framed as economically unproductive and therefore undeserving of access to social housing. Displacement has the effect of reinforcing the surplus status of these groups by separating them from employment, education and care networks and eroding their physical and mental health. The article draws on research on the biopolitics of surplus populations in the global South to develop an original theorisation of the relationship between welfare state restructuring and displacement. This theorisation reveals that displacement is the spatial expression of a biopolitical shift away from the logic of ‘making live’ associated with the post-war welfare state towards a logic of ‘letting die’ more traditionally associated with postcolonial contexts.","container-title":"Environment and Planning A: Economy and Space","DOI":"10.1177/0308518X211026323","ISSN":"0308-518X, 1472-3409","issue":"7","journalAbbreviation":"Environ Plan A","language":"en","page":"1713-1729","source":"DOI.org (Crossref)","title":"Surplus to the city: Austerity urbanism, displacement and ‘letting die’","title-short":"Surplus to the city","volume":"53","author":[{"family":"Gillespie","given":"Tom"},{"family":"Hardy","given":"Kate"},{"family":"Watt","given":"Paul"}],"issued":{"date-parts":[["2021",10]]}}}],"schema":"https://github.com/citation-style-language/schema/raw/master/csl-citation.json"} </w:instrText>
      </w:r>
      <w:r w:rsidRPr="00662E51">
        <w:rPr>
          <w:bCs/>
          <w:iCs/>
          <w:szCs w:val="24"/>
        </w:rPr>
        <w:fldChar w:fldCharType="separate"/>
      </w:r>
      <w:r w:rsidR="00C83945" w:rsidRPr="00662E51">
        <w:t>(Gillespie et al. 2021)</w:t>
      </w:r>
      <w:r w:rsidRPr="00662E51">
        <w:rPr>
          <w:bCs/>
          <w:iCs/>
          <w:szCs w:val="24"/>
        </w:rPr>
        <w:fldChar w:fldCharType="end"/>
      </w:r>
      <w:r w:rsidRPr="00662E51">
        <w:rPr>
          <w:bCs/>
          <w:iCs/>
          <w:szCs w:val="24"/>
        </w:rPr>
        <w:t xml:space="preserve">—literally (in the case of Grenfell) and metaphorically (in the sense of stigmatisation and marginalisation). </w:t>
      </w:r>
    </w:p>
    <w:p w14:paraId="4FE1C02A" w14:textId="1E86871C" w:rsidR="00CA6F09" w:rsidRPr="00662E51" w:rsidRDefault="00CA6F09" w:rsidP="00BA2C14">
      <w:pPr>
        <w:spacing w:line="360" w:lineRule="auto"/>
        <w:ind w:left="0" w:firstLine="720"/>
        <w:contextualSpacing/>
        <w:rPr>
          <w:bCs/>
          <w:iCs/>
          <w:szCs w:val="24"/>
        </w:rPr>
      </w:pPr>
      <w:r w:rsidRPr="00662E51">
        <w:rPr>
          <w:bCs/>
          <w:iCs/>
          <w:szCs w:val="24"/>
        </w:rPr>
        <w:lastRenderedPageBreak/>
        <w:t xml:space="preserve">Indeed, race has equally been an integral thread in the politics of council housing. For instance, racialised minorities in council homes have historically been a politicised object in far-right discourses in Britain. The far-right have frequently blamed migrants for creating housing shortages </w:t>
      </w:r>
      <w:r w:rsidRPr="00662E51">
        <w:rPr>
          <w:bCs/>
          <w:iCs/>
          <w:szCs w:val="24"/>
        </w:rPr>
        <w:fldChar w:fldCharType="begin"/>
      </w:r>
      <w:r w:rsidR="00F15CF8">
        <w:rPr>
          <w:bCs/>
          <w:iCs/>
          <w:szCs w:val="24"/>
        </w:rPr>
        <w:instrText xml:space="preserve"> ADDIN ZOTERO_ITEM CSL_CITATION {"citationID":"jxix2FCA","properties":{"formattedCitation":"(Robbins 2010, 2014, 2020)","plainCitation":"(Robbins 2010, 2014, 2020)","noteIndex":0},"citationItems":[{"id":7045,"uris":["http://zotero.org/users/8977980/items/JD8ES7BD"],"itemData":{"id":7045,"type":"article-newspaper","abstract":"Glyn Robbins: Housing policy was once first on the agenda of every cabinet meeting. Now it's left to the BNP to exploit","container-title":"The Guardian","ISSN":"0261-3077","language":"en-GB","section":"Opinion","source":"The Guardian","title":"Do mention the housing crisis","URL":"https://www.theguardian.com/commentisfree/2010/apr/26/housing-policy-crisis","author":[{"family":"Robbins","given":"Glyn"}],"accessed":{"date-parts":[["2025",10,10]]},"issued":{"date-parts":[["2010",4,26]]}}},{"id":6871,"uris":["http://zotero.org/users/8977980/items/K9EAX38J"],"itemData":{"id":6871,"type":"webpage","abstract":"In September 1993 the neofascist British National Party (BNP) won its first election when Derek Beacon was elected as a local councillor on the Isle of Dogs in Tower Hamlets.\nThe BNP won by propagating the lie that Bangladeshi families were responsible for an acute shortage of affordable homes.\nBeacon lost his seat at the following election on May 5 1994 after a strong anti-racist campaign led by the labour movement.\nBut the 20th anniversary of the BNP's defeat is an object lesson in the toxic relationship between housing, racism and the far-right.","container-title":"Morning Star","language":"en","title":"Housing, racism and the far-right","URL":"https://morningstaronline.co.uk/-racism-and-the-far-right","author":[{"family":"Robbins","given":"Glyn"}],"accessed":{"date-parts":[["2025",9,4]]},"issued":{"date-parts":[["2014",3,17]]}}},{"id":7047,"uris":["http://zotero.org/users/8977980/items/MRHZQRYK"],"itemData":{"id":7047,"type":"article-magazine","abstract":"Labour had bold housing policies in the general election - but it failed to build a narrative that got them across. Now, the challenge is to engage with the movements fighting the housing crisis at the grassroots.","container-title":"Tribune","language":"en-GB","title":"The Fight for Housing Goes On","URL":"https://tribunemag.co.uk/2020/01/the-fight-for-housing-goes-on","author":[{"family":"Robbins","given":"Glyn"}],"accessed":{"date-parts":[["2025",10,10]]},"issued":{"date-parts":[["2020",1,10]]}}}],"schema":"https://github.com/citation-style-language/schema/raw/master/csl-citation.json"} </w:instrText>
      </w:r>
      <w:r w:rsidRPr="00662E51">
        <w:rPr>
          <w:bCs/>
          <w:iCs/>
          <w:szCs w:val="24"/>
        </w:rPr>
        <w:fldChar w:fldCharType="separate"/>
      </w:r>
      <w:r w:rsidR="00F15CF8" w:rsidRPr="00F15CF8">
        <w:t>(Robbins 2010, 2014, 2020)</w:t>
      </w:r>
      <w:r w:rsidRPr="00662E51">
        <w:rPr>
          <w:bCs/>
          <w:iCs/>
          <w:szCs w:val="24"/>
        </w:rPr>
        <w:fldChar w:fldCharType="end"/>
      </w:r>
      <w:r w:rsidRPr="00662E51">
        <w:rPr>
          <w:bCs/>
          <w:iCs/>
          <w:szCs w:val="24"/>
        </w:rPr>
        <w:t xml:space="preserve">, with many falsely claiming that councils give preferential treatment to ethnic minorities </w:t>
      </w:r>
      <w:r w:rsidRPr="00662E51">
        <w:rPr>
          <w:bCs/>
          <w:iCs/>
          <w:szCs w:val="24"/>
        </w:rPr>
        <w:fldChar w:fldCharType="begin"/>
      </w:r>
      <w:r w:rsidRPr="00662E51">
        <w:rPr>
          <w:bCs/>
          <w:iCs/>
          <w:szCs w:val="24"/>
        </w:rPr>
        <w:instrText xml:space="preserve"> ADDIN ZOTERO_ITEM CSL_CITATION {"citationID":"Z7fzajmP","properties":{"formattedCitation":"(Stroud 2022)","plainCitation":"(Stroud 2022)","noteIndex":0},"citationItems":[{"id":6866,"uris":["http://zotero.org/users/8977980/items/RHGGPX3A"],"itemData":{"id":6866,"type":"article-magazine","abstract":"Narratives about preferential housing for migrants and ethnic minorities have fuelled racism in Britain for more than a century – while letting the landlords and politicians really responsible for the housing crisis off scot free.","container-title":"Tribune","language":"en-GB","title":"The Anti-Migrant Myths that Feed the Housing Crisis","URL":"https://tribunemag.co.uk/2022/11/the-anti-migrant-myths-that-feed-the-housing-crisis","author":[{"family":"Stroud","given":"Sam"}],"accessed":{"date-parts":[["2025",9,4]]},"issued":{"date-parts":[["2022",11,3]]}}}],"schema":"https://github.com/citation-style-language/schema/raw/master/csl-citation.json"} </w:instrText>
      </w:r>
      <w:r w:rsidRPr="00662E51">
        <w:rPr>
          <w:bCs/>
          <w:iCs/>
          <w:szCs w:val="24"/>
        </w:rPr>
        <w:fldChar w:fldCharType="separate"/>
      </w:r>
      <w:r w:rsidRPr="00662E51">
        <w:rPr>
          <w:szCs w:val="24"/>
        </w:rPr>
        <w:t>(Stroud 2022)</w:t>
      </w:r>
      <w:r w:rsidRPr="00662E51">
        <w:rPr>
          <w:bCs/>
          <w:iCs/>
          <w:szCs w:val="24"/>
        </w:rPr>
        <w:fldChar w:fldCharType="end"/>
      </w:r>
      <w:r w:rsidRPr="00662E51">
        <w:rPr>
          <w:bCs/>
          <w:iCs/>
          <w:szCs w:val="24"/>
        </w:rPr>
        <w:t xml:space="preserve">. Again, this is historical, with far-right groups spreading this narrative as early as the 1970s </w:t>
      </w:r>
      <w:r w:rsidRPr="00662E51">
        <w:rPr>
          <w:bCs/>
          <w:iCs/>
          <w:szCs w:val="24"/>
        </w:rPr>
        <w:fldChar w:fldCharType="begin"/>
      </w:r>
      <w:r w:rsidRPr="00662E51">
        <w:rPr>
          <w:bCs/>
          <w:iCs/>
          <w:szCs w:val="24"/>
        </w:rPr>
        <w:instrText xml:space="preserve"> ADDIN ZOTERO_ITEM CSL_CITATION {"citationID":"noqtfh6z","properties":{"formattedCitation":"(Pile 1995)","plainCitation":"(Pile 1995)","noteIndex":0},"citationItems":[{"id":2065,"uris":["http://zotero.org/users/8977980/items/CL8ULHA8"],"itemData":{"id":2065,"type":"article-journal","abstract":"Globalisation has changed the formation of contemporary citizenship. At the same time as undermining the role of the nation state in the construction of political participation, new arenas of citizenship are suggestive of an emergent ‘global citizenship’. Analysis of participation in politics at the scale of the global has suggested that civil society associations are strongly implicated in this process. This paper explores the role played by such institutions in the configuration of global citizenship. Through a case study of international development NGOs in the UK, and the relationship they build with the public, the paper suggests that international non-governmental organisations (INGOs) offer a version of global citizenship, which is highly circumscribed by their professional and institutional imperatives. Concerns with the continuing ability of organisations to deliver a professionally determined development agenda means that the role envisioned for the public by INGOs does not necessarily accord with that presented by advocates of the role of global civil society in citizenship. The paper concludes by exploring the implications of these findings for further research on the formation of global citizenship.","collection-title":"Spaces of citizenship","container-title":"Political Geography","DOI":"10.1016/0962-6298(95)91666-R","ISSN":"0962-6298","issue":"2","journalAbbreviation":"Political Geography","language":"en","page":"199-208","source":"ScienceDirect","title":"‘What we are asking for is decent human life’: SPLASH, neighbourhood demands and citizenship in London's docklands","title-short":"‘What we are asking for is decent human life’","volume":"14","author":[{"family":"Pile","given":"Steve"}],"issued":{"date-parts":[["1995",2,1]]}}}],"schema":"https://github.com/citation-style-language/schema/raw/master/csl-citation.json"} </w:instrText>
      </w:r>
      <w:r w:rsidRPr="00662E51">
        <w:rPr>
          <w:bCs/>
          <w:iCs/>
          <w:szCs w:val="24"/>
        </w:rPr>
        <w:fldChar w:fldCharType="separate"/>
      </w:r>
      <w:r w:rsidRPr="00662E51">
        <w:rPr>
          <w:szCs w:val="24"/>
        </w:rPr>
        <w:t>(Pile 1995)</w:t>
      </w:r>
      <w:r w:rsidRPr="00662E51">
        <w:rPr>
          <w:bCs/>
          <w:iCs/>
          <w:szCs w:val="24"/>
        </w:rPr>
        <w:fldChar w:fldCharType="end"/>
      </w:r>
      <w:r w:rsidRPr="00662E51">
        <w:rPr>
          <w:bCs/>
          <w:iCs/>
          <w:szCs w:val="24"/>
        </w:rPr>
        <w:t xml:space="preserve">. </w:t>
      </w:r>
      <w:r w:rsidR="00EA4587">
        <w:rPr>
          <w:bCs/>
          <w:iCs/>
          <w:szCs w:val="24"/>
        </w:rPr>
        <w:t xml:space="preserve">Even where there is so-called positive discourse about migrants, it often </w:t>
      </w:r>
      <w:r w:rsidR="003C6409">
        <w:rPr>
          <w:bCs/>
          <w:iCs/>
          <w:szCs w:val="24"/>
        </w:rPr>
        <w:t xml:space="preserve">obscures </w:t>
      </w:r>
      <w:r w:rsidR="003B3376">
        <w:rPr>
          <w:bCs/>
          <w:iCs/>
          <w:szCs w:val="24"/>
        </w:rPr>
        <w:t>“</w:t>
      </w:r>
      <w:r w:rsidR="007E51BB" w:rsidRPr="007E51BB">
        <w:rPr>
          <w:bCs/>
          <w:iCs/>
          <w:szCs w:val="24"/>
        </w:rPr>
        <w:t xml:space="preserve">the existence of structural racism and </w:t>
      </w:r>
      <w:r w:rsidR="00032D4E">
        <w:rPr>
          <w:bCs/>
          <w:iCs/>
          <w:szCs w:val="24"/>
        </w:rPr>
        <w:t xml:space="preserve">[instead confines] </w:t>
      </w:r>
      <w:r w:rsidR="007E51BB" w:rsidRPr="007E51BB">
        <w:rPr>
          <w:bCs/>
          <w:iCs/>
          <w:szCs w:val="24"/>
        </w:rPr>
        <w:t xml:space="preserve">its existence to </w:t>
      </w:r>
      <w:r w:rsidR="003B3376">
        <w:rPr>
          <w:bCs/>
          <w:iCs/>
          <w:szCs w:val="24"/>
        </w:rPr>
        <w:t>‘</w:t>
      </w:r>
      <w:r w:rsidR="007E51BB" w:rsidRPr="007E51BB">
        <w:rPr>
          <w:bCs/>
          <w:iCs/>
          <w:szCs w:val="24"/>
        </w:rPr>
        <w:t>Broken</w:t>
      </w:r>
      <w:r w:rsidR="007E51BB">
        <w:rPr>
          <w:bCs/>
          <w:iCs/>
          <w:szCs w:val="24"/>
        </w:rPr>
        <w:t xml:space="preserve"> </w:t>
      </w:r>
      <w:r w:rsidR="007E51BB" w:rsidRPr="007E51BB">
        <w:rPr>
          <w:bCs/>
          <w:iCs/>
          <w:szCs w:val="24"/>
        </w:rPr>
        <w:t>Britain,</w:t>
      </w:r>
      <w:r w:rsidR="003B3376">
        <w:rPr>
          <w:bCs/>
          <w:iCs/>
          <w:szCs w:val="24"/>
        </w:rPr>
        <w:t>’</w:t>
      </w:r>
      <w:r w:rsidR="007E51BB" w:rsidRPr="007E51BB">
        <w:rPr>
          <w:bCs/>
          <w:iCs/>
          <w:szCs w:val="24"/>
        </w:rPr>
        <w:t xml:space="preserve"> a place populated by a morally degenerate and racist </w:t>
      </w:r>
      <w:r w:rsidR="003B3376">
        <w:rPr>
          <w:bCs/>
          <w:iCs/>
          <w:szCs w:val="24"/>
        </w:rPr>
        <w:t>‘</w:t>
      </w:r>
      <w:r w:rsidR="007E51BB" w:rsidRPr="007E51BB">
        <w:rPr>
          <w:bCs/>
          <w:iCs/>
          <w:szCs w:val="24"/>
        </w:rPr>
        <w:t>white working class</w:t>
      </w:r>
      <w:r w:rsidR="001642C1">
        <w:rPr>
          <w:bCs/>
          <w:iCs/>
          <w:szCs w:val="24"/>
        </w:rPr>
        <w:t>’</w:t>
      </w:r>
      <w:r w:rsidR="003B3376">
        <w:rPr>
          <w:bCs/>
          <w:iCs/>
          <w:szCs w:val="24"/>
        </w:rPr>
        <w:t xml:space="preserve">” </w:t>
      </w:r>
      <w:r w:rsidR="003B3376">
        <w:rPr>
          <w:bCs/>
          <w:iCs/>
          <w:szCs w:val="24"/>
        </w:rPr>
        <w:fldChar w:fldCharType="begin"/>
      </w:r>
      <w:r w:rsidR="003B3376">
        <w:rPr>
          <w:bCs/>
          <w:iCs/>
          <w:szCs w:val="24"/>
        </w:rPr>
        <w:instrText xml:space="preserve"> ADDIN ZOTERO_ITEM CSL_CITATION {"citationID":"XbLCYLXo","properties":{"formattedCitation":"(Bates 2017, 133)","plainCitation":"(Bates 2017, 133)","noteIndex":0},"citationItems":[{"id":7195,"uris":["http://zotero.org/users/8977980/items/TMB5KZ2R"],"itemData":{"id":7195,"type":"article-journal","abstract":"This article explores some of the ways in which the current refugee “crisis” has played out in the North East of England, with a particular focus on media coverage of asylum in Middlesbrough, the town with the highest proportion of asylum seekers in the country. In January 2016, Middlesbrough made national headlines when it was claimed that the homes of asylum seekers in the town had been made identifiable through the distinctive colour of their houses' front doors, leading to occupants being singled out for violence and abuse. Drawing on critical discourse analysis of national and local newspaper features and online media content, the article examines contrasting constructions of racism, place, and class in the media's coverage of the “red door” controversy. It is argued that even these humanised constructions of asylum seekers draw on discourses that obscure the existence of elite-driven cultural and institutional racisms that are a defining feature of Britain's asylum process. Copyright © 2017 John Wiley &amp; Sons, Ltd.","container-title":"Journal of Community &amp; Applied Social Psychology","DOI":"10.1002/casp.2300","ISSN":"1099-1298","issue":"2","language":"en","license":"Copyright © 2017 John Wiley &amp; Sons, Ltd.","note":"_eprint: https://onlinelibrary.wiley.com/doi/pdf/10.1002/casp.2300","page":"126-136","source":"Wiley Online Library","title":"The “red door” controversy—Middlesbrough's asylum seekers and the discursive politics of racism","volume":"27","author":[{"family":"Bates","given":"David"}],"issued":{"date-parts":[["2017"]]}},"locator":"133"}],"schema":"https://github.com/citation-style-language/schema/raw/master/csl-citation.json"} </w:instrText>
      </w:r>
      <w:r w:rsidR="003B3376">
        <w:rPr>
          <w:bCs/>
          <w:iCs/>
          <w:szCs w:val="24"/>
        </w:rPr>
        <w:fldChar w:fldCharType="separate"/>
      </w:r>
      <w:r w:rsidR="003B3376" w:rsidRPr="003B3376">
        <w:t>(Bates 2017, 133)</w:t>
      </w:r>
      <w:r w:rsidR="003B3376">
        <w:rPr>
          <w:bCs/>
          <w:iCs/>
          <w:szCs w:val="24"/>
        </w:rPr>
        <w:fldChar w:fldCharType="end"/>
      </w:r>
      <w:r w:rsidR="004A7F4B">
        <w:rPr>
          <w:bCs/>
          <w:iCs/>
          <w:szCs w:val="24"/>
        </w:rPr>
        <w:t xml:space="preserve">. </w:t>
      </w:r>
      <w:r w:rsidRPr="00662E51">
        <w:rPr>
          <w:bCs/>
          <w:iCs/>
          <w:szCs w:val="24"/>
        </w:rPr>
        <w:t xml:space="preserve">In this vein, contemporary far-right party Reform UK have proposed to change housing allocation laws to prioritise domestic-born nationals </w:t>
      </w:r>
      <w:r w:rsidRPr="00662E51">
        <w:rPr>
          <w:bCs/>
          <w:iCs/>
          <w:szCs w:val="24"/>
        </w:rPr>
        <w:fldChar w:fldCharType="begin"/>
      </w:r>
      <w:r w:rsidRPr="00662E51">
        <w:rPr>
          <w:bCs/>
          <w:iCs/>
          <w:szCs w:val="24"/>
        </w:rPr>
        <w:instrText xml:space="preserve"> ADDIN ZOTERO_ITEM CSL_CITATION {"citationID":"llBTozdw","properties":{"formattedCitation":"(Housing Today 2024)","plainCitation":"(Housing Today 2024)","noteIndex":0},"citationItems":[{"id":6873,"uris":["http://zotero.org/users/8977980/items/K6NRRMWS"],"itemData":{"id":6873,"type":"webpage","abstract":"Nigel Farage's party pledges to send 'foreign nationals to the back of the queue' in manifesto","container-title":"Housing Today","language":"en","title":"Reform UK party pledges to change social housing allocation laws","URL":"https://www.housingtoday.co.uk/news/reform-uk-party-pledges-to-change-social-housing-allocation-laws/5129996.article","accessed":{"date-parts":[["2025",9,4]]},"issued":{"date-parts":[["2024",6,18]]}}}],"schema":"https://github.com/citation-style-language/schema/raw/master/csl-citation.json"} </w:instrText>
      </w:r>
      <w:r w:rsidRPr="00662E51">
        <w:rPr>
          <w:bCs/>
          <w:iCs/>
          <w:szCs w:val="24"/>
        </w:rPr>
        <w:fldChar w:fldCharType="separate"/>
      </w:r>
      <w:r w:rsidRPr="00662E51">
        <w:rPr>
          <w:szCs w:val="24"/>
        </w:rPr>
        <w:t>(Housing Today 2024)</w:t>
      </w:r>
      <w:r w:rsidRPr="00662E51">
        <w:rPr>
          <w:bCs/>
          <w:iCs/>
          <w:szCs w:val="24"/>
        </w:rPr>
        <w:fldChar w:fldCharType="end"/>
      </w:r>
      <w:r w:rsidRPr="00662E51">
        <w:rPr>
          <w:bCs/>
          <w:iCs/>
          <w:szCs w:val="24"/>
        </w:rPr>
        <w:t>.</w:t>
      </w:r>
      <w:r w:rsidR="00956D94">
        <w:rPr>
          <w:bCs/>
          <w:iCs/>
          <w:szCs w:val="24"/>
        </w:rPr>
        <w:t xml:space="preserve"> The </w:t>
      </w:r>
      <w:r w:rsidR="006038F5">
        <w:rPr>
          <w:bCs/>
          <w:iCs/>
          <w:szCs w:val="24"/>
        </w:rPr>
        <w:t xml:space="preserve">equally far-right </w:t>
      </w:r>
      <w:r w:rsidR="00956D94">
        <w:rPr>
          <w:bCs/>
          <w:iCs/>
          <w:szCs w:val="24"/>
        </w:rPr>
        <w:t>UK Independence Party</w:t>
      </w:r>
      <w:r w:rsidR="007042AE">
        <w:rPr>
          <w:bCs/>
          <w:iCs/>
          <w:szCs w:val="24"/>
        </w:rPr>
        <w:t xml:space="preserve"> </w:t>
      </w:r>
      <w:r w:rsidR="007042AE">
        <w:rPr>
          <w:bCs/>
          <w:iCs/>
          <w:szCs w:val="24"/>
        </w:rPr>
        <w:fldChar w:fldCharType="begin"/>
      </w:r>
      <w:r w:rsidR="007042AE">
        <w:rPr>
          <w:bCs/>
          <w:iCs/>
          <w:szCs w:val="24"/>
        </w:rPr>
        <w:instrText xml:space="preserve"> ADDIN ZOTERO_ITEM CSL_CITATION {"citationID":"lSXpgcoW","properties":{"formattedCitation":"(2026)","plainCitation":"(2026)","noteIndex":0},"citationItems":[{"id":7194,"uris":["http://zotero.org/users/8977980/items/VJNR9GX9"],"itemData":{"id":7194,"type":"post","container-title":"Facebook","title":"No council houses for migrants.","URL":"https://www.facebook.com/TheUKIndependenceParty/photos/no-council-houses-for-migrants/1441759547318743/","author":[{"literal":"UK Independence Party"}],"issued":{"date-parts":[["2026",1,10]]}},"suppress-author":true}],"schema":"https://github.com/citation-style-language/schema/raw/master/csl-citation.json"} </w:instrText>
      </w:r>
      <w:r w:rsidR="007042AE">
        <w:rPr>
          <w:bCs/>
          <w:iCs/>
          <w:szCs w:val="24"/>
        </w:rPr>
        <w:fldChar w:fldCharType="separate"/>
      </w:r>
      <w:r w:rsidR="007042AE" w:rsidRPr="007042AE">
        <w:t>(2026)</w:t>
      </w:r>
      <w:r w:rsidR="007042AE">
        <w:rPr>
          <w:bCs/>
          <w:iCs/>
          <w:szCs w:val="24"/>
        </w:rPr>
        <w:fldChar w:fldCharType="end"/>
      </w:r>
      <w:r w:rsidR="00956D94">
        <w:rPr>
          <w:bCs/>
          <w:iCs/>
          <w:szCs w:val="24"/>
        </w:rPr>
        <w:t xml:space="preserve"> likewise has </w:t>
      </w:r>
      <w:r w:rsidR="005A3B0C">
        <w:rPr>
          <w:bCs/>
          <w:iCs/>
          <w:szCs w:val="24"/>
        </w:rPr>
        <w:t xml:space="preserve">called for mass deportation of migrants, often justified by the false claim that migrants are ‘taking’ council homes </w:t>
      </w:r>
      <w:r w:rsidR="00693BBA">
        <w:rPr>
          <w:bCs/>
          <w:iCs/>
          <w:szCs w:val="24"/>
        </w:rPr>
        <w:t>from</w:t>
      </w:r>
      <w:r w:rsidR="005A3B0C">
        <w:rPr>
          <w:bCs/>
          <w:iCs/>
          <w:szCs w:val="24"/>
        </w:rPr>
        <w:t xml:space="preserve"> native-born Britons. </w:t>
      </w:r>
      <w:r w:rsidR="007C4A80">
        <w:rPr>
          <w:bCs/>
          <w:iCs/>
          <w:szCs w:val="24"/>
        </w:rPr>
        <w:t xml:space="preserve">Indeed, the UK has </w:t>
      </w:r>
      <w:r w:rsidR="007C4A80" w:rsidRPr="00C55DCC">
        <w:rPr>
          <w:bCs/>
          <w:iCs/>
          <w:szCs w:val="24"/>
        </w:rPr>
        <w:t>witness</w:t>
      </w:r>
      <w:r w:rsidR="007C4A80">
        <w:rPr>
          <w:bCs/>
          <w:iCs/>
          <w:szCs w:val="24"/>
        </w:rPr>
        <w:t>ed</w:t>
      </w:r>
      <w:r w:rsidR="007C4A80" w:rsidRPr="00C55DCC">
        <w:rPr>
          <w:bCs/>
          <w:iCs/>
          <w:szCs w:val="24"/>
        </w:rPr>
        <w:t xml:space="preserve"> a shift from</w:t>
      </w:r>
      <w:r w:rsidR="007C4A80">
        <w:rPr>
          <w:bCs/>
          <w:iCs/>
          <w:szCs w:val="24"/>
        </w:rPr>
        <w:t xml:space="preserve"> concerns about migration, a</w:t>
      </w:r>
      <w:r w:rsidR="007C4A80" w:rsidRPr="00C55DCC">
        <w:rPr>
          <w:bCs/>
          <w:iCs/>
          <w:szCs w:val="24"/>
        </w:rPr>
        <w:t>sylum</w:t>
      </w:r>
      <w:r w:rsidR="007C4A80">
        <w:rPr>
          <w:bCs/>
          <w:iCs/>
          <w:szCs w:val="24"/>
        </w:rPr>
        <w:t xml:space="preserve">, </w:t>
      </w:r>
      <w:r w:rsidR="007C4A80" w:rsidRPr="00C55DCC">
        <w:rPr>
          <w:bCs/>
          <w:iCs/>
          <w:szCs w:val="24"/>
        </w:rPr>
        <w:t>and small boats</w:t>
      </w:r>
      <w:r w:rsidR="007C4A80">
        <w:rPr>
          <w:bCs/>
          <w:iCs/>
          <w:szCs w:val="24"/>
        </w:rPr>
        <w:t xml:space="preserve"> carrying irregular migrants from France</w:t>
      </w:r>
      <w:r w:rsidR="007C4A80" w:rsidRPr="00C55DCC">
        <w:rPr>
          <w:bCs/>
          <w:iCs/>
          <w:szCs w:val="24"/>
        </w:rPr>
        <w:t xml:space="preserve"> to a more</w:t>
      </w:r>
      <w:r w:rsidR="007C4A80">
        <w:rPr>
          <w:bCs/>
          <w:iCs/>
          <w:szCs w:val="24"/>
        </w:rPr>
        <w:t xml:space="preserve"> general</w:t>
      </w:r>
      <w:r w:rsidR="007C4A80" w:rsidRPr="00C55DCC">
        <w:rPr>
          <w:bCs/>
          <w:iCs/>
          <w:szCs w:val="24"/>
        </w:rPr>
        <w:t xml:space="preserve"> </w:t>
      </w:r>
      <w:r w:rsidR="007C4A80">
        <w:rPr>
          <w:bCs/>
          <w:iCs/>
          <w:szCs w:val="24"/>
        </w:rPr>
        <w:t xml:space="preserve">populist </w:t>
      </w:r>
      <w:r w:rsidR="007C4A80" w:rsidRPr="00C55DCC">
        <w:rPr>
          <w:bCs/>
          <w:iCs/>
          <w:szCs w:val="24"/>
        </w:rPr>
        <w:t>ethno-nationalism</w:t>
      </w:r>
      <w:r w:rsidR="007C4A80">
        <w:rPr>
          <w:bCs/>
          <w:iCs/>
          <w:szCs w:val="24"/>
        </w:rPr>
        <w:t xml:space="preserve"> that places Islamophobia and racism at the core of its message </w:t>
      </w:r>
      <w:r w:rsidR="007C4A80">
        <w:rPr>
          <w:bCs/>
          <w:iCs/>
          <w:szCs w:val="24"/>
        </w:rPr>
        <w:fldChar w:fldCharType="begin"/>
      </w:r>
      <w:r w:rsidR="00213B80">
        <w:rPr>
          <w:bCs/>
          <w:iCs/>
          <w:szCs w:val="24"/>
        </w:rPr>
        <w:instrText xml:space="preserve"> ADDIN ZOTERO_ITEM CSL_CITATION {"citationID":"zw5fjAzW","properties":{"formattedCitation":"(Anderson and Secor 2025; A. Bonnett and Hopkins 2025)","plainCitation":"(Anderson and Secor 2025; A. Bonnett and Hopkins 2025)","noteIndex":0},"citationItems":[{"id":7203,"uris":["http://zotero.org/users/8977980/items/KP3AAPS7"],"itemData":{"id":7203,"type":"book","abstract":"How today's dominant political forms--right-wing populism, progressivism, and liberalism--offer differentiated responses to shared conditions of uncertainty.The Politics of Feeling argues that politics has become a matter of political feelings in an age of uncertainty. The uncertainties of the post-2008 period have transformed the political arena","collection-title":"Goldsmiths Press / PERC Papers","ISBN":"978-1-915983-29-9","language":"eng","number-of-pages":"1","publisher":"Goldsmiths Press","publisher-place":"London","source":"K10plus ISBN","title":"The politics of feeling: populism, progressivism, liberalism","title-short":"The politics of feeling","author":[{"family":"Anderson","given":"Ben"},{"family":"Secor","given":"Anna J."}],"issued":{"date-parts":[["2025"]]}}},{"id":7200,"uris":["http://zotero.org/users/8977980/items/PTQX56JI"],"itemData":{"id":7200,"type":"article-journal","abstract":"To introduce this Special Section, we reflect on the riots that took place in the United Kingdom in late July and early August 2024 and the questions, issues and challenges that this raises for geography as a discipline and for our practice as geographers. We challenge the silences and absences that have prevailed since the riots took place and raise questions about several issues that remain under-explored. We address the ways in which far-right ideas have become increasingly mainstream and consider the role that Islamophobia and anti-Muslim sentiment played in catalysing the situation. We conclude by considering the importance of these issues for geography and suggest avenues for further research.","container-title":"The Geographical Journal","DOI":"10.1111/geoj.70047","ISSN":"1475-4959","issue":"n/a","language":"en","license":"© 2025 The Author(s). The Geographical Journal published by John Wiley &amp; Sons Ltd on behalf of Royal Geographical Society (with the Institute of British Geographers).","note":"_eprint: https://rgs-ibg.onlinelibrary.wiley.com/doi/pdf/10.1111/geoj.70047","page":"e70047","source":"Wiley Online Library","title":"Understanding the 2024 UK riots","volume":"n/a","author":[{"family":"Bonnett","given":"Alastair"},{"family":"Hopkins","given":"Peter"}],"issued":{"date-parts":[["2025",8,18]]}}}],"schema":"https://github.com/citation-style-language/schema/raw/master/csl-citation.json"} </w:instrText>
      </w:r>
      <w:r w:rsidR="007C4A80">
        <w:rPr>
          <w:bCs/>
          <w:iCs/>
          <w:szCs w:val="24"/>
        </w:rPr>
        <w:fldChar w:fldCharType="separate"/>
      </w:r>
      <w:r w:rsidR="00213B80" w:rsidRPr="00213B80">
        <w:t>(Anderson and Secor 2025; A. Bonnett and Hopkins 2025)</w:t>
      </w:r>
      <w:r w:rsidR="007C4A80">
        <w:rPr>
          <w:bCs/>
          <w:iCs/>
          <w:szCs w:val="24"/>
        </w:rPr>
        <w:fldChar w:fldCharType="end"/>
      </w:r>
      <w:r w:rsidR="007C4A80">
        <w:rPr>
          <w:bCs/>
          <w:iCs/>
          <w:szCs w:val="24"/>
        </w:rPr>
        <w:t xml:space="preserve">. </w:t>
      </w:r>
      <w:r w:rsidRPr="00662E51">
        <w:rPr>
          <w:bCs/>
          <w:iCs/>
          <w:szCs w:val="24"/>
        </w:rPr>
        <w:t xml:space="preserve">As Danewid </w:t>
      </w:r>
      <w:r w:rsidRPr="00662E51">
        <w:rPr>
          <w:bCs/>
          <w:iCs/>
          <w:szCs w:val="24"/>
        </w:rPr>
        <w:fldChar w:fldCharType="begin"/>
      </w:r>
      <w:r w:rsidR="008835AB" w:rsidRPr="00662E51">
        <w:rPr>
          <w:bCs/>
          <w:iCs/>
          <w:szCs w:val="24"/>
        </w:rPr>
        <w:instrText xml:space="preserve"> ADDIN ZOTERO_ITEM CSL_CITATION {"citationID":"OUO3ttFt","properties":{"formattedCitation":"(2020)","plainCitation":"(2020)","noteIndex":0},"citationItems":[{"id":4600,"uris":["http://zotero.org/users/8977980/items/TEBBILIT"],"itemData":{"id":4600,"type":"article-journal","abstract":"Over the last few years, an emergent body of International Relations scholarship has taken an interest in the rise of global cities and the challenges they bring to existing geographies of power. In this article, I argue that a focus on race and empire should be central to this literature. Using the Grenfell Tower fire in London as a starting point, the article shows that global cities are part of a historical and ongoing imperial terrain. From London to New York, São Paulo to Cape Town, Singapore to Cairo, the ‘making’ of global cities has typically gone hand in hand with racialized forms of displacement, dispossession and police violence. Drawing on the literature on racial capitalism, as well as Aimé Césaire’s image of the ‘boomerang’, I show that these strategies build on practices of urban planning, slum administration and law-and-order policing long experimented with in the (post)colonies. By examining the colonial dimensions of what many assume to be a strictly national problem for the welfare state, the article thus reveals global cities as part of a much wider cartography of imperial and racial violence. This not only calls into question the presentism of scholarship that highlights the ‘newness’ of neoliberal urbanism. In demonstrating how global cities and colonial borderlands are bound together through racial capitalism, it also exposes the positionality of scholars and policymakers that seek to counter the violence of neoliberalism with a nostalgic return to the post-1945 welfare state. As the Grenfell fire revealed, the global city is less a new type of international actor or governance structure than an extension and reconfiguration of the domestic space of empire.","container-title":"European Journal of International Relations","DOI":"10.1177/1354066119858388","ISSN":"1354-0661","issue":"1","language":"en","page":"289-313","publisher":"SAGE Publications Ltd","source":"SAGE Journals","title":"The fire this time: Grenfell, racial capitalism and the urbanisation of empire","title-short":"The fire this time","volume":"26","author":[{"family":"Danewid","given":"Ida"}],"issued":{"date-parts":[["2020",3,1]]}},"suppress-author":true}],"schema":"https://github.com/citation-style-language/schema/raw/master/csl-citation.json"} </w:instrText>
      </w:r>
      <w:r w:rsidRPr="00662E51">
        <w:rPr>
          <w:bCs/>
          <w:iCs/>
          <w:szCs w:val="24"/>
        </w:rPr>
        <w:fldChar w:fldCharType="separate"/>
      </w:r>
      <w:r w:rsidRPr="00662E51">
        <w:rPr>
          <w:szCs w:val="24"/>
        </w:rPr>
        <w:t>(2020)</w:t>
      </w:r>
      <w:r w:rsidRPr="00662E51">
        <w:rPr>
          <w:bCs/>
          <w:iCs/>
          <w:szCs w:val="24"/>
        </w:rPr>
        <w:fldChar w:fldCharType="end"/>
      </w:r>
      <w:r w:rsidRPr="00662E51">
        <w:rPr>
          <w:bCs/>
          <w:iCs/>
          <w:szCs w:val="24"/>
        </w:rPr>
        <w:t xml:space="preserve"> contends, the residualisation of council housing cannot be understood without attending to race. As such, the ethnic minority experience is intertwined with the history </w:t>
      </w:r>
      <w:r w:rsidR="004D3853">
        <w:rPr>
          <w:bCs/>
          <w:iCs/>
          <w:szCs w:val="24"/>
        </w:rPr>
        <w:t xml:space="preserve">of </w:t>
      </w:r>
      <w:r w:rsidRPr="00662E51">
        <w:rPr>
          <w:bCs/>
          <w:iCs/>
          <w:szCs w:val="24"/>
        </w:rPr>
        <w:t xml:space="preserve">British social housing, especially as it has become </w:t>
      </w:r>
      <w:r w:rsidR="004D3853">
        <w:rPr>
          <w:bCs/>
          <w:iCs/>
          <w:szCs w:val="24"/>
        </w:rPr>
        <w:t xml:space="preserve">residualised </w:t>
      </w:r>
      <w:r w:rsidRPr="00662E51">
        <w:rPr>
          <w:bCs/>
          <w:iCs/>
          <w:szCs w:val="24"/>
        </w:rPr>
        <w:t xml:space="preserve">over the last decades. </w:t>
      </w:r>
    </w:p>
    <w:p w14:paraId="2295FBA7" w14:textId="77777777" w:rsidR="00CA6F09" w:rsidRPr="00662E51" w:rsidRDefault="00CA6F09" w:rsidP="00F56305">
      <w:pPr>
        <w:spacing w:line="360" w:lineRule="auto"/>
        <w:ind w:left="0"/>
        <w:contextualSpacing/>
        <w:rPr>
          <w:bCs/>
          <w:iCs/>
          <w:szCs w:val="24"/>
        </w:rPr>
      </w:pPr>
    </w:p>
    <w:p w14:paraId="6EE3FAD3" w14:textId="57939069" w:rsidR="00CA6F09" w:rsidRPr="00662E51" w:rsidRDefault="00CA6F09" w:rsidP="00F56305">
      <w:pPr>
        <w:pStyle w:val="Heading2"/>
      </w:pPr>
      <w:bookmarkStart w:id="104" w:name="_Toc216096145"/>
      <w:bookmarkStart w:id="105" w:name="_Toc221184308"/>
      <w:bookmarkStart w:id="106" w:name="_Toc231215231"/>
      <w:r w:rsidRPr="00662E51">
        <w:t>Conclusion</w:t>
      </w:r>
      <w:bookmarkEnd w:id="104"/>
      <w:bookmarkEnd w:id="105"/>
      <w:r w:rsidR="00836748">
        <w:t>:</w:t>
      </w:r>
      <w:bookmarkEnd w:id="106"/>
    </w:p>
    <w:p w14:paraId="27B21C54" w14:textId="555EB481" w:rsidR="00702A09" w:rsidRPr="00662E51" w:rsidRDefault="00CA6F09" w:rsidP="00702A09">
      <w:pPr>
        <w:spacing w:line="360" w:lineRule="auto"/>
        <w:ind w:left="0"/>
        <w:contextualSpacing/>
        <w:rPr>
          <w:bCs/>
          <w:iCs/>
          <w:szCs w:val="24"/>
        </w:rPr>
      </w:pPr>
      <w:r w:rsidRPr="00662E51">
        <w:rPr>
          <w:bCs/>
          <w:iCs/>
          <w:szCs w:val="24"/>
        </w:rPr>
        <w:tab/>
        <w:t xml:space="preserve">This section has provided a short overview of council housing in the UK. It began with a historical review, focusing on the beginnings of council housing as initially homes for veterans before the destruction of two world wars generated a housing need far beyond what could be met by the private market. The state stepped in, building millions of </w:t>
      </w:r>
      <w:r w:rsidR="00A9489B" w:rsidRPr="00662E51">
        <w:rPr>
          <w:bCs/>
          <w:iCs/>
          <w:szCs w:val="24"/>
        </w:rPr>
        <w:t>publicly owned</w:t>
      </w:r>
      <w:r w:rsidRPr="00662E51">
        <w:rPr>
          <w:bCs/>
          <w:iCs/>
          <w:szCs w:val="24"/>
        </w:rPr>
        <w:t xml:space="preserve"> dwellings. </w:t>
      </w:r>
      <w:r w:rsidR="00D72381">
        <w:rPr>
          <w:bCs/>
          <w:iCs/>
          <w:szCs w:val="24"/>
        </w:rPr>
        <w:t>Consequently, significant portions of the British housing market were effectively decommodified.</w:t>
      </w:r>
      <w:r w:rsidR="00F34D55">
        <w:rPr>
          <w:bCs/>
          <w:iCs/>
          <w:szCs w:val="24"/>
        </w:rPr>
        <w:t xml:space="preserve"> </w:t>
      </w:r>
      <w:r w:rsidRPr="00662E51">
        <w:rPr>
          <w:bCs/>
          <w:iCs/>
          <w:szCs w:val="24"/>
        </w:rPr>
        <w:t>After decades of public provision, the status quo changed in the 1980s, when the state engaged in mass privatisation of council homes through</w:t>
      </w:r>
      <w:r w:rsidR="00F34D55">
        <w:rPr>
          <w:bCs/>
          <w:iCs/>
          <w:szCs w:val="24"/>
        </w:rPr>
        <w:t xml:space="preserve"> policies like the </w:t>
      </w:r>
      <w:r w:rsidR="00F34D55">
        <w:rPr>
          <w:bCs/>
          <w:iCs/>
          <w:szCs w:val="24"/>
        </w:rPr>
        <w:lastRenderedPageBreak/>
        <w:t>Right-to-Buy and Large-Scale Voluntary Transfers</w:t>
      </w:r>
      <w:r w:rsidR="00683D06">
        <w:rPr>
          <w:bCs/>
          <w:iCs/>
          <w:szCs w:val="24"/>
        </w:rPr>
        <w:t xml:space="preserve">. </w:t>
      </w:r>
      <w:r w:rsidRPr="00662E51">
        <w:rPr>
          <w:bCs/>
          <w:iCs/>
          <w:szCs w:val="24"/>
        </w:rPr>
        <w:t>Now, public dwellings are residualised as a tenure of last resort, which this section considers through the lens</w:t>
      </w:r>
      <w:r w:rsidR="00A9489B">
        <w:rPr>
          <w:bCs/>
          <w:iCs/>
          <w:szCs w:val="24"/>
        </w:rPr>
        <w:t>es</w:t>
      </w:r>
      <w:r w:rsidRPr="00662E51">
        <w:rPr>
          <w:bCs/>
          <w:iCs/>
          <w:szCs w:val="24"/>
        </w:rPr>
        <w:t xml:space="preserve"> of </w:t>
      </w:r>
      <w:r w:rsidR="00A9489B">
        <w:rPr>
          <w:bCs/>
          <w:iCs/>
          <w:szCs w:val="24"/>
        </w:rPr>
        <w:t xml:space="preserve">Foucauldian biopolitics and </w:t>
      </w:r>
      <w:r w:rsidRPr="00662E51">
        <w:rPr>
          <w:bCs/>
          <w:iCs/>
          <w:szCs w:val="24"/>
        </w:rPr>
        <w:t>territorial stigma</w:t>
      </w:r>
      <w:r w:rsidR="00A9489B">
        <w:rPr>
          <w:bCs/>
          <w:iCs/>
          <w:szCs w:val="24"/>
        </w:rPr>
        <w:t>ti</w:t>
      </w:r>
      <w:r w:rsidRPr="00662E51">
        <w:rPr>
          <w:bCs/>
          <w:iCs/>
          <w:szCs w:val="24"/>
        </w:rPr>
        <w:t xml:space="preserve">sation. </w:t>
      </w:r>
      <w:r w:rsidR="00683D06">
        <w:rPr>
          <w:bCs/>
          <w:iCs/>
          <w:szCs w:val="24"/>
        </w:rPr>
        <w:t xml:space="preserve">Stigmatisation classified council homes and their residents as the undeserving poor, preparing these </w:t>
      </w:r>
      <w:r w:rsidR="005A4A8E">
        <w:rPr>
          <w:bCs/>
          <w:iCs/>
          <w:szCs w:val="24"/>
        </w:rPr>
        <w:t>inner-city</w:t>
      </w:r>
      <w:r w:rsidR="00683D06">
        <w:rPr>
          <w:bCs/>
          <w:iCs/>
          <w:szCs w:val="24"/>
        </w:rPr>
        <w:t xml:space="preserve"> regions </w:t>
      </w:r>
      <w:r w:rsidR="00FA38B8">
        <w:rPr>
          <w:bCs/>
          <w:iCs/>
          <w:szCs w:val="24"/>
        </w:rPr>
        <w:t xml:space="preserve">for gentrification and later </w:t>
      </w:r>
      <w:r w:rsidR="00A61A01">
        <w:rPr>
          <w:bCs/>
          <w:iCs/>
          <w:szCs w:val="24"/>
        </w:rPr>
        <w:t xml:space="preserve">state-led redevelopment. </w:t>
      </w:r>
      <w:r w:rsidRPr="00662E51">
        <w:rPr>
          <w:bCs/>
          <w:iCs/>
          <w:szCs w:val="24"/>
        </w:rPr>
        <w:t xml:space="preserve">This section then evaluated contemporary council housing, focusing on regeneration schemes that redevelop estates through displacement, demolition, and rebuilding. </w:t>
      </w:r>
      <w:r w:rsidR="00D60A60">
        <w:rPr>
          <w:bCs/>
          <w:iCs/>
          <w:szCs w:val="24"/>
        </w:rPr>
        <w:t xml:space="preserve">Regeneration is overwhelmingly a </w:t>
      </w:r>
      <w:r w:rsidR="0059073A">
        <w:rPr>
          <w:bCs/>
          <w:iCs/>
          <w:szCs w:val="24"/>
        </w:rPr>
        <w:t>detrimental process</w:t>
      </w:r>
      <w:r w:rsidR="001D6A7E">
        <w:rPr>
          <w:bCs/>
          <w:iCs/>
          <w:szCs w:val="24"/>
        </w:rPr>
        <w:t xml:space="preserve">, breaking up and harming communities. However, it has become a neoliberal ‘common sense’ due to austerity pressures and central state-led initiatives. </w:t>
      </w:r>
      <w:r w:rsidR="00E04CED">
        <w:rPr>
          <w:bCs/>
          <w:iCs/>
          <w:szCs w:val="24"/>
        </w:rPr>
        <w:t>Resistance to regeneration is long-standing</w:t>
      </w:r>
      <w:r w:rsidR="00666C82">
        <w:rPr>
          <w:bCs/>
          <w:iCs/>
          <w:szCs w:val="24"/>
        </w:rPr>
        <w:t xml:space="preserve">. </w:t>
      </w:r>
      <w:r w:rsidRPr="00662E51">
        <w:rPr>
          <w:bCs/>
          <w:iCs/>
          <w:szCs w:val="24"/>
        </w:rPr>
        <w:t xml:space="preserve">Finally, I discuss the relevance of race and ethnicity, emphasising </w:t>
      </w:r>
      <w:r w:rsidR="00666C82">
        <w:rPr>
          <w:bCs/>
          <w:iCs/>
          <w:szCs w:val="24"/>
        </w:rPr>
        <w:t xml:space="preserve">how the </w:t>
      </w:r>
      <w:r w:rsidRPr="00662E51">
        <w:rPr>
          <w:bCs/>
          <w:iCs/>
          <w:szCs w:val="24"/>
        </w:rPr>
        <w:t>histories of racism are intertwined with that of council housing.</w:t>
      </w:r>
      <w:r w:rsidR="001A59B0">
        <w:rPr>
          <w:bCs/>
          <w:iCs/>
          <w:szCs w:val="24"/>
        </w:rPr>
        <w:t xml:space="preserve"> The 2017 Grenfell fire highlighted the ways social housing provision has been used to uphold structural racism; has </w:t>
      </w:r>
      <w:r w:rsidR="00133C33">
        <w:rPr>
          <w:bCs/>
          <w:iCs/>
          <w:szCs w:val="24"/>
        </w:rPr>
        <w:t xml:space="preserve">historically been politicised by far-right movements; and a tool </w:t>
      </w:r>
      <w:r w:rsidR="00D76082">
        <w:rPr>
          <w:bCs/>
          <w:iCs/>
          <w:szCs w:val="24"/>
        </w:rPr>
        <w:t xml:space="preserve">to warehouse and disperse ethnically minoritised populations. </w:t>
      </w:r>
      <w:bookmarkStart w:id="107" w:name="_Consumer-Citizen_and_the"/>
      <w:bookmarkEnd w:id="107"/>
    </w:p>
    <w:p w14:paraId="2445E85B" w14:textId="77777777" w:rsidR="00702A09" w:rsidRPr="00662E51" w:rsidRDefault="00702A09">
      <w:pPr>
        <w:rPr>
          <w:bCs/>
          <w:iCs/>
          <w:szCs w:val="24"/>
        </w:rPr>
      </w:pPr>
      <w:r w:rsidRPr="00662E51">
        <w:rPr>
          <w:bCs/>
          <w:iCs/>
          <w:szCs w:val="24"/>
        </w:rPr>
        <w:br w:type="page"/>
      </w:r>
    </w:p>
    <w:p w14:paraId="1CF98D4F" w14:textId="645ABAD2" w:rsidR="00883634" w:rsidRPr="00666C82" w:rsidRDefault="006467FD" w:rsidP="00DB0DB6">
      <w:pPr>
        <w:pStyle w:val="Style1"/>
        <w:rPr>
          <w:rStyle w:val="Heading3Char"/>
          <w:i w:val="0"/>
          <w:iCs w:val="0"/>
          <w:sz w:val="28"/>
          <w:szCs w:val="28"/>
        </w:rPr>
      </w:pPr>
      <w:bookmarkStart w:id="108" w:name="_Toc213173923"/>
      <w:bookmarkStart w:id="109" w:name="_Toc216096146"/>
      <w:bookmarkStart w:id="110" w:name="_Toc221184309"/>
      <w:bookmarkStart w:id="111" w:name="_Toc208328780"/>
      <w:bookmarkStart w:id="112" w:name="_Toc231215232"/>
      <w:r w:rsidRPr="00666C82">
        <w:rPr>
          <w:rStyle w:val="Heading3Char"/>
          <w:i w:val="0"/>
          <w:iCs w:val="0"/>
          <w:sz w:val="28"/>
          <w:szCs w:val="28"/>
        </w:rPr>
        <w:lastRenderedPageBreak/>
        <w:t xml:space="preserve">Chapter </w:t>
      </w:r>
      <w:r w:rsidR="00614983" w:rsidRPr="00666C82">
        <w:rPr>
          <w:rStyle w:val="Heading3Char"/>
          <w:i w:val="0"/>
          <w:iCs w:val="0"/>
          <w:sz w:val="28"/>
          <w:szCs w:val="28"/>
        </w:rPr>
        <w:t>3</w:t>
      </w:r>
      <w:r w:rsidRPr="00666C82">
        <w:rPr>
          <w:rStyle w:val="Heading3Char"/>
          <w:i w:val="0"/>
          <w:iCs w:val="0"/>
          <w:sz w:val="28"/>
          <w:szCs w:val="28"/>
        </w:rPr>
        <w:t xml:space="preserve">: </w:t>
      </w:r>
      <w:r w:rsidR="00970396" w:rsidRPr="00666C82">
        <w:rPr>
          <w:rStyle w:val="Heading3Char"/>
          <w:i w:val="0"/>
          <w:iCs w:val="0"/>
          <w:sz w:val="28"/>
          <w:szCs w:val="28"/>
        </w:rPr>
        <w:t>Literature Review and Conceptual Framework</w:t>
      </w:r>
      <w:bookmarkEnd w:id="108"/>
      <w:bookmarkEnd w:id="109"/>
      <w:bookmarkEnd w:id="110"/>
      <w:bookmarkEnd w:id="112"/>
      <w:r w:rsidR="00970396" w:rsidRPr="00666C82">
        <w:rPr>
          <w:rStyle w:val="Heading3Char"/>
          <w:i w:val="0"/>
          <w:iCs w:val="0"/>
          <w:sz w:val="28"/>
          <w:szCs w:val="28"/>
        </w:rPr>
        <w:t xml:space="preserve"> </w:t>
      </w:r>
      <w:r w:rsidR="00883634" w:rsidRPr="00666C82">
        <w:rPr>
          <w:rStyle w:val="Heading3Char"/>
          <w:i w:val="0"/>
          <w:iCs w:val="0"/>
          <w:sz w:val="28"/>
          <w:szCs w:val="28"/>
        </w:rPr>
        <w:t xml:space="preserve"> </w:t>
      </w:r>
    </w:p>
    <w:p w14:paraId="7153A0FB" w14:textId="77777777" w:rsidR="00C55DF3" w:rsidRPr="00662E51" w:rsidRDefault="00C55DF3" w:rsidP="00F56305">
      <w:pPr>
        <w:pStyle w:val="ListParagraph"/>
        <w:keepNext/>
        <w:keepLines/>
        <w:numPr>
          <w:ilvl w:val="0"/>
          <w:numId w:val="5"/>
        </w:numPr>
        <w:spacing w:line="360" w:lineRule="auto"/>
        <w:contextualSpacing w:val="0"/>
        <w:outlineLvl w:val="1"/>
        <w:rPr>
          <w:rStyle w:val="Heading3Char"/>
          <w:rFonts w:cstheme="majorBidi"/>
          <w:i w:val="0"/>
          <w:iCs w:val="0"/>
          <w:vanish/>
          <w:u w:val="single"/>
          <w:lang w:eastAsia="en-US"/>
        </w:rPr>
      </w:pPr>
      <w:bookmarkStart w:id="113" w:name="_Toc213173924"/>
      <w:bookmarkStart w:id="114" w:name="_Toc216095952"/>
      <w:bookmarkStart w:id="115" w:name="_Toc216096056"/>
      <w:bookmarkStart w:id="116" w:name="_Toc216096147"/>
      <w:bookmarkStart w:id="117" w:name="_Toc216875707"/>
      <w:bookmarkStart w:id="118" w:name="_Toc216875811"/>
      <w:bookmarkStart w:id="119" w:name="_Toc216876588"/>
      <w:bookmarkStart w:id="120" w:name="_Toc216877755"/>
      <w:bookmarkStart w:id="121" w:name="_Toc216878144"/>
      <w:bookmarkStart w:id="122" w:name="_Toc216878495"/>
      <w:bookmarkStart w:id="123" w:name="_Toc216959802"/>
      <w:bookmarkStart w:id="124" w:name="_Toc216960666"/>
      <w:bookmarkStart w:id="125" w:name="_Toc216968005"/>
      <w:bookmarkStart w:id="126" w:name="_Toc216968266"/>
      <w:bookmarkStart w:id="127" w:name="_Toc216968408"/>
      <w:bookmarkStart w:id="128" w:name="_Toc216970080"/>
      <w:bookmarkStart w:id="129" w:name="_Toc216985719"/>
      <w:bookmarkStart w:id="130" w:name="_Toc216985836"/>
      <w:bookmarkStart w:id="131" w:name="_Toc216985953"/>
      <w:bookmarkStart w:id="132" w:name="_Toc216986070"/>
      <w:bookmarkStart w:id="133" w:name="_Toc216986187"/>
      <w:bookmarkStart w:id="134" w:name="_Toc217295407"/>
      <w:bookmarkStart w:id="135" w:name="_Toc220791029"/>
      <w:bookmarkStart w:id="136" w:name="_Toc220922361"/>
      <w:bookmarkStart w:id="137" w:name="_Toc221112482"/>
      <w:bookmarkStart w:id="138" w:name="_Toc221184310"/>
      <w:bookmarkStart w:id="139" w:name="_Toc221195225"/>
      <w:bookmarkStart w:id="140" w:name="_Toc221786809"/>
      <w:bookmarkStart w:id="141" w:name="_Toc231215233"/>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7EE3C606" w14:textId="53180082" w:rsidR="007B4EA4" w:rsidRPr="00662E51" w:rsidRDefault="007B4EA4" w:rsidP="00F56305">
      <w:pPr>
        <w:pStyle w:val="Heading2"/>
        <w:rPr>
          <w:rStyle w:val="Heading3Char"/>
          <w:i w:val="0"/>
          <w:iCs w:val="0"/>
        </w:rPr>
      </w:pPr>
      <w:bookmarkStart w:id="142" w:name="_Toc213173925"/>
      <w:bookmarkStart w:id="143" w:name="_Toc216096148"/>
      <w:bookmarkStart w:id="144" w:name="_Toc221184311"/>
      <w:bookmarkStart w:id="145" w:name="_Toc231215234"/>
      <w:r w:rsidRPr="00662E51">
        <w:rPr>
          <w:rStyle w:val="Heading3Char"/>
          <w:rFonts w:cstheme="majorBidi"/>
          <w:i w:val="0"/>
          <w:iCs w:val="0"/>
        </w:rPr>
        <w:t>Introduction</w:t>
      </w:r>
      <w:bookmarkEnd w:id="142"/>
      <w:bookmarkEnd w:id="143"/>
      <w:bookmarkEnd w:id="144"/>
      <w:r w:rsidR="00836748">
        <w:rPr>
          <w:rStyle w:val="Heading3Char"/>
          <w:rFonts w:cstheme="majorBidi"/>
          <w:i w:val="0"/>
          <w:iCs w:val="0"/>
        </w:rPr>
        <w:t>:</w:t>
      </w:r>
      <w:bookmarkEnd w:id="145"/>
    </w:p>
    <w:p w14:paraId="046D18A0" w14:textId="2FB13081" w:rsidR="007B4EA4" w:rsidRDefault="007B4EA4" w:rsidP="00F56305">
      <w:pPr>
        <w:spacing w:line="360" w:lineRule="auto"/>
        <w:ind w:left="0"/>
        <w:contextualSpacing/>
        <w:rPr>
          <w:szCs w:val="24"/>
        </w:rPr>
      </w:pPr>
      <w:r w:rsidRPr="00662E51">
        <w:rPr>
          <w:szCs w:val="24"/>
        </w:rPr>
        <w:t>This chapter is a critical review of the theoretical and empirical research with which my thesis is in a dialogue. The review links together</w:t>
      </w:r>
      <w:r w:rsidR="00C9756A">
        <w:rPr>
          <w:szCs w:val="24"/>
        </w:rPr>
        <w:t xml:space="preserve"> the conceptual</w:t>
      </w:r>
      <w:r w:rsidRPr="00662E51">
        <w:rPr>
          <w:szCs w:val="24"/>
        </w:rPr>
        <w:t xml:space="preserve"> literatures of </w:t>
      </w:r>
      <w:r w:rsidR="00D3031B" w:rsidRPr="00D3031B">
        <w:rPr>
          <w:szCs w:val="24"/>
        </w:rPr>
        <w:t>the state and the party</w:t>
      </w:r>
      <w:r w:rsidR="00D3031B">
        <w:rPr>
          <w:szCs w:val="24"/>
        </w:rPr>
        <w:t xml:space="preserve">, </w:t>
      </w:r>
      <w:r w:rsidRPr="00662E51">
        <w:rPr>
          <w:szCs w:val="24"/>
        </w:rPr>
        <w:t xml:space="preserve">authoritarian neoliberalism (AN), and citizenship. The </w:t>
      </w:r>
      <w:r w:rsidR="00D3031B">
        <w:rPr>
          <w:szCs w:val="24"/>
        </w:rPr>
        <w:t xml:space="preserve">first </w:t>
      </w:r>
      <w:r w:rsidRPr="00662E51">
        <w:rPr>
          <w:szCs w:val="24"/>
        </w:rPr>
        <w:t xml:space="preserve">section considers the local state and the local party. As one of the thesis’s motivations is to argue for the importance of political parties in the maintenance of local authoritarian neoliberalism, this review links sets the conceptual groundwork for </w:t>
      </w:r>
      <w:r w:rsidR="00D044EE">
        <w:rPr>
          <w:szCs w:val="24"/>
        </w:rPr>
        <w:t xml:space="preserve">later </w:t>
      </w:r>
      <w:r w:rsidRPr="00662E51">
        <w:rPr>
          <w:szCs w:val="24"/>
        </w:rPr>
        <w:t xml:space="preserve">linking together AN and theories of the local state. I draw on critical perspectives on the capitalist state </w:t>
      </w:r>
      <w:r w:rsidRPr="00662E51">
        <w:rPr>
          <w:szCs w:val="24"/>
        </w:rPr>
        <w:fldChar w:fldCharType="begin"/>
      </w:r>
      <w:r w:rsidR="008835AB" w:rsidRPr="00662E51">
        <w:rPr>
          <w:szCs w:val="24"/>
        </w:rPr>
        <w:instrText xml:space="preserve"> ADDIN ZOTERO_ITEM CSL_CITATION {"citationID":"a10qhei4fqd","properties":{"formattedCitation":"(Jessop 2010; Miliband 1983)","plainCitation":"(Jessop 2010; Miliband 1983)","noteIndex":0},"citationItems":[{"id":5755,"uris":["http://zotero.org/users/8977980/items/2VETAAYR"],"itemData":{"id":5755,"type":"book","edition":"Reprinted","ISBN":"978-0-7456-3320-6","language":"eng","number-of-pages":"301","publisher":"Polity Press","publisher-place":"Cambridge","source":"K10plus ISBN","title":"State Power: a strategic-relational approach","title-short":"State power","author":[{"family":"Jessop","given":"Bob"}],"issued":{"date-parts":[["2010"]]}}},{"id":6803,"uris":["http://zotero.org/users/8977980/items/JUHYD6JY"],"itemData":{"id":6803,"type":"article-journal","abstract":"Work done in the last fifteen years or so by people writing within a broad Marxist perspective on the subject of the state in capitalist society now fills a great many bookshelves; and however critical one may be of one or other article, book or trend, it is . . .","container-title":"New Left Review","issue":"I/138","journalAbbreviation":"New Left Rev","page":"57-68","source":"New Left Review","title":"State Power and Class Interests","author":[{"family":"Miliband","given":"Ralph"}],"issued":{"date-parts":[["1983",4,1]]}}}],"schema":"https://github.com/citation-style-language/schema/raw/master/csl-citation.json"} </w:instrText>
      </w:r>
      <w:r w:rsidRPr="00662E51">
        <w:rPr>
          <w:szCs w:val="24"/>
        </w:rPr>
        <w:fldChar w:fldCharType="separate"/>
      </w:r>
      <w:r w:rsidR="0095662D" w:rsidRPr="00662E51">
        <w:t>(Jessop 2010; Miliband 1983)</w:t>
      </w:r>
      <w:r w:rsidRPr="00662E51">
        <w:rPr>
          <w:szCs w:val="24"/>
        </w:rPr>
        <w:fldChar w:fldCharType="end"/>
      </w:r>
      <w:r w:rsidRPr="00662E51">
        <w:rPr>
          <w:szCs w:val="24"/>
        </w:rPr>
        <w:t xml:space="preserve"> that primarily rely on a relational </w:t>
      </w:r>
      <w:r w:rsidRPr="00662E51">
        <w:rPr>
          <w:szCs w:val="24"/>
        </w:rPr>
        <w:fldChar w:fldCharType="begin"/>
      </w:r>
      <w:r w:rsidR="008835AB" w:rsidRPr="00662E51">
        <w:rPr>
          <w:szCs w:val="24"/>
        </w:rPr>
        <w:instrText xml:space="preserve"> ADDIN ZOTERO_ITEM CSL_CITATION {"citationID":"riz4lQyo","properties":{"formattedCitation":"(Poulantzas [1978] 2014)","plainCitation":"(Poulantzas [1978] 2014)","noteIndex":0},"citationItems":[{"id":6442,"uris":["http://zotero.org/users/8977980/items/DDJCGAMH"],"itemData":{"id":6442,"type":"book","collection-title":"Radical thinkers","ISBN":"978-1-78168-148-0","language":"eng","number-of-pages":"269","publisher":"Verso","publisher-place":"London","source":"K10plus ISBN","title":"State, Power, Socialism","author":[{"family":"Poulantzas","given":"Nikos A."}],"translator":[{"family":"Camiller","given":"Patrick"}],"issued":{"date-parts":[["2014"]]},"original-date":{"date-parts":[["1978"]]}}}],"schema":"https://github.com/citation-style-language/schema/raw/master/csl-citation.json"} </w:instrText>
      </w:r>
      <w:r w:rsidRPr="00662E51">
        <w:rPr>
          <w:szCs w:val="24"/>
        </w:rPr>
        <w:fldChar w:fldCharType="separate"/>
      </w:r>
      <w:r w:rsidR="00510B5F" w:rsidRPr="00662E51">
        <w:t>(Poulantzas [1978] 2014)</w:t>
      </w:r>
      <w:r w:rsidRPr="00662E51">
        <w:rPr>
          <w:szCs w:val="24"/>
        </w:rPr>
        <w:fldChar w:fldCharType="end"/>
      </w:r>
      <w:r w:rsidRPr="00662E51">
        <w:rPr>
          <w:szCs w:val="24"/>
        </w:rPr>
        <w:t xml:space="preserve"> and state-effect </w:t>
      </w:r>
      <w:r w:rsidRPr="00662E51">
        <w:rPr>
          <w:szCs w:val="24"/>
        </w:rPr>
        <w:fldChar w:fldCharType="begin"/>
      </w:r>
      <w:r w:rsidR="00213B80">
        <w:rPr>
          <w:szCs w:val="24"/>
        </w:rPr>
        <w:instrText xml:space="preserve"> ADDIN ZOTERO_ITEM CSL_CITATION {"citationID":"a272dcn5732","properties":{"formattedCitation":"(T. Mitchell 1991; Painter 2006)","plainCitation":"(T. Mitchell 1991; Painter 2006)","noteIndex":0},"citationItems":[{"id":6799,"uris":["http://zotero.org/users/8977980/items/ZFCRBH3S"],"itemData":{"id":6799,"type":"article-journal","abstract":"The state has always been difficult to define. Its boundary with society appears elusive, porous, and mobile. I argue that this elusiveness should not be overcome by sharper definitions, but explored as a clue to the state's nature. Analysis of the literature shows that neither rejecting the state in favor of such concepts as the political system, nor “bringing it back in,” has dealt with this boundary problem. The former approach founders on it, the latter avoids it by a narrow idealism that construes the state-society distinction as an external relation between subjective and objective entities. A third approach, presented here, can account for both the salience of the state and its elusiveness. Reanalyzing evidence presented by recent theorists, state-society boundaries are shown to be distinctions erected internally, as an aspect of more complex power relations. Their appearance can be historically traced to technical innovations of the modern social order, whereby methods of organization and control internal to the social processes they govern create the effect of a state structure external to those processes.","container-title":"American Political Science Review","DOI":"10.2307/1962879","ISSN":"0003-0554, 1537-5943","issue":"1","language":"en","page":"77-96","source":"Cambridge University Press","title":"The Limits of the State: Beyond Statist Approaches and their Critics","title-short":"The Limits of the State","volume":"85","author":[{"family":"Mitchell","given":"Timothy"}],"issued":{"date-parts":[["1991",3]]}}},{"id":4455,"uris":["http://zotero.org/users/8977980/items/GL23LQTK"],"itemData":{"id":4455,"type":"article-journal","abstract":"Despite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stateness","volume":"25","author":[{"family":"Painter","given":"Joe"}],"issued":{"date-parts":[["2006",9,1]]}}}],"schema":"https://github.com/citation-style-language/schema/raw/master/csl-citation.json"} </w:instrText>
      </w:r>
      <w:r w:rsidRPr="00662E51">
        <w:rPr>
          <w:szCs w:val="24"/>
        </w:rPr>
        <w:fldChar w:fldCharType="separate"/>
      </w:r>
      <w:r w:rsidR="00213B80" w:rsidRPr="00213B80">
        <w:t>(T. Mitchell 1991; Painter 2006)</w:t>
      </w:r>
      <w:r w:rsidRPr="00662E51">
        <w:rPr>
          <w:szCs w:val="24"/>
        </w:rPr>
        <w:fldChar w:fldCharType="end"/>
      </w:r>
      <w:r w:rsidRPr="00662E51">
        <w:rPr>
          <w:szCs w:val="24"/>
        </w:rPr>
        <w:t xml:space="preserve"> approach. The same is true for the urban scale: the state here </w:t>
      </w:r>
      <w:r w:rsidR="001A7003">
        <w:rPr>
          <w:szCs w:val="24"/>
        </w:rPr>
        <w:t xml:space="preserve">(i.e., Haringey Borough) </w:t>
      </w:r>
      <w:r w:rsidRPr="00662E51">
        <w:rPr>
          <w:szCs w:val="24"/>
        </w:rPr>
        <w:t xml:space="preserve">is relational and capitalist </w:t>
      </w:r>
      <w:r w:rsidRPr="00662E51">
        <w:rPr>
          <w:szCs w:val="24"/>
        </w:rPr>
        <w:fldChar w:fldCharType="begin"/>
      </w:r>
      <w:r w:rsidR="00213B80">
        <w:rPr>
          <w:szCs w:val="24"/>
        </w:rPr>
        <w:instrText xml:space="preserve"> ADDIN ZOTERO_ITEM CSL_CITATION {"citationID":"NlJeRZIy","properties":{"formattedCitation":"(N. Brenner 2009; Painter 1991)","plainCitation":"(N. Brenner 2009; Painter 1991)","noteIndex":0},"citationItems":[{"id":6813,"uris":["http://zotero.org/users/8977980/items/5RVXA7QC"],"itemData":{"id":6813,"type":"article-journal","abstract":"Recent work on state rescaling has opened up productive lines of theorization and research. However, this literature contains many open theoretical, interpretive, methodological and empirical questions. By drawing attention to several of these, this article aims to promote reflection and debate on possible future lines of research within this field. I argue, in particular, for greater attention to questions of method—specifically, to the mediations linking abstract concepts to concrete, contextually specific investigations. The article concludes by outlining three research frontiers that could be productively explored within future work on state rescaling—logics of explanation, comparative analyses and questions of periodization.","container-title":"Cambridge Journal of Regions, Economy and Society","DOI":"10.1093/cjres/rsp002","ISSN":"1752-1378","issue":"1","journalAbbreviation":"Cambridge J Regions Econ Soc","page":"123-139","source":"Silverchair","title":"Open questions on state rescaling","volume":"2","author":[{"family":"Brenner","given":"Neil"}],"issued":{"date-parts":[["2009",3,1]]}}},{"id":6780,"uris":["http://zotero.org/users/8977980/items/PXUF4DHP"],"itemData":{"id":6780,"type":"article-journal","container-title":"Local Government Studies","DOI":"10.1080/03003939108433604","ISSN":"0300-3930, 1743-9388","issue":"6","language":"en","page":"23-44","publisher":"Informa UK Limited","source":"Crossref","title":"Regulation theory and local government","volume":"17","author":[{"family":"Painter","given":"Joe"}],"issued":{"date-parts":[["1991",11]]}}}],"schema":"https://github.com/citation-style-language/schema/raw/master/csl-citation.json"} </w:instrText>
      </w:r>
      <w:r w:rsidRPr="00662E51">
        <w:rPr>
          <w:szCs w:val="24"/>
        </w:rPr>
        <w:fldChar w:fldCharType="separate"/>
      </w:r>
      <w:r w:rsidR="00213B80" w:rsidRPr="00213B80">
        <w:t>(N. Brenner 2009; Painter 1991)</w:t>
      </w:r>
      <w:r w:rsidRPr="00662E51">
        <w:rPr>
          <w:szCs w:val="24"/>
        </w:rPr>
        <w:fldChar w:fldCharType="end"/>
      </w:r>
      <w:r w:rsidRPr="00662E51">
        <w:rPr>
          <w:szCs w:val="24"/>
        </w:rPr>
        <w:t xml:space="preserve">. Yet, the local state is not simply a miniature version of the national one </w:t>
      </w:r>
      <w:r w:rsidRPr="00662E51">
        <w:rPr>
          <w:szCs w:val="24"/>
        </w:rPr>
        <w:fldChar w:fldCharType="begin"/>
      </w:r>
      <w:r w:rsidR="00F15CF8">
        <w:rPr>
          <w:szCs w:val="24"/>
        </w:rPr>
        <w:instrText xml:space="preserve"> ADDIN ZOTERO_ITEM CSL_CITATION {"citationID":"z6H45KgT","properties":{"formattedCitation":"(James 2009; Ormerod 2017, 2021; Ormerod and MacLeod 2019)","plainCitation":"(James 2009; Ormerod 2017, 2021; Ormerod and MacLeod 2019)","noteIndex":0},"citationItems":[{"id":6808,"uris":["http://zotero.org/users/8977980/items/DC529P9Y"],"itemData":{"id":6808,"type":"article-journal","abstract":"This article contributes to an ongoing debate about the causal source of policy change by considering whether the Régulation approach, which has been largely discarded since the 1990s, can help to explain change in economic development polices at the level of local government in the UK. First, the ‘decline’ of the approach is explained by interviewing key exponents of the approach from the 1990s. Second, the approach is applied to a narrative of local economic policy in the City of York 1980–2006. In applying the Régulation approach, a number of problems are encountered. Chiefly, as a macro-approach, it lacks the finer tools to be able to explain all aspects of local change. Moreover, the approach is open to the charge of over-determinism by over-privileging the role of economic crisis in change. In the case of York, the cause of change has not been any crisis of Fordism but instead an acceptance of neo-liberalism in national and international spheres of governance, the inevitability of which may be overstated by exponents of the crisis of Fordism. However, the application of the Régulation approach to the case study reaffirms the importance of broader hegemonic political struggles and economic change to the study of local institutions, and the insights that more holistic analysis can make to the study of institutional change. Without some linkage to the broader economic and political hegemonic struggles, that the Régulation approach provides, meso-level theories are inherently wanting. The approach may be worth revisiting in the light of the new crisis of capitalism.","container-title":"Policy Studies","DOI":"10.1080/01442870902723717","ISSN":"0144-2872","issue":"2","note":"_eprint: https://doi.org/10.1080/01442870902723717","page":"181-201","publisher":"RSA Website","source":"Taylor and Francis+NEJM","title":"Whatever happened to Régulation theory? The Régulation approach and local government revisited","title-short":"Whatever happened to Régulation theory?","volume":"30","author":[{"family":"James","given":"Toby S."}],"issued":{"date-parts":[["2009",4,1]]}}},{"id":6579,"uris":["http://zotero.org/users/8977980/items/UYJQMU9X"],"itemData":{"id":6579,"type":"thesis","abstract":"Housing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00F15CF8" w:rsidRPr="00F15CF8">
        <w:t>(James 2009; Ormerod 2017, 2021; Ormerod and MacLeod 2019)</w:t>
      </w:r>
      <w:r w:rsidRPr="00662E51">
        <w:rPr>
          <w:szCs w:val="24"/>
        </w:rPr>
        <w:fldChar w:fldCharType="end"/>
      </w:r>
      <w:r w:rsidRPr="00662E51">
        <w:rPr>
          <w:szCs w:val="24"/>
        </w:rPr>
        <w:t xml:space="preserve">. As such, the review here considers the local state as a particular object of research, leveraging scholarship on councils and councillors </w:t>
      </w:r>
      <w:r w:rsidRPr="00662E51">
        <w:rPr>
          <w:szCs w:val="24"/>
        </w:rPr>
        <w:fldChar w:fldCharType="begin"/>
      </w:r>
      <w:r w:rsidR="00213B80">
        <w:rPr>
          <w:szCs w:val="24"/>
        </w:rPr>
        <w:instrText xml:space="preserve"> ADDIN ZOTERO_ITEM CSL_CITATION {"citationID":"a1nf2v5mbge","properties":{"formattedCitation":"(Cockburn 1980; Copus 2004; D. J. Wilson and Game 2011)","plainCitation":"(Cockburn 1980; Copus 2004; D. J. Wilson and Game 2011)","noteIndex":0},"citationItems":[{"id":5811,"uris":["http://zotero.org/users/8977980/items/U5ZYVUT5"],"itemData":{"id":5811,"type":"book","edition":"Repr","ISBN":"978-0-904383-48-5","language":"eng","number-of-pages":"207","publisher":"Pluto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Government","author":[{"family":"Copus","given":"Colin"}],"issued":{"date-parts":[["2004"]]}}},{"id":6024,"uris":["http://zotero.org/users/8977980/items/KPWE8DA3"],"itemData":{"id":6024,"type":"book","abstract":"During its 13 years of office, Labour's modernization agenda transformed the world of UK local government. Amidst a starkly altered political and economic climate the coalition government formed in 2010 pledged to implement equally radical changes to the system. Taking account of the coalition's programme for government and its first round of spending cuts, the completely revised and updated fifth edition of this popular and established text is timed to take full advantage of this historic juncture.David Wilson and Chris Game provide readers with systematic coverage of the UK's local government. The book examines its defining features, its history, changing structure, operations, functions, financing, and its relations with central government.The fifth edition gives additional emphasis to local government in the devolved regions of the UK, and provides more extensive analysis of centre-local government relations. The authors deliver a thorough critique of Labour's third term in office. Looking ahead, the book anticipates the future of local government under the coalition government. Two themes look likely to dominate policy making: decentralization and cuts to public spending. With its clear, accessible, non-technical style and popular illustrations, Local Government in the United Kingdom will be essential reading for students, practitioners, and anyone with an interest in local politics.","ISBN":"978-0-230-35667-2","language":"en","number-of-pages":"457","publisher":"Bloomsbury Publishing","title":"Local Government in the United Kingdom","author":[{"family":"Wilson","given":"David J."},{"family":"Game","given":"Chris"}],"issued":{"date-parts":[["2011",4,12]]}}}],"schema":"https://github.com/citation-style-language/schema/raw/master/csl-citation.json"} </w:instrText>
      </w:r>
      <w:r w:rsidRPr="00662E51">
        <w:rPr>
          <w:szCs w:val="24"/>
        </w:rPr>
        <w:fldChar w:fldCharType="separate"/>
      </w:r>
      <w:r w:rsidR="00213B80" w:rsidRPr="00213B80">
        <w:t>(Cockburn 1980; Copus 2004; D. J. Wilson and Game 2011)</w:t>
      </w:r>
      <w:r w:rsidRPr="00662E51">
        <w:rPr>
          <w:szCs w:val="24"/>
        </w:rPr>
        <w:fldChar w:fldCharType="end"/>
      </w:r>
      <w:r w:rsidRPr="00662E51">
        <w:rPr>
          <w:szCs w:val="24"/>
        </w:rPr>
        <w:t xml:space="preserve">. My review of local political parties relies on critical perspectives of the Labour Party, which argue that the party is interested in narrow parliamentarianism rather than real material change </w:t>
      </w:r>
      <w:r w:rsidRPr="00662E51">
        <w:rPr>
          <w:szCs w:val="24"/>
        </w:rPr>
        <w:fldChar w:fldCharType="begin"/>
      </w:r>
      <w:r w:rsidR="008835AB" w:rsidRPr="00662E51">
        <w:rPr>
          <w:szCs w:val="24"/>
        </w:rPr>
        <w:instrText xml:space="preserve"> ADDIN ZOTERO_ITEM CSL_CITATION {"citationID":"XMwGeN2l","properties":{"formattedCitation":"(Cockburn 1980; Gilbert 2023; Miliband 1973)","plainCitation":"(Cockburn 1980; Gilbert 2023; Miliband 1973)","noteIndex":0},"citationItems":[{"id":5811,"uris":["http://zotero.org/users/8977980/items/U5ZYVUT5"],"itemData":{"id":5811,"type":"book","edition":"Repr","ISBN":"978-0-904383-48-5","language":"eng","number-of-pages":"207","publisher":"Pluto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6775,"uris":["http://zotero.org/users/8977980/items/WA9H2UEI"],"itemData":{"id":6775,"type":"book","call-number":"324.24107 MIL","edition":"2d ed.","ISBN":"978-0-85036-135-3","language":"eng","number-of-pages":"384","publisher":"Merlin Press","publisher-place":"London","source":"discover.durham.ac.uk","title":"Parliamentary socialism: a study in the politics of Labour","title-short":"Parliamentary socialism","author":[{"family":"Miliband","given":"Ralph"}],"issued":{"date-parts":[["1973"]]}}}],"schema":"https://github.com/citation-style-language/schema/raw/master/csl-citation.json"} </w:instrText>
      </w:r>
      <w:r w:rsidRPr="00662E51">
        <w:rPr>
          <w:szCs w:val="24"/>
        </w:rPr>
        <w:fldChar w:fldCharType="separate"/>
      </w:r>
      <w:r w:rsidR="00DA1306" w:rsidRPr="00662E51">
        <w:t>(Cockburn 1980; Gilbert 2023; Miliband 1973)</w:t>
      </w:r>
      <w:r w:rsidRPr="00662E51">
        <w:rPr>
          <w:szCs w:val="24"/>
        </w:rPr>
        <w:fldChar w:fldCharType="end"/>
      </w:r>
      <w:r w:rsidRPr="00662E51">
        <w:rPr>
          <w:szCs w:val="24"/>
        </w:rPr>
        <w:t>. I connect the party and the state, introducing the idea of the state-party nexus</w:t>
      </w:r>
      <w:r w:rsidR="008B55BE">
        <w:rPr>
          <w:szCs w:val="24"/>
        </w:rPr>
        <w:t xml:space="preserve"> before discussing authoritarian neoliberalism.</w:t>
      </w:r>
    </w:p>
    <w:p w14:paraId="337A26F6" w14:textId="1FE1D479" w:rsidR="00D90C89" w:rsidRDefault="00D3031B" w:rsidP="001D2FA0">
      <w:pPr>
        <w:spacing w:line="360" w:lineRule="auto"/>
        <w:ind w:left="0" w:firstLine="720"/>
        <w:contextualSpacing/>
        <w:rPr>
          <w:szCs w:val="24"/>
        </w:rPr>
      </w:pPr>
      <w:r w:rsidRPr="00662E51">
        <w:rPr>
          <w:szCs w:val="24"/>
        </w:rPr>
        <w:t xml:space="preserve">The </w:t>
      </w:r>
      <w:r>
        <w:rPr>
          <w:szCs w:val="24"/>
        </w:rPr>
        <w:t xml:space="preserve">second portion </w:t>
      </w:r>
      <w:r w:rsidRPr="00662E51">
        <w:rPr>
          <w:szCs w:val="24"/>
        </w:rPr>
        <w:t xml:space="preserve">introduces authoritarian neoliberalism as theoretical approach to modern governance </w:t>
      </w:r>
      <w:r w:rsidRPr="00662E51">
        <w:rPr>
          <w:szCs w:val="24"/>
        </w:rPr>
        <w:fldChar w:fldCharType="begin"/>
      </w:r>
      <w:r w:rsidRPr="00662E51">
        <w:rPr>
          <w:szCs w:val="24"/>
        </w:rPr>
        <w:instrText xml:space="preserve"> ADDIN ZOTERO_ITEM CSL_CITATION {"citationID":"dAqmptMk","properties":{"formattedCitation":"(Bruff 2014; Tansel 2017)","plainCitation":"(Bruff 2014; Tansel 2017)","noteIndex":0},"citationItems":[{"id":5773,"uris":["http://zotero.org/users/8977980/items/YQRZXUST"],"itemData":{"id":5773,"type":"article-journal","container-title":"Rethinking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Burak"}],"issued":{"date-parts":[["2017",2,8]]}}}],"schema":"https://github.com/citation-style-language/schema/raw/master/csl-citation.json"} </w:instrText>
      </w:r>
      <w:r w:rsidRPr="00662E51">
        <w:rPr>
          <w:szCs w:val="24"/>
        </w:rPr>
        <w:fldChar w:fldCharType="separate"/>
      </w:r>
      <w:r w:rsidRPr="00662E51">
        <w:t>(Bruff 2014; Tansel 2017)</w:t>
      </w:r>
      <w:r w:rsidRPr="00662E51">
        <w:rPr>
          <w:szCs w:val="24"/>
        </w:rPr>
        <w:fldChar w:fldCharType="end"/>
      </w:r>
      <w:r w:rsidRPr="00662E51">
        <w:rPr>
          <w:szCs w:val="24"/>
        </w:rPr>
        <w:t xml:space="preserve">, its conceptual development </w:t>
      </w:r>
      <w:r w:rsidRPr="00662E51">
        <w:rPr>
          <w:szCs w:val="24"/>
        </w:rPr>
        <w:fldChar w:fldCharType="begin"/>
      </w:r>
      <w:r w:rsidRPr="00662E51">
        <w:rPr>
          <w:szCs w:val="24"/>
        </w:rPr>
        <w:instrText xml:space="preserve"> ADDIN ZOTERO_ITEM CSL_CITATION {"citationID":"EaqsWdi5","properties":{"formattedCitation":"(Davey and Koch 2021; Da Costa Vieira 2023)","plainCitation":"(Davey and Koch 2021; Da Costa Vieira 2023)","noteIndex":0},"citationItems":[{"id":5121,"uris":["http://zotero.org/users/8977980/items/RGMNPPDQ"],"itemData":{"id":5121,"type":"article-journal","abstract":"In Britain, especially in the 2010s, neoliberal reform involved an extension of legal coercion into the domestic and community lives of marginalized citizens. On two postindustrial housing estates in Britain, working-class residents experience this “everyday authoritarianism” in areas that the liberal state typically constructs as private and purports to leave alone: the home and the intimate relations that frame it. Residents engage this legal coercion by adopting responses that range from defensive avoidance to co-opting officials to acts of vigilantism. By doing so, they negotiate the presence of an authority that is often out of sync with their own expectations for protection, and in some cases actively undermines their efforts to remain safe. Their pluralism can be framed neither in terms of an acceptance of state authority nor as a straightforward refusal to be governed. Rather, it reveals the contradictory ways in which marginalized citizens define their relationship to the state under contemporary conditions of class fragmentation. By adding detail on everyday life to meta-narratives of an authoritarian turn, this article theorizes the political potential and limits of people's daily engagements with the state for contesting the latter's authority. [class, coercion, liberal governance]","container-title":"PoLAR: Political and Legal Anthropology Review","DOI":"10.1111/plar.12422","ISSN":"1555-2934","issue":"1","language":"en","note":"_eprint: https://onlinelibrary.wiley.com/doi/pdf/10.1111/plar.12422","page":"43-59","source":"Wiley Online Library","title":"Everyday Authoritarianism: Class and Coercion on Housing Estates in Neoliberal Britain","title-short":"Everyday Authoritarianism","volume":"44","author":[{"family":"Davey","given":"Ryan"},{"family":"Koch","given":"Insa Lee"}],"issued":{"date-parts":[["2021"]]}}},{"id":5759,"uris":["http://zotero.org/users/8977980/items/QJQY2YCJ"],"itemData":{"id":5759,"type":"article-journal","abstract":"In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Vieira","given":"Thomas"}],"issued":{"date-parts":[["2023",10,1]]}}}],"schema":"https://github.com/citation-style-language/schema/raw/master/csl-citation.json"} </w:instrText>
      </w:r>
      <w:r w:rsidRPr="00662E51">
        <w:rPr>
          <w:szCs w:val="24"/>
        </w:rPr>
        <w:fldChar w:fldCharType="separate"/>
      </w:r>
      <w:r w:rsidRPr="00662E51">
        <w:t>(Davey and Koch 2021; Da Costa Vieira 2023)</w:t>
      </w:r>
      <w:r w:rsidRPr="00662E51">
        <w:rPr>
          <w:szCs w:val="24"/>
        </w:rPr>
        <w:fldChar w:fldCharType="end"/>
      </w:r>
      <w:r w:rsidRPr="00662E51">
        <w:rPr>
          <w:szCs w:val="24"/>
        </w:rPr>
        <w:t xml:space="preserve">, and its use within urban and geographical studies </w:t>
      </w:r>
      <w:r w:rsidRPr="00662E51">
        <w:rPr>
          <w:szCs w:val="24"/>
        </w:rPr>
        <w:fldChar w:fldCharType="begin"/>
      </w:r>
      <w:r w:rsidR="00213B80">
        <w:rPr>
          <w:szCs w:val="24"/>
        </w:rPr>
        <w:instrText xml:space="preserve"> ADDIN ZOTERO_ITEM CSL_CITATION {"citationID":"ZJ2Pdy7U","properties":{"formattedCitation":"(Can et al. 2024; Di Giovanni 2017; Ergenc and Yuksekkaya 2024; Fearn 2024; \\uc0\\u214{}zata\\uc0\\u287{}an et al. 2025)","plainCitation":"(Can et al. 2024; Di Giovanni 2017; Ergenc and Yuksekkaya 2024; Fearn 2024; Özatağan et al. 2025)","noteIndex":0},"citationItems":[{"id":5762,"uris":["http://zotero.org/users/8977980/items/NKYRYKPW"],"itemData":{"id":5762,"type":"article-journal","abstract":"This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id":5760,"uris":["http://zotero.org/users/8977980/items/GSCPPQQZ"],"itemData":{"id":5760,"type":"chapter","abstract":"Authoritarian neoliberalism : towards a new research agenda / Cemal Burak Tansel -- Authoritarian neoliberalism and the disciplining of labour / Mònica Clua-Losada and Olatz Ribera-Almandoz -- Commodified pacification : police, commercial security and the state / Kendra Briken and Volker Eick -- Bodies in resistance : conversations on gender, body politics and authoritarian neoliberalism / Wendy Harcourt -- The right to starve : hunger, discipline and labour market restructuring under authoritarian neoliberalism / Sébastien Rioux -- Urban transformation under authoritarian neoliberalism / Annalena di Giovanni -- From Mare Nostrum to Triton : humanitarian emergencies and neoliberal migration management in the Mediterranean / Luca Manunza -- Cease to exist? : the European \"social\" model and the hardening of \"soft\" EU law / Ian Bruff -- The authoritarian and disciplinary mechanism of reduced sovereignty in the EU : the case of Greece / Panagiotis Sotiris -- Antinomies of authoritarian neoliberalism in Turkey : the Justice and Development Party era / Baris Alp Özden, Ismet Akça and Ahmet Bekmen -- Resistance and passive revolution in Egypt and Morocco / Brecht De Smet and Koenraad Bogaert -- Klepto-neoliberalism : authoritarianism and patronage in Cambodia / Simon Springer -- Variegated neoliberalization as a function and outcome of neo-authoritarianism in China / Kean Fan Lim -- Postscript / Cynthia Enloe","collection-title":"Transforming capitalism","container-title":"States of discipline: authoritarian neoliberalism and the contested reproduction of capitalist order","ISBN":"978-1-78348-620-5","language":"eng","page":"107-124","publisher":"Rowman &amp; Littlefield International","publisher-place":"London ; New York","title":"Urban Transformation under Authoritarian Neoliberalism","editor":[{"family":"Tansel","given":"Cemal Burak"}],"author":[{"family":"Di Giovanni","given":"Annalena"}],"issued":{"date-parts":[["2017"]]}}},{"id":6435,"uris":["http://zotero.org/users/8977980/items/XK8GISU8"],"itemData":{"id":6435,"type":"article-journal","abstract":"The changes in the global neoliberal order leading up to the 2008 financial crisis shaped individual countries’ political–administrative transformations. One of the most important trends in politic...","archive_location":"world","container-title":"Territory, Politics, Governance","ISSN":"2162-2671","language":"EN","license":"© 2022 The Author(s). Published by Informa UK Limited, trading as Taylor &amp; Francis Group","publisher":"Routledge","source":"www.tandfonline.com","title":"Institutionalizing authoritarian urbanism and the centralization of urban decision-making","URL":"https://www.tandfonline.com/doi/abs/10.1080/21622671.2021.2020156","author":[{"family":"Ergenc","given":"Ceren"},{"family":"Yuksekkaya","given":"Ozge"}],"accessed":{"date-parts":[["2025",5,2]]},"issued":{"date-parts":[["2024",3,15]]}}},{"id":6433,"uris":["http://zotero.org/users/8977980/items/2XKUHD7L"],"itemData":{"id":6433,"type":"article-journal","abstract":"Neoliberalisation, particularly since the financial crisis, has been associated with significant housing crises. Rising prices and rents have benefitted asset owners, whilst squeezing younger generations out of the ‘property owning democracy’. As the tensions between these two groups grow, states are seeking further reforms to urban planning to deliver greater levels of private house-building, as a policy fix which also serves the interests of capital. To deliver further neoliberal reforms, though, states are increasingly turning towards more authoritarian practices to manage growing dissent to neoliberal rule. Drawing on Gramsci and theoretical insights from the major crises of the 1970s, this paper analyses how authoritarian practices, statist and populist, are derived from the administrative and legitimation crises that followed the financial crash of 2007/8. It focuses on a particular administrative crisis – housing in England – to show how increasingly coercive urban planning practices were advocated for at national level, which in turn revealed tensions within the ‘historical bloc’ of the neoliberal order. In the English case the government has struggled to cohere the consent of capital and civil society, with key class fractions of the historical bloc divided over planning reform. I argue that the contestations have nonetheless shifted political common sense towards reducing deliberative and democratic practices, shifting accountability from those with structural power to those with much more marginal power.","container-title":"Urban Studies","DOI":"10.1177/00420980241254925","ISSN":"0042-0980","language":"EN","page":"00420980241254925","publisher":"SAGE Publications Ltd","source":"SAGE Journals","title":"Housing the historical bloc: Civil society contestation of authoritarian neoliberalism in England","title-short":"Housing the historical bloc","author":[{"family":"Fearn","given":"Gareth"}],"issued":{"date-parts":[["2024",6,18]]}}},{"id":7104,"uris":["http://zotero.org/users/8977980/items/52EDWD4T","http://zotero.org/users/8977980/items/35SNJANE"],"itemData":{"id":7104,"type":"article-journal","abstract":"This Special Issue presents ‘authoritarian neoliberal urbanism’ as an empirical marker and a concept that signposts the ascendence of a new constellation in which authoritarianism becomes an ever-growing force in our cities in the neoliberal present, not only structuring how urban space is experienced but also repurposing it to reinforce authoritarian legitimacy and consolidate political power. This paper introduces six contributions that empirically or conceptually uncover some of the complexities of this new constellation which have remained untracked, unnarrated and misdiagnosed. We draw on the collective insights from these contributions to posit that authoritarian neoliberal urbanism is neither monolithic nor uniformly oppressive. It adapts to local contexts and conjunctural shifts, is (re)configured through both formal and informal, flexible and rigid, (il)legitimate and illegible governance tools and through complex engagements between the state, market actors and urban populations alike, often in tandem with the state’s continuous effort to (re)secure political legitimacy. Such paradoxes, we suggest, urge taking seriously the variegated, contested, and evolving nature of authoritarian neoliberal urbanism(s) as well as their context-specific and situated contradictions and ambiguities. It is within these contradictions and ambiguities that alternatives to neoliberal continuity may be found and the intensifying slide towards illiberal form(s) of capitalism can be transcended.","container-title":"Urban Studies","DOI":"10.1177/00420980251361667","ISSN":"0042-0980","issue":"15","language":"EN","page":"2917-2934","publisher":"SAGE Publications Ltd","source":"SAGE Journals","title":"Neoliberal crises and the city: Wrestling with authoritarian neoliberal urbanism(s)","title-short":"Neoliberal crises and the city","volume":"62","author":[{"family":"Özatağan","given":"Güldem"},{"family":"Fearn","given":"Gareth"},{"family":"Eraydin","given":"Ayda"}],"issued":{"date-parts":[["2025",11,1]]}}}],"schema":"https://github.com/citation-style-language/schema/raw/master/csl-citation.json"} </w:instrText>
      </w:r>
      <w:r w:rsidRPr="00662E51">
        <w:rPr>
          <w:szCs w:val="24"/>
        </w:rPr>
        <w:fldChar w:fldCharType="separate"/>
      </w:r>
      <w:r w:rsidR="00EF5E38" w:rsidRPr="00EF5E38">
        <w:rPr>
          <w:rFonts w:cs="Times New Roman"/>
          <w:kern w:val="0"/>
        </w:rPr>
        <w:t>(Can et al. 2024; Di Giovanni 2017; Ergenc and Yuksekkaya 2024; Fearn 2024; Özatağan et al. 2025)</w:t>
      </w:r>
      <w:r w:rsidRPr="00662E51">
        <w:rPr>
          <w:szCs w:val="24"/>
        </w:rPr>
        <w:fldChar w:fldCharType="end"/>
      </w:r>
      <w:r w:rsidRPr="00662E51">
        <w:rPr>
          <w:szCs w:val="24"/>
        </w:rPr>
        <w:t xml:space="preserve">. I also link AN to previous debates about Thatcherism that echo contemporary discussions of AN </w:t>
      </w:r>
      <w:r w:rsidRPr="00662E51">
        <w:rPr>
          <w:szCs w:val="24"/>
        </w:rPr>
        <w:fldChar w:fldCharType="begin"/>
      </w:r>
      <w:r w:rsidR="00213B80">
        <w:rPr>
          <w:szCs w:val="24"/>
        </w:rPr>
        <w:instrText xml:space="preserve"> ADDIN ZOTERO_ITEM CSL_CITATION {"citationID":"fHR7ucjk","properties":{"formattedCitation":"(K. Bonnett et al. 1984; S. Hall 1985; M. D. J. Ryan 2019)","plainCitation":"(K. Bonnett et al. 1984; S. Hall 1985; M. D. J. Ryan 2019)","noteIndex":0},"citationItems":[{"id":6609,"uris":["http://zotero.org/users/8977980/items/SD87QVZW"],"itemData":{"id":6609,"type":"article-journal","abstract":"Faced with the devastating electoral and political successes of Thatcherism in the past five years, the British Left responded in various ways. Some activists anticipated the imminent collapse of Thatcherism due to a sudden upsurge of union militancy, popular disturbances, or urban riots; or due to a Conservative . . .","container-title":"New Left Review","issue":"I/147","journalAbbreviation":"New Left Rev","page":"32-60","source":"New Left Review","title":"Authoritarian Populism, Two Nations, and Thatcherism","author":[{"family":"Bonnett","given":"Kevin"},{"family":"Bromley","given":"Simon"},{"family":"Jessop","given":"Bob"},{"family":"Ling","given":"Tom"}],"issued":{"date-parts":[["1984",10,1]]}}},{"id":5795,"uris":["http://zotero.org/users/8977980/items/NRTYHPYC"],"itemData":{"id":5795,"type":"article-journal","container-title":"New Left Review","issue":"I/151","language":"en","page":"115-123","source":"Zotero","title":"Authoritarian Populism: A Reply to Jessop et al","author":[{"family":"Hall","given":"Stuart"}],"issued":{"date-parts":[["1985",6]]}}},{"id":5778,"uris":["http://zotero.org/users/8977980/items/KAAG23WN"],"itemData":{"id":5778,"type":"article-journal","abstract":"From the legislated 'embedding' of neoliberalism as seen with constitutional debt ceilings, through sweeping free trade agreements, to the direct, violent suppression of political freedoms; democracy today seems to be under siege from all sides. In response to these troubling developments, Ian Bruff (2014) recently introduced the concept of 'authoritarian neoliberalism' to understand increasingly undemocratic forms of state and state action in the current conjuncture. This article argues that although 'authoritarian neoliberalism' presents a useful development in our understanding of these processes, the concept faces several challenges - in particular, that of obscuring a broader history of authoritarianism and its contradictions, by separating neoliberalism into distinct phases. This article considers two moments of authoritarianism within the history of neoliberalism: the United Kingdom under Margaret Thatcher, and the Greek experience of mandated austerity within the strictures of the European Monetary Union (EMU). Through these examples, the article will engage with claims that the 'authoritarian neoliberalism' of the post-2007 context is somehow 'qualitatively distinct' from earlier forms. It is argued that an enforced separation between these two cases is unhelpful, and that more fruitful directions for this emerging research agenda lie not in a conceptual separation of the past, but rather a consideration of the durability of authoritarian state forms.","container-title":"Competition &amp; Change","DOI":"10.1177/1024529418797867","ISSN":"1024-5294, 1477-2221","issue":"2","journalAbbreviation":"Compet. Chang.","language":"English","note":"number-of-pages: 22\npublisher-place: London\nWeb of Science ID: WOS:000462050600002","page":"116-137","publisher":"SAGE Publications Ltd","source":"Clarivate Analytics Web of Science","title":"Interrogating 'authoritarian neoliberalism': The problem of periodization","title-short":"Interrogating 'authoritarian neoliberalism'","volume":"23","author":[{"family":"Ryan","given":"Matthew D. J."}],"issued":{"date-parts":[["2019",4]]}}}],"schema":"https://github.com/citation-style-language/schema/raw/master/csl-citation.json"} </w:instrText>
      </w:r>
      <w:r w:rsidRPr="00662E51">
        <w:rPr>
          <w:szCs w:val="24"/>
        </w:rPr>
        <w:fldChar w:fldCharType="separate"/>
      </w:r>
      <w:r w:rsidR="00213B80" w:rsidRPr="00213B80">
        <w:t>(K. Bonnett et al. 1984; S. Hall 1985; M. D. J. Ryan 2019)</w:t>
      </w:r>
      <w:r w:rsidRPr="00662E51">
        <w:rPr>
          <w:szCs w:val="24"/>
        </w:rPr>
        <w:fldChar w:fldCharType="end"/>
      </w:r>
      <w:r w:rsidRPr="00662E51">
        <w:rPr>
          <w:szCs w:val="24"/>
        </w:rPr>
        <w:t xml:space="preserve">. As this thesis is concerned with developing understandings of </w:t>
      </w:r>
      <w:r w:rsidRPr="00662E51">
        <w:rPr>
          <w:i/>
          <w:iCs/>
          <w:szCs w:val="24"/>
        </w:rPr>
        <w:t>local</w:t>
      </w:r>
      <w:r w:rsidRPr="00662E51">
        <w:rPr>
          <w:szCs w:val="24"/>
        </w:rPr>
        <w:t xml:space="preserve"> authoritarian neoliberalism, it is important to </w:t>
      </w:r>
      <w:r w:rsidRPr="00662E51">
        <w:rPr>
          <w:szCs w:val="24"/>
        </w:rPr>
        <w:lastRenderedPageBreak/>
        <w:t>understand AN’s conceptual progression, its internal plurality, and its relevance to historical forms of neoliberalism</w:t>
      </w:r>
      <w:r w:rsidR="00D90C89">
        <w:rPr>
          <w:szCs w:val="24"/>
        </w:rPr>
        <w:t xml:space="preserve">. </w:t>
      </w:r>
    </w:p>
    <w:p w14:paraId="208BD759" w14:textId="41CE85A1" w:rsidR="00A93A85" w:rsidRPr="00662E51" w:rsidRDefault="007B4EA4" w:rsidP="001D2FA0">
      <w:pPr>
        <w:spacing w:line="360" w:lineRule="auto"/>
        <w:ind w:left="0" w:firstLine="720"/>
        <w:contextualSpacing/>
        <w:rPr>
          <w:szCs w:val="24"/>
        </w:rPr>
      </w:pPr>
      <w:r w:rsidRPr="00662E51">
        <w:rPr>
          <w:szCs w:val="24"/>
        </w:rPr>
        <w:t xml:space="preserve">The third and final section of this review discusses citizenship. The section recounts how neoliberalism has </w:t>
      </w:r>
      <w:r w:rsidR="00D26F03" w:rsidRPr="00662E51">
        <w:rPr>
          <w:szCs w:val="24"/>
        </w:rPr>
        <w:t>changed</w:t>
      </w:r>
      <w:r w:rsidRPr="00662E51">
        <w:rPr>
          <w:szCs w:val="24"/>
        </w:rPr>
        <w:t xml:space="preserve"> citizenship over the last decades </w:t>
      </w:r>
      <w:r w:rsidRPr="00662E51">
        <w:rPr>
          <w:szCs w:val="24"/>
        </w:rPr>
        <w:fldChar w:fldCharType="begin"/>
      </w:r>
      <w:r w:rsidR="00213B80">
        <w:rPr>
          <w:szCs w:val="24"/>
        </w:rPr>
        <w:instrText xml:space="preserve"> ADDIN ZOTERO_ITEM CSL_CITATION {"citationID":"FXlx7UJZ","properties":{"formattedCitation":"(K. Mitchell 2003; Sparke 2006; Zhang 2018)","plainCitation":"(K. Mitchell 2003; Sparke 2006; Zhang 2018)","noteIndex":0},"citationItems":[{"id":7062,"uris":["http://zotero.org/users/8977980/items/K4IIWYIM"],"itemData":{"id":7062,"type":"article-journal","abstract":"The paper is a broad, comparative investigation of shifts in the educational rhetoric and policy of three countries over the past two decades. Using England, Canada and the United States as case studies, I argue that the spirit of multiculturalism in education has shifted from a concern with the formation of tolerant and democratic national citizens who can work with and through difference, to a more strategic use of diversity for competitive advantage in the global marketplace. This shift is directly linked with and helps to facilitate the entrenchment of neoliberalism as it supports a privatization agenda, reduces the costs of social reproduction for the government, and aids in the constitution of subjects oriented to individual survival and/or success in the global economy.","container-title":"Transactions of the Institute of British Geographers","DOI":"10.1111/j.0020-2754.2003.00100.x","ISSN":"1475-5661","issue":"4","language":"en","note":"_eprint: https://rgs-ibg.onlinelibrary.wiley.com/doi/pdf/10.1111/j.0020-2754.2003.00100.x","page":"387-403","source":"Wiley Online Library","title":"Educating the national citizen in neoliberal times: from the multicultural self to the strategic cosmopolitan","title-short":"Educating the national citizen in neoliberal times","volume":"28","author":[{"family":"Mitchell","given":"Katharyne"}],"issued":{"date-parts":[["2003"]]}}},{"id":7067,"uris":["http://zotero.org/users/8977980/items/LYFS5TTM"],"itemData":{"id":7067,"type":"article-journal","abstract":"In this paper I explore what the development of an expedited border-crossing program called NEXUS reveals about the changing political geography of citizenship in contemporary North America. Developed after 9/11 as a high-tech solution to competing demands for both heightened border security and ongoing cross-border business movement, NEXUS and other so-called Smart Border programs exemplify how a business class civil citizenship has been extended across transnational space at the very same time as economic liberalization and national securitization have curtailed citizenship for others. The biopolitical production of this privileged business class citizenship is explored vis-à-vis the macroscale entrenchment of neoliberal policy through NAFTA and the microscale production of entrepreneurial selfhood. By examining how this transnational privileging of business class rights has happened in an American context of exclusionary nationalism, the paper also explores the relationship between neoliberalism and the development of new spaces of exception defined by exclusion from civil rights. Examples of such exclusion include ‘expedited removal’ and ‘extraordinary rendition’, two forms of American anti-immigrant control that have been developed in concert with expedited border-crossing programs. Examining these forms of expedited exclusion and comparing the carceral cosmopolitanism they produce with the soft cosmopolitanism of the NEXUS lane, the paper ends by offering an argument about the relationship between the neoliberal privileging of transnational mobility rights and its exclusionary counterparts.","container-title":"Political Geography","DOI":"10.1016/j.polgeo.2005.10.002","ISSN":"0962-6298","issue":"2","journalAbbreviation":"Political Geography","page":"151-180","source":"ScienceDirect","title":"A neoliberal nexus: Economy, security and the biopolitics of citizenship on the border","title-short":"A neoliberal nexus","volume":"25","author":[{"family":"Sparke","given":"Matthew B."}],"issued":{"date-parts":[["2006",2,1]]}}},{"id":7069,"uris":["http://zotero.org/users/8977980/items/FTPEZYIW"],"itemData":{"id":7069,"type":"article-journal","abstract":"Drawing on insights from critical citizenship studies and governmentality studies, this article explores and theorizes the changing mobility regime in China and its centerpiece, the household registration (hukou) system, from a global comparative perspective. First, we conceptualize the hukou system within the broader problematique of the spatiality of social citizenship and show how it enables processes of boundary-making that are comparable to the policing of the migrant poor in pre-welfare-state Europe and the subordination of international migrant labor in the contemporary world. Second, we argue that the shifting mobility regime envisaged by the current hukou reforms and new urbanization, which moves away from the dualistic structure of inclusion/exclusion to a multiplication of legal statuses and boundaries of citizenship, embodies a neoliberal-authoritarian rationality of government. Engaging with the debate on the hybrid governmentalities of post-socialist China, we focus particularly on new techniques of mobility management in China’s first-tier cities, whose national positioning resembles that of Northern countries in the global hierarchy of power. Through examples of the point-based system and the strategy of functional dispersal, we demonstrate how these globalizing cities actively engineer a highly polarized mobility regime in their pursuit of generating globally competitive spaces. The article contributes to the critique of methodological nationalism by denaturalizing national citizenship as a pre-given point of departure in examining mobility and socio-spatial boundaries. It also offers new insights into the converging trends of neoliberal authoritarianism and authoritarian neoliberalism in governing the ‘glocal’ hierarchies of citizenship and mobility.","container-title":"Citizenship Studies","DOI":"10.1080/13621025.2018.1531824","ISSN":"1362-1025","issue":"8","note":"_eprint: https://doi.org/10.1080/13621025.2018.1531824","page":"855-881","publisher":"Routledge","source":"Taylor and Francis+NEJM","title":"Governing neoliberal authoritarian citizenship: theorizing hukou and the changing mobility regime in China","title-short":"Governing neoliberal authoritarian citizenship","volume":"22","author":[{"family":"Zhang","given":"Chenchen"}],"issued":{"date-parts":[["2018",11,17]]}}}],"schema":"https://github.com/citation-style-language/schema/raw/master/csl-citation.json"} </w:instrText>
      </w:r>
      <w:r w:rsidRPr="00662E51">
        <w:rPr>
          <w:szCs w:val="24"/>
        </w:rPr>
        <w:fldChar w:fldCharType="separate"/>
      </w:r>
      <w:r w:rsidR="00213B80" w:rsidRPr="00213B80">
        <w:t>(K. Mitchell 2003; Sparke 2006; Zhang 2018)</w:t>
      </w:r>
      <w:r w:rsidRPr="00662E51">
        <w:rPr>
          <w:szCs w:val="24"/>
        </w:rPr>
        <w:fldChar w:fldCharType="end"/>
      </w:r>
      <w:r w:rsidRPr="00662E51">
        <w:rPr>
          <w:szCs w:val="24"/>
        </w:rPr>
        <w:t xml:space="preserve">: there has been an increasing emphasis on building an active citizenry </w:t>
      </w:r>
      <w:r w:rsidRPr="00662E51">
        <w:rPr>
          <w:szCs w:val="24"/>
        </w:rPr>
        <w:fldChar w:fldCharType="begin"/>
      </w:r>
      <w:r w:rsidR="008835AB" w:rsidRPr="00662E51">
        <w:rPr>
          <w:szCs w:val="24"/>
        </w:rPr>
        <w:instrText xml:space="preserve"> ADDIN ZOTERO_ITEM CSL_CITATION {"citationID":"a3ncid28li","properties":{"formattedCitation":"(Kim 2010; Maschette 2023)","plainCitation":"(Kim 2010; Maschette 2023)","noteIndex":0},"citationItems":[{"id":6638,"uris":["http://zotero.org/users/8977980/items/DTK8PWTL"],"itemData":{"id":6638,"type":"article-journal","abstract":"The aim of this article is to examine the rationales that Thatcher’s Britain employed in dealing with immigration and multicultural policies. With a focus on the responsible political elite hypothesis, I trace the role of New Right citizenship discourse as a combined reflection of elite behaviors as well as mass concerns. I analyze various writings and remarks of Enoch Powell as a precursor of the New Right, and those of Margaret Thatcher as an executor of the New Right, discourses of the reconstruction of the British nation and the bringing back of the active citizen as the main campaign of the New Right, and the emergence of two nations and controversies over the cause of this cleavage as a probable policy outcome of the New Right. Through the theoretical account of New Right citizenship as an unstable combination of libertarian individualism and republican conservatism, I offer an interpretation of post-war Britain that can explain the relationship between the shift toward neo-liberalism and shifts in immigration conceptions and multicultural policies.","container-title":"Ethnicities","DOI":"10.1177/1468796810361819","ISSN":"1468-7968","issue":"2","journalAbbreviation":"Ethnicities","language":"EN","page":"208-235","publisher":"SAGE Publications","source":"SAGE Journals","title":"Revisiting New Right citizenship discourse in Thatcher’s Britain","volume":"10","author":[{"family":"Kim","given":"Nam-Kook"}],"issued":{"date-parts":[["2010",6,1]]}}},{"id":6656,"uris":["http://zotero.org/users/8977980/items/7NTI5VMH"],"itemData":{"id":6656,"type":"article-journal","abstract":"This article aims to re-evaluate Margaret Thatcher’s concept of citizenship and analyse its evolution during her government (1979–1990). It argues that her ideas concerning individuals and their relationship with the state and civil society were a crucial element of her belief system since at least the 1970s. Despite their importance, however, most analyses of Thatcherism have relegated these ideas to a marginal place. A rigorous analysis of speeches, interviews, memoirs and documents shows that Thatcher had reconceptualized the idea of citizenship long before her home secretary Douglas Hurd attempted to rationalize and re-package her ideas for public consumption. However, by the end of the 1980s, when moderate Conservatives such as Hurd turned their attention to this question, it was widely perceived that the Conservative Party required a more humane and coherent concept of citizenship. The article concludes that Thatcher’s ideas about the relationship between individuals, the state and community had a lasting influence on the Conservative and New Labour parties’ concept of citizenship.","container-title":"Journal of Political Ideologies","DOI":"10.1080/13569317.2021.1954815","ISSN":"1356-9317","issue":"2","note":"_eprint: https://doi.org/10.1080/13569317.2021.1954815","page":"180-198","publisher":"Routledge","source":"Taylor and Francis+NEJM","title":"Revisiting the concept of citizenship in Margaret Thatcher’s government: the individual, the state, and civil society","title-short":"Revisiting the concept of citizenship in Margaret Thatcher’s government","volume":"28","author":[{"family":"Maschette","given":"Lenon Campos"}],"issued":{"date-parts":[["2023",5,4]]}}}],"schema":"https://github.com/citation-style-language/schema/raw/master/csl-citation.json"} </w:instrText>
      </w:r>
      <w:r w:rsidRPr="00662E51">
        <w:rPr>
          <w:szCs w:val="24"/>
        </w:rPr>
        <w:fldChar w:fldCharType="separate"/>
      </w:r>
      <w:r w:rsidR="0095662D" w:rsidRPr="00662E51">
        <w:t>(Kim 2010; Maschette 2023)</w:t>
      </w:r>
      <w:r w:rsidRPr="00662E51">
        <w:rPr>
          <w:szCs w:val="24"/>
        </w:rPr>
        <w:fldChar w:fldCharType="end"/>
      </w:r>
      <w:r w:rsidRPr="00662E51">
        <w:rPr>
          <w:szCs w:val="24"/>
        </w:rPr>
        <w:t xml:space="preserve">. I conclude this portion by analysing the ‘acts of citizenship’ theory </w:t>
      </w:r>
      <w:r w:rsidRPr="00662E51">
        <w:rPr>
          <w:szCs w:val="24"/>
        </w:rPr>
        <w:fldChar w:fldCharType="begin"/>
      </w:r>
      <w:r w:rsidR="008E2F28">
        <w:rPr>
          <w:szCs w:val="24"/>
        </w:rPr>
        <w:instrText xml:space="preserve"> ADDIN ZOTERO_ITEM CSL_CITATION {"citationID":"a141tfccbg5","properties":{"formattedCitation":"(Isin 2008)","plainCitation":"(Isin 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Marc"}],"author":[{"family":"Isin","given":"Engin"}],"accessed":{"date-parts":[["2022",2,3]]},"issued":{"date-parts":[["2008"]]}}}],"schema":"https://github.com/citation-style-language/schema/raw/master/csl-citation.json"} </w:instrText>
      </w:r>
      <w:r w:rsidRPr="00662E51">
        <w:rPr>
          <w:szCs w:val="24"/>
        </w:rPr>
        <w:fldChar w:fldCharType="separate"/>
      </w:r>
      <w:r w:rsidR="008E2F28" w:rsidRPr="008E2F28">
        <w:t>(Isin 2008)</w:t>
      </w:r>
      <w:r w:rsidRPr="00662E51">
        <w:rPr>
          <w:szCs w:val="24"/>
        </w:rPr>
        <w:fldChar w:fldCharType="end"/>
      </w:r>
      <w:r w:rsidRPr="00662E51">
        <w:rPr>
          <w:szCs w:val="24"/>
        </w:rPr>
        <w:t xml:space="preserve">, its accommodative form </w:t>
      </w:r>
      <w:r w:rsidRPr="00662E51">
        <w:rPr>
          <w:szCs w:val="24"/>
        </w:rPr>
        <w:fldChar w:fldCharType="begin"/>
      </w:r>
      <w:r w:rsidR="008835AB" w:rsidRPr="00662E51">
        <w:rPr>
          <w:szCs w:val="24"/>
        </w:rPr>
        <w:instrText xml:space="preserve"> ADDIN ZOTERO_ITEM CSL_CITATION {"citationID":"O9jUeUfg","properties":{"formattedCitation":"(Jakim\\uc0\\u243{}w 2022)","plainCitation":"(Jakimów 2022)","noteIndex":0},"citationItems":[{"id":5118,"uris":["http://zotero.org/users/8977980/items/WQR8VRAH"],"itemData":{"id":5118,"type":"article-journal","abstract":"The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contexts","volume":"26","author":[{"family":"Jakimów","given":"Małgorzata"}],"issued":{"date-parts":[["2022",7,4]]}}}],"schema":"https://github.com/citation-style-language/schema/raw/master/csl-citation.json"} </w:instrText>
      </w:r>
      <w:r w:rsidRPr="00662E51">
        <w:rPr>
          <w:szCs w:val="24"/>
        </w:rPr>
        <w:fldChar w:fldCharType="separate"/>
      </w:r>
      <w:r w:rsidR="0095662D" w:rsidRPr="00662E51">
        <w:rPr>
          <w:rFonts w:cs="Times New Roman"/>
          <w:kern w:val="0"/>
        </w:rPr>
        <w:t>(Jakimów 2022)</w:t>
      </w:r>
      <w:r w:rsidRPr="00662E51">
        <w:rPr>
          <w:szCs w:val="24"/>
        </w:rPr>
        <w:fldChar w:fldCharType="end"/>
      </w:r>
      <w:r w:rsidRPr="00662E51">
        <w:rPr>
          <w:szCs w:val="24"/>
        </w:rPr>
        <w:t xml:space="preserve">, and its criticism </w:t>
      </w:r>
      <w:r w:rsidRPr="00662E51">
        <w:rPr>
          <w:szCs w:val="24"/>
        </w:rPr>
        <w:fldChar w:fldCharType="begin"/>
      </w:r>
      <w:r w:rsidR="008835AB" w:rsidRPr="00662E51">
        <w:rPr>
          <w:szCs w:val="24"/>
        </w:rPr>
        <w:instrText xml:space="preserve"> ADDIN ZOTERO_ITEM CSL_CITATION {"citationID":"a1ti4di2p0v","properties":{"formattedCitation":"(Brandzel 2022)","plainCitation":"(Brandzel 2022)","noteIndex":0},"citationItems":[{"id":6749,"uris":["http://zotero.org/users/8977980/items/UVBGQNS9"],"itemData":{"id":6749,"type":"article-journal","abstract":"In this short essay, Brandzel cautions scholars as to how their scholarship might inadvertently reproduce the violent operations of citizenship. Focusing on over thirty articles from this journal that deploy Engin Isin’s framework of ‘acts of citizenship’ as an example, Brandzel points towards a troubling trend of calling practices, identities, or behaviors as an ‘act of citizenship’ without qualifying why citizenship is the appropriate framework. In the end, Brandzel appeals to citizenship studies scholars to be more selective of their uses of citizenship, and to consider focusing their work on ways to disrupt or ‘act against citizenship’.","container-title":"Citizenship Studies","DOI":"10.1080/13621025.2022.2091219","ISSN":"1362-1025","issue":"4-5","note":"_eprint: https://doi.org/10.1080/13621025.2022.2091219","page":"393-400","publisher":"Routledge","source":"Taylor and Francis+NEJM","title":"Act up against citizenship: a plea to citizenship studies","title-short":"Act up against citizenship","volume":"26","author":[{"family":"Brandzel","given":"Amy L."}],"issued":{"date-parts":[["2022",7,4]]}}}],"schema":"https://github.com/citation-style-language/schema/raw/master/csl-citation.json"} </w:instrText>
      </w:r>
      <w:r w:rsidRPr="00662E51">
        <w:rPr>
          <w:szCs w:val="24"/>
        </w:rPr>
        <w:fldChar w:fldCharType="separate"/>
      </w:r>
      <w:r w:rsidR="0095662D" w:rsidRPr="00662E51">
        <w:t>(Brandzel 2022)</w:t>
      </w:r>
      <w:r w:rsidRPr="00662E51">
        <w:rPr>
          <w:szCs w:val="24"/>
        </w:rPr>
        <w:fldChar w:fldCharType="end"/>
      </w:r>
      <w:r w:rsidRPr="00662E51">
        <w:rPr>
          <w:szCs w:val="24"/>
        </w:rPr>
        <w:t>. Given the type of activism I studied, theories of citizenship were the most appropriate frame through which the activism could be understood. Lastly, as my research considers resistance to AN, this evaluation here connects citizenship to contemporary illiberalism, with the aim of exploring how resistance can be transformative even during periods of authoritarianism.</w:t>
      </w:r>
    </w:p>
    <w:p w14:paraId="42D4E046" w14:textId="646365FB" w:rsidR="000808C7" w:rsidRPr="00662E51" w:rsidRDefault="007B4EA4" w:rsidP="00D90C89">
      <w:pPr>
        <w:spacing w:line="360" w:lineRule="auto"/>
        <w:ind w:left="0"/>
        <w:contextualSpacing/>
        <w:rPr>
          <w:rFonts w:eastAsia="Arial"/>
          <w:szCs w:val="24"/>
        </w:rPr>
      </w:pPr>
      <w:r w:rsidRPr="00662E51">
        <w:rPr>
          <w:szCs w:val="24"/>
        </w:rPr>
        <w:t xml:space="preserve"> </w:t>
      </w:r>
    </w:p>
    <w:p w14:paraId="7BACB59E" w14:textId="38C59907" w:rsidR="000808C7" w:rsidRPr="00662E51" w:rsidRDefault="000808C7" w:rsidP="000808C7">
      <w:pPr>
        <w:pStyle w:val="Heading2"/>
      </w:pPr>
      <w:bookmarkStart w:id="146" w:name="_The_Local_State"/>
      <w:bookmarkStart w:id="147" w:name="_Toc213173929"/>
      <w:bookmarkStart w:id="148" w:name="_Toc216096150"/>
      <w:bookmarkStart w:id="149" w:name="_Toc221184312"/>
      <w:bookmarkStart w:id="150" w:name="_Toc231215235"/>
      <w:bookmarkEnd w:id="146"/>
      <w:r w:rsidRPr="00662E51">
        <w:t>The Local State and the Local Party</w:t>
      </w:r>
      <w:bookmarkEnd w:id="147"/>
      <w:bookmarkEnd w:id="148"/>
      <w:bookmarkEnd w:id="149"/>
      <w:r w:rsidR="00836748">
        <w:t>:</w:t>
      </w:r>
      <w:bookmarkEnd w:id="150"/>
    </w:p>
    <w:p w14:paraId="2BC06696" w14:textId="5AD85870" w:rsidR="000808C7" w:rsidRPr="00662E51" w:rsidRDefault="000808C7" w:rsidP="000808C7">
      <w:pPr>
        <w:pStyle w:val="Heading3"/>
      </w:pPr>
      <w:bookmarkStart w:id="151" w:name="_Toc213173930"/>
      <w:bookmarkStart w:id="152" w:name="_Toc221184313"/>
      <w:bookmarkStart w:id="153" w:name="_Toc231215236"/>
      <w:r w:rsidRPr="00662E51">
        <w:t>Local State</w:t>
      </w:r>
      <w:bookmarkEnd w:id="151"/>
      <w:bookmarkEnd w:id="152"/>
      <w:r w:rsidR="00836748">
        <w:t>:</w:t>
      </w:r>
      <w:bookmarkEnd w:id="153"/>
    </w:p>
    <w:p w14:paraId="0F2C4975" w14:textId="44096DF9" w:rsidR="000808C7" w:rsidRPr="00662E51" w:rsidRDefault="000808C7" w:rsidP="000808C7">
      <w:pPr>
        <w:spacing w:line="360" w:lineRule="auto"/>
        <w:ind w:left="0" w:firstLine="720"/>
        <w:rPr>
          <w:szCs w:val="24"/>
        </w:rPr>
      </w:pPr>
      <w:r w:rsidRPr="00662E51">
        <w:rPr>
          <w:szCs w:val="24"/>
        </w:rPr>
        <w:t xml:space="preserve">The local state—instead of the state more generally—is the primary focus here. I begin with an overview of state theory and then shift to clarifying the local. Critical perspectives position the state as a </w:t>
      </w:r>
      <w:r w:rsidRPr="00662E51">
        <w:rPr>
          <w:i/>
          <w:iCs/>
          <w:szCs w:val="24"/>
        </w:rPr>
        <w:t>capitalist</w:t>
      </w:r>
      <w:r w:rsidRPr="00662E51">
        <w:rPr>
          <w:szCs w:val="24"/>
        </w:rPr>
        <w:t xml:space="preserve"> state—that is, as chiefly concerned with the maintenance of capitalist relations </w:t>
      </w:r>
      <w:r w:rsidRPr="00662E51">
        <w:rPr>
          <w:szCs w:val="24"/>
        </w:rPr>
        <w:fldChar w:fldCharType="begin"/>
      </w:r>
      <w:r w:rsidRPr="00662E51">
        <w:rPr>
          <w:szCs w:val="24"/>
        </w:rPr>
        <w:instrText xml:space="preserve"> ADDIN ZOTERO_ITEM CSL_CITATION {"citationID":"xyMZAaMj","properties":{"formattedCitation":"(Miliband 1983; Poulantzas 1969)","plainCitation":"(Miliband 1983; Poulantzas 1969)","noteIndex":0},"citationItems":[{"id":6803,"uris":["http://zotero.org/users/8977980/items/JUHYD6JY"],"itemData":{"id":6803,"type":"article-journal","abstract":"Work done in the last fifteen years or so by people writing within a broad Marxist perspective on the subject of the state in capitalist society now fills a great many bookshelves; and however critical one may be of one or other article, book or trend, it is . . .","container-title":"New Left Review","issue":"I/138","journalAbbreviation":"New Left Rev","page":"57-68","source":"New Left Review","title":"State Power and Class Interests","author":[{"family":"Miliband","given":"Ralph"}],"issued":{"date-parts":[["1983",4,1]]}}},{"id":6800,"uris":["http://zotero.org/users/8977980/items/8FAQV9AT"],"itemData":{"id":6800,"type":"article-journal","abstract":"Ralph Miliband’s recently published work, The State in Capitalist Society, is in many respects of capital importance. The book is extremely substantial, and cannot decently be summarized in a few pages: I cannot recommend its reading too highly. I will limit myself here to a few critical comments, . . .","container-title":"New Left Review","issue":"I/58","journalAbbreviation":"New Left Rev","page":"67-78","source":"New Left Review","title":"The Problem of the Capitalist State","author":[{"family":"Poulantzas","given":"Nikos A."}],"issued":{"date-parts":[["1969",12,1]]}}}],"schema":"https://github.com/citation-style-language/schema/raw/master/csl-citation.json"} </w:instrText>
      </w:r>
      <w:r w:rsidRPr="00662E51">
        <w:rPr>
          <w:szCs w:val="24"/>
        </w:rPr>
        <w:fldChar w:fldCharType="separate"/>
      </w:r>
      <w:r w:rsidRPr="00662E51">
        <w:t>(Miliband 1983; Poulantzas 1969)</w:t>
      </w:r>
      <w:r w:rsidRPr="00662E51">
        <w:rPr>
          <w:szCs w:val="24"/>
        </w:rPr>
        <w:fldChar w:fldCharType="end"/>
      </w:r>
      <w:r w:rsidRPr="00662E51">
        <w:rPr>
          <w:szCs w:val="24"/>
        </w:rPr>
        <w:t xml:space="preserve">. The precise nature of the capitalist state is still the subject of debate, but the field has generally converged on a relational perspective of the state that seeks to resolve capitalist crises in collaboration with non-state institutions </w:t>
      </w:r>
      <w:r w:rsidRPr="00662E51">
        <w:rPr>
          <w:szCs w:val="24"/>
        </w:rPr>
        <w:fldChar w:fldCharType="begin"/>
      </w:r>
      <w:r w:rsidRPr="00662E51">
        <w:rPr>
          <w:szCs w:val="24"/>
        </w:rPr>
        <w:instrText xml:space="preserve"> ADDIN ZOTERO_ITEM CSL_CITATION {"citationID":"kw5Ap0vR","properties":{"formattedCitation":"(Jessop 2010)","plainCitation":"(Jessop 2010)","noteIndex":0},"citationItems":[{"id":5755,"uris":["http://zotero.org/users/8977980/items/2VETAAYR"],"itemData":{"id":5755,"type":"book","edition":"Reprinted","ISBN":"978-0-7456-3320-6","language":"eng","number-of-pages":"301","publisher":"Polity Press","publisher-place":"Cambridge","source":"K10plus ISBN","title":"State Power: a strategic-relational approach","title-short":"State power","author":[{"family":"Jessop","given":"Bob"}],"issued":{"date-parts":[["2010"]]}}}],"schema":"https://github.com/citation-style-language/schema/raw/master/csl-citation.json"} </w:instrText>
      </w:r>
      <w:r w:rsidRPr="00662E51">
        <w:rPr>
          <w:szCs w:val="24"/>
        </w:rPr>
        <w:fldChar w:fldCharType="separate"/>
      </w:r>
      <w:r w:rsidRPr="00662E51">
        <w:t>(Jessop 2010)</w:t>
      </w:r>
      <w:r w:rsidRPr="00662E51">
        <w:rPr>
          <w:szCs w:val="24"/>
        </w:rPr>
        <w:fldChar w:fldCharType="end"/>
      </w:r>
      <w:r w:rsidRPr="00662E51">
        <w:rPr>
          <w:szCs w:val="24"/>
        </w:rPr>
        <w:t xml:space="preserve">. This approach critiques the reification of the state as a concrete entity that is distinct from society itself, sitting above society and maintaining it. As Jessop </w:t>
      </w:r>
      <w:r w:rsidRPr="00662E51">
        <w:rPr>
          <w:szCs w:val="24"/>
        </w:rPr>
        <w:fldChar w:fldCharType="begin"/>
      </w:r>
      <w:r w:rsidRPr="00662E51">
        <w:rPr>
          <w:szCs w:val="24"/>
        </w:rPr>
        <w:instrText xml:space="preserve"> ADDIN ZOTERO_ITEM CSL_CITATION {"citationID":"af7a2q6nf2","properties":{"formattedCitation":"(2010, 1)","plainCitation":"(2010, 1)","noteIndex":0},"citationItems":[{"id":5755,"uris":["http://zotero.org/users/8977980/items/2VETAAYR"],"itemData":{"id":5755,"type":"book","edition":"Reprinted","ISBN":"978-0-7456-3320-6","language":"eng","number-of-pages":"301","publisher":"Polity Press","publisher-place":"Cambridge","source":"K10plus ISBN","title":"State Power: a strategic-relational approach","title-short":"State power","author":[{"family":"Jessop","given":"Bob"}],"issued":{"date-parts":[["2010"]]}},"locator":"1","label":"page","suppress-author":true}],"schema":"https://github.com/citation-style-language/schema/raw/master/csl-citation.json"} </w:instrText>
      </w:r>
      <w:r w:rsidRPr="00662E51">
        <w:rPr>
          <w:szCs w:val="24"/>
        </w:rPr>
        <w:fldChar w:fldCharType="separate"/>
      </w:r>
      <w:r w:rsidRPr="00662E51">
        <w:t>(2010, 1)</w:t>
      </w:r>
      <w:r w:rsidRPr="00662E51">
        <w:rPr>
          <w:szCs w:val="24"/>
        </w:rPr>
        <w:fldChar w:fldCharType="end"/>
      </w:r>
      <w:r w:rsidRPr="00662E51">
        <w:rPr>
          <w:szCs w:val="24"/>
        </w:rPr>
        <w:t xml:space="preserve"> asserts, it is impossible to effectively “describe or explain the state apparatus, state projects, and state power” without discussing the various ways the state ‘works’ in connection with society. This is because the state is necessarily socially embedded; the boundaries between state and society are porous, ever-shifting, and subject to contestation, and multi-scalar </w:t>
      </w:r>
      <w:r w:rsidRPr="00662E51">
        <w:rPr>
          <w:szCs w:val="24"/>
        </w:rPr>
        <w:fldChar w:fldCharType="begin"/>
      </w:r>
      <w:r w:rsidRPr="00662E51">
        <w:rPr>
          <w:szCs w:val="24"/>
        </w:rPr>
        <w:instrText xml:space="preserve"> ADDIN ZOTERO_ITEM CSL_CITATION {"citationID":"aa33k4oaed","properties":{"formattedCitation":"(Painter 2006)","plainCitation":"(Painter 2006)","noteIndex":0},"citationItems":[{"id":4455,"uris":["http://zotero.org/users/8977980/items/GL23LQTK"],"itemData":{"id":4455,"type":"article-journal","abstract":"Despite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stateness","volume":"25","author":[{"family":"Painter","given":"Joe"}],"issued":{"date-parts":[["2006",9,1]]}}}],"schema":"https://github.com/citation-style-language/schema/raw/master/csl-citation.json"} </w:instrText>
      </w:r>
      <w:r w:rsidRPr="00662E51">
        <w:rPr>
          <w:szCs w:val="24"/>
        </w:rPr>
        <w:fldChar w:fldCharType="separate"/>
      </w:r>
      <w:r w:rsidRPr="00662E51">
        <w:t>(Painter 2006)</w:t>
      </w:r>
      <w:r w:rsidRPr="00662E51">
        <w:rPr>
          <w:szCs w:val="24"/>
        </w:rPr>
        <w:fldChar w:fldCharType="end"/>
      </w:r>
      <w:r w:rsidRPr="00662E51">
        <w:rPr>
          <w:szCs w:val="24"/>
        </w:rPr>
        <w:t xml:space="preserve">. Instead, this approach supports instead a more structural view of the state—as a form of social relation. That is, the state is better understood as a “a relationship of forces, or </w:t>
      </w:r>
      <w:r w:rsidRPr="00662E51">
        <w:rPr>
          <w:szCs w:val="24"/>
        </w:rPr>
        <w:lastRenderedPageBreak/>
        <w:t xml:space="preserve">more precisely the material condensation of such a relationship among classes and class fractions” </w:t>
      </w:r>
      <w:r w:rsidRPr="00662E51">
        <w:rPr>
          <w:szCs w:val="24"/>
        </w:rPr>
        <w:fldChar w:fldCharType="begin"/>
      </w:r>
      <w:r w:rsidRPr="00662E51">
        <w:rPr>
          <w:szCs w:val="24"/>
        </w:rPr>
        <w:instrText xml:space="preserve"> ADDIN ZOTERO_ITEM CSL_CITATION {"citationID":"EC4ym10q","properties":{"formattedCitation":"(Poulantzas [1978] 2014, 128)","plainCitation":"(Poulantzas [1978] 2014, 128)","noteIndex":0},"citationItems":[{"id":6442,"uris":["http://zotero.org/users/8977980/items/DDJCGAMH"],"itemData":{"id":6442,"type":"book","collection-title":"Radical thinkers","ISBN":"978-1-78168-148-0","language":"eng","number-of-pages":"269","publisher":"Verso","publisher-place":"London","source":"K10plus ISBN","title":"State, Power, Socialism","author":[{"family":"Poulantzas","given":"Nikos A."}],"translator":[{"family":"Camiller","given":"Patrick"}],"issued":{"date-parts":[["2014"]]},"original-date":{"date-parts":[["1978"]]}},"locator":"128"}],"schema":"https://github.com/citation-style-language/schema/raw/master/csl-citation.json"} </w:instrText>
      </w:r>
      <w:r w:rsidRPr="00662E51">
        <w:rPr>
          <w:szCs w:val="24"/>
        </w:rPr>
        <w:fldChar w:fldCharType="separate"/>
      </w:r>
      <w:r w:rsidRPr="00662E51">
        <w:t>(Poulantzas [1978] 2014, 128)</w:t>
      </w:r>
      <w:r w:rsidRPr="00662E51">
        <w:rPr>
          <w:szCs w:val="24"/>
        </w:rPr>
        <w:fldChar w:fldCharType="end"/>
      </w:r>
      <w:r w:rsidRPr="00662E51">
        <w:rPr>
          <w:szCs w:val="24"/>
        </w:rPr>
        <w:t>. As the state is relational, it is also unstable and constantly shifting. Its priorities, design, constitution, effects, and relations with other elements within its wider context mean there are two key dimensions to attend to. First, identifying state-effects is an important task to understand the state relation; second, moments of crisis do not destroy the state but lead to its reorganisation (Jessop 2010). The critique of a reified and unified state is compelling, in that it more accurately describes how the state works to govern population</w:t>
      </w:r>
      <w:r w:rsidR="003274A8">
        <w:rPr>
          <w:szCs w:val="24"/>
        </w:rPr>
        <w:t>s</w:t>
      </w:r>
      <w:r w:rsidRPr="00662E51">
        <w:rPr>
          <w:szCs w:val="24"/>
        </w:rPr>
        <w:t xml:space="preserve">. That is, the relational perspective better captures the inter-relations between the formal state and its associated non-state, non-market institutions like charities, political parties, and trade unions. This thesis draws thus from a relational approach that echoes that of Poulantzas </w:t>
      </w:r>
      <w:r w:rsidRPr="00662E51">
        <w:rPr>
          <w:szCs w:val="24"/>
        </w:rPr>
        <w:fldChar w:fldCharType="begin"/>
      </w:r>
      <w:r w:rsidRPr="00662E51">
        <w:rPr>
          <w:szCs w:val="24"/>
        </w:rPr>
        <w:instrText xml:space="preserve"> ADDIN ZOTERO_ITEM CSL_CITATION {"citationID":"Cb7q2JAl","properties":{"formattedCitation":"([1978] 2014)","plainCitation":"([1978] 2014)","noteIndex":0},"citationItems":[{"id":6442,"uris":["http://zotero.org/users/8977980/items/DDJCGAMH"],"itemData":{"id":6442,"type":"book","collection-title":"Radical thinkers","ISBN":"978-1-78168-148-0","language":"eng","number-of-pages":"269","publisher":"Verso","publisher-place":"London","source":"K10plus ISBN","title":"State, Power, Socialism","author":[{"family":"Poulantzas","given":"Nikos A."}],"translator":[{"family":"Camiller","given":"Patrick"}],"issued":{"date-parts":[["2014"]]},"original-date":{"date-parts":[["1978"]]}},"label":"page","suppress-author":true}],"schema":"https://github.com/citation-style-language/schema/raw/master/csl-citation.json"} </w:instrText>
      </w:r>
      <w:r w:rsidRPr="00662E51">
        <w:rPr>
          <w:szCs w:val="24"/>
        </w:rPr>
        <w:fldChar w:fldCharType="separate"/>
      </w:r>
      <w:r w:rsidRPr="00662E51">
        <w:t>([1978] 2014)</w:t>
      </w:r>
      <w:r w:rsidRPr="00662E51">
        <w:rPr>
          <w:szCs w:val="24"/>
        </w:rPr>
        <w:fldChar w:fldCharType="end"/>
      </w:r>
      <w:r w:rsidRPr="00662E51">
        <w:rPr>
          <w:szCs w:val="24"/>
        </w:rPr>
        <w:t xml:space="preserve">, Jessop </w:t>
      </w:r>
      <w:r w:rsidRPr="00662E51">
        <w:rPr>
          <w:szCs w:val="24"/>
        </w:rPr>
        <w:fldChar w:fldCharType="begin"/>
      </w:r>
      <w:r w:rsidR="00F15CF8">
        <w:rPr>
          <w:szCs w:val="24"/>
        </w:rPr>
        <w:instrText xml:space="preserve"> ADDIN ZOTERO_ITEM CSL_CITATION {"citationID":"oDFfemO9","properties":{"formattedCitation":"(2010, 2016)","plainCitation":"(2010, 2016)","noteIndex":0},"citationItems":[{"id":5755,"uris":["http://zotero.org/users/8977980/items/2VETAAYR"],"itemData":{"id":5755,"type":"book","edition":"Reprinted","ISBN":"978-0-7456-3320-6","language":"eng","number-of-pages":"301","publisher":"Polity Press","publisher-place":"Cambridge","source":"K10plus ISBN","title":"State Power: a strategic-relational approach","title-short":"State power","author":[{"family":"Jessop","given":"Bob"}],"issued":{"date-parts":[["2010"]]}},"label":"page","suppress-author":true},{"id":6781,"uris":["http://zotero.org/users/8977980/items/6VKLXRIF"],"itemData":{"id":6781,"type":"book","abstract":"Intro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state","author":[{"family":"Jessop","given":"Bob"}],"issued":{"date-parts":[["2016"]]}},"label":"page","suppress-author":true}],"schema":"https://github.com/citation-style-language/schema/raw/master/csl-citation.json"} </w:instrText>
      </w:r>
      <w:r w:rsidRPr="00662E51">
        <w:rPr>
          <w:szCs w:val="24"/>
        </w:rPr>
        <w:fldChar w:fldCharType="separate"/>
      </w:r>
      <w:r w:rsidR="00F15CF8" w:rsidRPr="00F15CF8">
        <w:t>(2010, 2016)</w:t>
      </w:r>
      <w:r w:rsidRPr="00662E51">
        <w:rPr>
          <w:szCs w:val="24"/>
        </w:rPr>
        <w:fldChar w:fldCharType="end"/>
      </w:r>
      <w:r w:rsidRPr="00662E51">
        <w:rPr>
          <w:szCs w:val="24"/>
        </w:rPr>
        <w:t xml:space="preserve">, and the London Edinburgh Weekend Return Group </w:t>
      </w:r>
      <w:r w:rsidRPr="00662E51">
        <w:rPr>
          <w:szCs w:val="24"/>
        </w:rPr>
        <w:fldChar w:fldCharType="begin"/>
      </w:r>
      <w:r w:rsidRPr="00662E51">
        <w:rPr>
          <w:szCs w:val="24"/>
        </w:rPr>
        <w:instrText xml:space="preserve"> ADDIN ZOTERO_ITEM CSL_CITATION {"citationID":"DKo7zlHg","properties":{"formattedCitation":"(LEWRG; [1980] 2021)","plainCitation":"(LEWRG; [1980] 2021)","noteIndex":0},"citationItems":[{"id":5812,"uris":["http://zotero.org/users/8977980/items/UXF4CXWN"],"itemData":{"id":5812,"type":"book","abstract":"Originally published as a pamphlet in 1979 and again by Pluto in 1980, In and Against the State brought together questions of working class struggle and state power, exploring how revolutionary socialists might reconcile working in the public sector with their radical politics. Informed by autonomist political ideas and practices that were central to the protests of 1968, the book's authors spoke to a generation of activists wrestling with where to place their energies. Forty years have passed, yet the questions it posed are still to be answered. Socialist activists continue to face a wave of Tory-led austerity measures involving hospital closures, a deepening housing crisis and attacks on social welfare provision. However, a new form of politics is emerging in the shadow of the neoliberal assault, one that may yet provide solutions. This edition includes a new introduction by Seth Wheeler and an interview with John McDonnell that reflect on the continuing relevance of In and Against the State and the questions it raises","edition":"New edition","ISBN":"978-0-7453-4181-1","language":"eng","number-of-pages":"154","publisher":"Pluto Press","publisher-place":"London","source":"K10plus ISBN","title":"In and against the state: discussion notes for socialists","title-short":"In and against the state","author":[{"literal":"London Edinburgh Weekend Return Group"}],"editor":[{"family":"Wheeler","given":"Seth"}],"issued":{"date-parts":[["2021"]]},"original-date":{"date-parts":[["1980"]]}},"label":"page","suppress-author":true,"prefix":"LEWRG;"}],"schema":"https://github.com/citation-style-language/schema/raw/master/csl-citation.json"} </w:instrText>
      </w:r>
      <w:r w:rsidRPr="00662E51">
        <w:rPr>
          <w:szCs w:val="24"/>
        </w:rPr>
        <w:fldChar w:fldCharType="separate"/>
      </w:r>
      <w:r w:rsidRPr="00662E51">
        <w:t>(LEWRG; [1980] 2021)</w:t>
      </w:r>
      <w:r w:rsidRPr="00662E51">
        <w:rPr>
          <w:szCs w:val="24"/>
        </w:rPr>
        <w:fldChar w:fldCharType="end"/>
      </w:r>
      <w:r w:rsidRPr="00662E51">
        <w:rPr>
          <w:szCs w:val="24"/>
        </w:rPr>
        <w:t xml:space="preserve">, as well as from the British regulation school </w:t>
      </w:r>
      <w:r w:rsidRPr="00662E51">
        <w:rPr>
          <w:szCs w:val="24"/>
        </w:rPr>
        <w:fldChar w:fldCharType="begin"/>
      </w:r>
      <w:r w:rsidR="00213B80">
        <w:rPr>
          <w:szCs w:val="24"/>
        </w:rPr>
        <w:instrText xml:space="preserve"> ADDIN ZOTERO_ITEM CSL_CITATION {"citationID":"tzmDcWH2","properties":{"formattedCitation":"(Mark Goodwin and Painter 1996; Hillier et al. 2022; Painter 2011)","plainCitation":"(Mark Goodwin and Painter 1996; Hillier et al. 2022; Painter 2011)","noteIndex":0},"citationItems":[{"id":5564,"uris":["http://zotero.org/users/8977980/items/Q2KXCR9I"],"itemData":{"id":5564,"type":"article-journal","abstract":"During the last fifteen years the local government system in Britain has been transformed into one of local governance in which a multitude of unelected agencies (public, private and voluntary) have become involved in attempting to influence the fortunes of local areas. In this paper, we locate the roots of this shift in the crisis of the Fordist mode of regulation and political responses to it, suggest that a reworked regulation theory can provide a useful perspective from which to interpret current changes and outline the research framework that such a perspective involves. Although a key role for local government in Fordist processes of regulation may be identified, it is doubtful that new forms of local governance are contributing to the emergence of stable regulation in the 1990s. One reason for this is the geographical differentiation of contemporary regulatory processes.","container-title":"Transactions of the Institute of British Geographers","DOI":"10.2307/622391","ISSN":"0020-2754","issue":"4","page":"635-648","publisher":"[Royal Geographical Society (with the Institute of British Geographers), Wiley]","source":"JSTOR","title":"Local Governance, the Crises of Fordism and the Changing Geographies of Regulation","volume":"21","author":[{"family":"Goodwin","given":"Mark"},{"family":"Painter","given":"Joe"}],"issued":{"date-parts":[["1996"]]}}},{"id":6789,"uris":["http://zotero.org/users/8977980/items/AHSAC3MA"],"itemData":{"id":6789,"type":"book","ISBN":"978-1-7781797-0-9","language":"en","number-of-pages":"191","publisher":"1984press","title":"Regulation Theory, Space and Uneven Development: Conversations and Challenges","title-short":"Regulation Theory, Space and Uneven Development","author":[{"family":"Hillier","given":"Brandon"},{"family":"Philips","given":"Rachel"},{"family":"Peck","given":"Jamie"}],"issued":{"date-parts":[["2022"]]}}},{"id":6795,"uris":["http://zotero.org/users/8977980/items/S2J6QPGT"],"itemData":{"id":6795,"type":"chapter","container-title":"Readings in Urban Theory","ISBN":"978-1-4443-3081-6","language":"en","note":"Google-Books-ID: mqdVEAAAQBAJ","publisher":"John Wiley &amp; Sons","source":"Google Books","title":"Regulation theory, post-Fordism and urban politics","container-author":[{"family":"Fainstein","given":"Susan S."},{"family":"Campbell","given":"Scott"}],"author":[{"family":"Painter","given":"Joe"}],"issued":{"date-parts":[["2011",3,7]]}}}],"schema":"https://github.com/citation-style-language/schema/raw/master/csl-citation.json"} </w:instrText>
      </w:r>
      <w:r w:rsidRPr="00662E51">
        <w:rPr>
          <w:szCs w:val="24"/>
        </w:rPr>
        <w:fldChar w:fldCharType="separate"/>
      </w:r>
      <w:r w:rsidR="00213B80" w:rsidRPr="00213B80">
        <w:t>(Mark Goodwin and Painter 1996; Hillier et al. 2022; Painter 2011)</w:t>
      </w:r>
      <w:r w:rsidRPr="00662E51">
        <w:rPr>
          <w:szCs w:val="24"/>
        </w:rPr>
        <w:fldChar w:fldCharType="end"/>
      </w:r>
      <w:r w:rsidRPr="00662E51">
        <w:rPr>
          <w:szCs w:val="24"/>
        </w:rPr>
        <w:t>.</w:t>
      </w:r>
    </w:p>
    <w:p w14:paraId="310AD37D" w14:textId="6BA379F8" w:rsidR="000808C7" w:rsidRPr="00662E51" w:rsidRDefault="000808C7" w:rsidP="000808C7">
      <w:pPr>
        <w:spacing w:line="360" w:lineRule="auto"/>
        <w:ind w:left="0" w:firstLine="720"/>
        <w:rPr>
          <w:szCs w:val="24"/>
        </w:rPr>
      </w:pPr>
      <w:r w:rsidRPr="00662E51">
        <w:rPr>
          <w:szCs w:val="24"/>
        </w:rPr>
        <w:t xml:space="preserve">The relational understanding of the state is strongly influenced by the regulation approach. Developing out of the </w:t>
      </w:r>
      <w:r w:rsidRPr="00662E51">
        <w:rPr>
          <w:i/>
          <w:iCs/>
          <w:szCs w:val="24"/>
        </w:rPr>
        <w:t xml:space="preserve">régulation </w:t>
      </w:r>
      <w:r w:rsidRPr="00662E51">
        <w:rPr>
          <w:szCs w:val="24"/>
        </w:rPr>
        <w:t>school,</w:t>
      </w:r>
      <w:r w:rsidR="00B05ED7" w:rsidRPr="00BD17AF">
        <w:rPr>
          <w:rStyle w:val="FootnoteReference"/>
        </w:rPr>
        <w:footnoteReference w:id="36"/>
      </w:r>
      <w:r w:rsidRPr="00662E51">
        <w:rPr>
          <w:szCs w:val="24"/>
        </w:rPr>
        <w:t xml:space="preserve"> a 1970s French Marxist strand of political economy, the regulation approach aims to explain the interrelations between social, political, and economic trends—with an emphasis on how the relations structure and are structured by capitalism. There are two fundamental concepts in the regulation approach: the </w:t>
      </w:r>
      <w:r w:rsidRPr="00662E51">
        <w:rPr>
          <w:i/>
          <w:iCs/>
          <w:szCs w:val="24"/>
        </w:rPr>
        <w:t>mode of regulation</w:t>
      </w:r>
      <w:r w:rsidRPr="00662E51">
        <w:rPr>
          <w:szCs w:val="24"/>
        </w:rPr>
        <w:t xml:space="preserve"> and the </w:t>
      </w:r>
      <w:r w:rsidRPr="00662E51">
        <w:rPr>
          <w:i/>
          <w:iCs/>
          <w:szCs w:val="24"/>
        </w:rPr>
        <w:t>accumulation regime</w:t>
      </w:r>
      <w:r w:rsidRPr="00662E51">
        <w:rPr>
          <w:szCs w:val="24"/>
        </w:rPr>
        <w:t xml:space="preserve">. The former refers to a collection of institutions, social norms, and ideas that governs the relationships between firms, capital, labour, and the state. The latter is the (somewhat) stable pattern of important economic factors—the forms of production; the distribution of income from wages, profits, rents, and taxes; the relationships between capitalist and non-capitalist production; and management of risk. The two are institutionally bonded and work to reduce the impact of capitalism’s natural tendency for crisis </w:t>
      </w:r>
      <w:r w:rsidRPr="00662E51">
        <w:rPr>
          <w:szCs w:val="24"/>
        </w:rPr>
        <w:fldChar w:fldCharType="begin"/>
      </w:r>
      <w:r w:rsidR="00213B80">
        <w:rPr>
          <w:szCs w:val="24"/>
        </w:rPr>
        <w:instrText xml:space="preserve"> ADDIN ZOTERO_ITEM CSL_CITATION {"citationID":"a2pa6vs3kg8","properties":{"formattedCitation":"(R. Brenner and Glick 1991)","plainCitation":"(R. Brenner and Glick 1991)","noteIndex":0},"citationItems":[{"id":6883,"uris":["http://zotero.org/users/8977980/items/QSDT7J7V"],"itemData":{"id":6883,"type":"article-journal","abstract":"In the past two decades the French (or Paris) School of Economic Regulation has developed an ambitious historical-economic theory which has already had a major impact on efforts to understand the current malaise of the capitalist system and the accompanying economic transformations. On the face of it, the . . .","container-title":"New Left Review","issue":"I/188","journalAbbreviation":"New Left Rev","page":"45-119","source":"New Left Review","title":"The Regulation Approach: Theory and History","title-short":"The Regulation Approach","author":[{"family":"Brenner","given":"Robert"},{"family":"Glick","given":"Mark"}],"issued":{"date-parts":[["1991",8,1]]}}}],"schema":"https://github.com/citation-style-language/schema/raw/master/csl-citation.json"} </w:instrText>
      </w:r>
      <w:r w:rsidRPr="00662E51">
        <w:rPr>
          <w:szCs w:val="24"/>
        </w:rPr>
        <w:fldChar w:fldCharType="separate"/>
      </w:r>
      <w:r w:rsidR="00213B80" w:rsidRPr="00213B80">
        <w:t>(R. Brenner and Glick 1991)</w:t>
      </w:r>
      <w:r w:rsidRPr="00662E51">
        <w:rPr>
          <w:szCs w:val="24"/>
        </w:rPr>
        <w:fldChar w:fldCharType="end"/>
      </w:r>
      <w:r w:rsidRPr="00662E51">
        <w:rPr>
          <w:szCs w:val="24"/>
        </w:rPr>
        <w:t xml:space="preserve">. In the United Kingdom, critical geographers have built on the regulation approach by highlighting the geographical—foregrounding the need to attend to place, </w:t>
      </w:r>
      <w:r w:rsidRPr="00662E51">
        <w:rPr>
          <w:szCs w:val="24"/>
        </w:rPr>
        <w:lastRenderedPageBreak/>
        <w:t xml:space="preserve">space, and scale in discussions of regulation and state-relation </w:t>
      </w:r>
      <w:r w:rsidRPr="00662E51">
        <w:rPr>
          <w:szCs w:val="24"/>
        </w:rPr>
        <w:fldChar w:fldCharType="begin"/>
      </w:r>
      <w:r w:rsidR="00213B80">
        <w:rPr>
          <w:szCs w:val="24"/>
        </w:rPr>
        <w:instrText xml:space="preserve"> ADDIN ZOTERO_ITEM CSL_CITATION {"citationID":"zYV9IfGi","properties":{"formattedCitation":"(Mark Goodwin and Painter 1996; M Goodwin et al. 1993; Painter 1991)","plainCitation":"(Mark Goodwin and Painter 1996; M Goodwin et al. 1993; Painter 1991)","noteIndex":0},"citationItems":[{"id":5564,"uris":["http://zotero.org/users/8977980/items/Q2KXCR9I"],"itemData":{"id":5564,"type":"article-journal","abstract":"During the last fifteen years the local government system in Britain has been transformed into one of local governance in which a multitude of unelected agencies (public, private and voluntary) have become involved in attempting to influence the fortunes of local areas. In this paper, we locate the roots of this shift in the crisis of the Fordist mode of regulation and political responses to it, suggest that a reworked regulation theory can provide a useful perspective from which to interpret current changes and outline the research framework that such a perspective involves. Although a key role for local government in Fordist processes of regulation may be identified, it is doubtful that new forms of local governance are contributing to the emergence of stable regulation in the 1990s. One reason for this is the geographical differentiation of contemporary regulatory processes.","container-title":"Transactions of the Institute of British Geographers","DOI":"10.2307/622391","ISSN":"0020-2754","issue":"4","page":"635-648","publisher":"[Royal Geographical Society (with the Institute of British Geographers), Wiley]","source":"JSTOR","title":"Local Governance, the Crises of Fordism and the Changing Geographies of Regulation","volume":"21","author":[{"family":"Goodwin","given":"Mark"},{"family":"Painter","given":"Joe"}],"issued":{"date-parts":[["1996"]]}}},{"id":6806,"uris":["http://zotero.org/users/8977980/items/EVLR5ETS"],"itemData":{"id":6806,"type":"article-journal","abstract":"An effort is made in this paper to contribute to recent debates, inspired by the regulationist literature, on the restructuring of capitalist society. A major weakness in this literature concerns the treatment of the state, and especially the local state. Despite the fact that the state is clearly identified as a key component of any mode of regulation, the actual processes through which economic and social forces are translated into state activity are rarely examined, Moreover, these forces are usually assumed to operate at the national scale, but in this paper it is contended that the practices and relations of regulation also operate locally. These local spaces of regulation arise not only because of the uneven development of capitalist societies, but also because local agencies are often the very medium through which regulatory practices arc interpreted and ultimately delivered. The local state is thus a key component in these local modes of regulation, and will be implicated in any transition from one mode to another. These issues are examined by looking at the changing nature of urban politics in three British ‘cities’: Sheffield, Bracknell, and Camden in inner London. It is concluded that the local state is both an object and an agent of regulation, which itself needs to be regulated so that its strategies and structures can be used to help forge a new social, political, and economic settlement.","container-title":"Environment and Planning D: Society and Space","DOI":"10.1068/d110067","ISSN":"0263-7758","issue":"1","journalAbbreviation":"Environ Plan D","language":"EN","page":"67-88","publisher":"SAGE Publications Ltd STM","source":"SAGE Journals","title":"Regulation Theory, the Local State, and the Transition of Urban Politics","volume":"11","author":[{"family":"Goodwin","given":"M"},{"family":"Duncan","given":"S"},{"family":"Halford","given":"S"}],"issued":{"date-parts":[["1993",2,1]]}}},{"id":6780,"uris":["http://zotero.org/users/8977980/items/PXUF4DHP"],"itemData":{"id":6780,"type":"article-journal","container-title":"Local Government Studies","DOI":"10.1080/03003939108433604","ISSN":"0300-3930, 1743-9388","issue":"6","language":"en","page":"23-44","publisher":"Informa UK Limited","source":"Crossref","title":"Regulation theory and local government","volume":"17","author":[{"family":"Painter","given":"Joe"}],"issued":{"date-parts":[["1991",11]]}}}],"schema":"https://github.com/citation-style-language/schema/raw/master/csl-citation.json"} </w:instrText>
      </w:r>
      <w:r w:rsidRPr="00662E51">
        <w:rPr>
          <w:szCs w:val="24"/>
        </w:rPr>
        <w:fldChar w:fldCharType="separate"/>
      </w:r>
      <w:r w:rsidR="00213B80" w:rsidRPr="00213B80">
        <w:t>(Mark Goodwin and Painter 1996; M Goodwin et al. 1993; Painter 1991)</w:t>
      </w:r>
      <w:r w:rsidRPr="00662E51">
        <w:rPr>
          <w:szCs w:val="24"/>
        </w:rPr>
        <w:fldChar w:fldCharType="end"/>
      </w:r>
      <w:r w:rsidRPr="00662E51">
        <w:rPr>
          <w:szCs w:val="24"/>
        </w:rPr>
        <w:t xml:space="preserve">. Similarly, theorists like Painter </w:t>
      </w:r>
      <w:r w:rsidRPr="00662E51">
        <w:rPr>
          <w:szCs w:val="24"/>
        </w:rPr>
        <w:fldChar w:fldCharType="begin"/>
      </w:r>
      <w:r w:rsidR="00F15CF8">
        <w:rPr>
          <w:szCs w:val="24"/>
        </w:rPr>
        <w:instrText xml:space="preserve"> ADDIN ZOTERO_ITEM CSL_CITATION {"citationID":"FrHNMpeA","properties":{"formattedCitation":"(2006, 2010)","plainCitation":"(2006, 2010)","noteIndex":0},"citationItems":[{"id":4455,"uris":["http://zotero.org/users/8977980/items/GL23LQTK"],"itemData":{"id":4455,"type":"article-journal","abstract":"Despite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label":"page","suppress-author":true},{"id":6797,"uris":["http://zotero.org/users/8977980/items/XHAVDZXJ"],"itemData":{"id":6797,"type":"article-journal","abstract":"Abstract: Territory is the quintessential state space and appears to be of growing political importance. It is also a key concept in geography, but it has not been subject to as much critical attention as related geographical terms and remains under-theorised. Taking my cue from Timothy Mitchell's suggestion that the state should be understood as the effect of social practices, I argue that the phenomenon that we call territory is not an irreducible foundation of state power, let alone the expression of a biological imperative. Instead, territory too must be interpreted principally as an effect. This “territory-effect” can best be understood as the outcome of networked socio-technical practices. Thus, far from refuting or falsifying network theories of spatiality, the current resurgence of territory can be seen as itself a product of relational networks. Drawing on an empirical case study of the monitoring of regional economic performance through the measurement of gross value added (GVA), I show that “territory” and “network” are not, as is often assumed, incommensurable and rival principles of spatial organisation, but are intimately connected.","container-title":"Antipode","DOI":"10.1111/j.1467-8330.2010.00795.x","ISSN":"1467-8330","issue":"5","language":"en","license":"© 2010 The Author Journal compilation © 2010 Editorial Board of Antipode","note":"_eprint: https://onlinelibrary.wiley.com/doi/pdf/10.1111/j.1467-8330.2010.00795.x","page":"1090-1118","source":"Wiley Online Library","title":"Rethinking Territory","volume":"42","author":[{"family":"Painter","given":"Joe"}],"issued":{"date-parts":[["2010"]]}},"label":"page","suppress-author":true}],"schema":"https://github.com/citation-style-language/schema/raw/master/csl-citation.json"} </w:instrText>
      </w:r>
      <w:r w:rsidRPr="00662E51">
        <w:rPr>
          <w:szCs w:val="24"/>
        </w:rPr>
        <w:fldChar w:fldCharType="separate"/>
      </w:r>
      <w:r w:rsidR="00F15CF8" w:rsidRPr="00F15CF8">
        <w:t>(2006, 2010)</w:t>
      </w:r>
      <w:r w:rsidRPr="00662E51">
        <w:rPr>
          <w:szCs w:val="24"/>
        </w:rPr>
        <w:fldChar w:fldCharType="end"/>
      </w:r>
      <w:r w:rsidRPr="00662E51">
        <w:rPr>
          <w:szCs w:val="24"/>
        </w:rPr>
        <w:t xml:space="preserve"> and </w:t>
      </w:r>
      <w:r w:rsidR="007D62D9">
        <w:rPr>
          <w:szCs w:val="24"/>
        </w:rPr>
        <w:t xml:space="preserve">T. </w:t>
      </w:r>
      <w:r w:rsidRPr="00662E51">
        <w:rPr>
          <w:szCs w:val="24"/>
        </w:rPr>
        <w:t xml:space="preserve">Mitchell </w:t>
      </w:r>
      <w:r w:rsidRPr="00662E51">
        <w:rPr>
          <w:szCs w:val="24"/>
        </w:rPr>
        <w:fldChar w:fldCharType="begin"/>
      </w:r>
      <w:r w:rsidRPr="00662E51">
        <w:rPr>
          <w:szCs w:val="24"/>
        </w:rPr>
        <w:instrText xml:space="preserve"> ADDIN ZOTERO_ITEM CSL_CITATION {"citationID":"IhU0VQmK","properties":{"formattedCitation":"(1991)","plainCitation":"(1991)","noteIndex":0},"citationItems":[{"id":6799,"uris":["http://zotero.org/users/8977980/items/ZFCRBH3S"],"itemData":{"id":6799,"type":"article-journal","abstract":"The state has always been difficult to define. Its boundary with society appears elusive, porous, and mobile. I argue that this elusiveness should not be overcome by sharper definitions, but explored as a clue to the state's nature. Analysis of the literature shows that neither rejecting the state in favor of such concepts as the political system, nor “bringing it back in,” has dealt with this boundary problem. The former approach founders on it, the latter avoids it by a narrow idealism that construes the state-society distinction as an external relation between subjective and objective entities. A third approach, presented here, can account for both the salience of the state and its elusiveness. Reanalyzing evidence presented by recent theorists, state-society boundaries are shown to be distinctions erected internally, as an aspect of more complex power relations. Their appearance can be historically traced to technical innovations of the modern social order, whereby methods of organization and control internal to the social processes they govern create the effect of a state structure external to those processes.","container-title":"American Political Science Review","DOI":"10.2307/1962879","ISSN":"0003-0554, 1537-5943","issue":"1","language":"en","page":"77-96","source":"Cambridge University Press","title":"The Limits of the State: Beyond Statist Approaches and their Critics","title-short":"The Limits of the State","volume":"85","author":[{"family":"Mitchell","given":"Timothy"}],"issued":{"date-parts":[["1991",3]]}},"suppress-author":true}],"schema":"https://github.com/citation-style-language/schema/raw/master/csl-citation.json"} </w:instrText>
      </w:r>
      <w:r w:rsidRPr="00662E51">
        <w:rPr>
          <w:szCs w:val="24"/>
        </w:rPr>
        <w:fldChar w:fldCharType="separate"/>
      </w:r>
      <w:r w:rsidRPr="00662E51">
        <w:t>(1991)</w:t>
      </w:r>
      <w:r w:rsidRPr="00662E51">
        <w:rPr>
          <w:szCs w:val="24"/>
        </w:rPr>
        <w:fldChar w:fldCharType="end"/>
      </w:r>
      <w:r w:rsidRPr="00662E51">
        <w:rPr>
          <w:szCs w:val="24"/>
        </w:rPr>
        <w:t xml:space="preserve"> have asserted for a reframing of the state as a collection of effects that arise from a set of social practices. This ‘state-effect’</w:t>
      </w:r>
      <w:r w:rsidR="00D3438C">
        <w:rPr>
          <w:szCs w:val="24"/>
        </w:rPr>
        <w:t xml:space="preserve"> approach</w:t>
      </w:r>
      <w:r w:rsidRPr="00662E51">
        <w:rPr>
          <w:szCs w:val="24"/>
        </w:rPr>
        <w:t xml:space="preserve"> seeks to avoid the substituting of state-as-entity with state-as-structure, while maintaining a relational focus. Painter </w:t>
      </w:r>
      <w:r w:rsidRPr="00662E51">
        <w:rPr>
          <w:szCs w:val="24"/>
        </w:rPr>
        <w:fldChar w:fldCharType="begin"/>
      </w:r>
      <w:r w:rsidR="00F15CF8">
        <w:rPr>
          <w:szCs w:val="24"/>
        </w:rPr>
        <w:instrText xml:space="preserve"> ADDIN ZOTERO_ITEM CSL_CITATION {"citationID":"97SVGRY8","properties":{"formattedCitation":"(2006, 2010)","plainCitation":"(2006, 2010)","noteIndex":0},"citationItems":[{"id":4455,"uris":["http://zotero.org/users/8977980/items/GL23LQTK"],"itemData":{"id":4455,"type":"article-journal","abstract":"Despite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label":"page","suppress-author":true},{"id":6797,"uris":["http://zotero.org/users/8977980/items/XHAVDZXJ"],"itemData":{"id":6797,"type":"article-journal","abstract":"Abstract: Territory is the quintessential state space and appears to be of growing political importance. It is also a key concept in geography, but it has not been subject to as much critical attention as related geographical terms and remains under-theorised. Taking my cue from Timothy Mitchell's suggestion that the state should be understood as the effect of social practices, I argue that the phenomenon that we call territory is not an irreducible foundation of state power, let alone the expression of a biological imperative. Instead, territory too must be interpreted principally as an effect. This “territory-effect” can best be understood as the outcome of networked socio-technical practices. Thus, far from refuting or falsifying network theories of spatiality, the current resurgence of territory can be seen as itself a product of relational networks. Drawing on an empirical case study of the monitoring of regional economic performance through the measurement of gross value added (GVA), I show that “territory” and “network” are not, as is often assumed, incommensurable and rival principles of spatial organisation, but are intimately connected.","container-title":"Antipode","DOI":"10.1111/j.1467-8330.2010.00795.x","ISSN":"1467-8330","issue":"5","language":"en","license":"© 2010 The Author Journal compilation © 2010 Editorial Board of Antipode","note":"_eprint: https://onlinelibrary.wiley.com/doi/pdf/10.1111/j.1467-8330.2010.00795.x","page":"1090-1118","source":"Wiley Online Library","title":"Rethinking Territory","volume":"42","author":[{"family":"Painter","given":"Joe"}],"issued":{"date-parts":[["2010"]]}},"label":"page","suppress-author":true}],"schema":"https://github.com/citation-style-language/schema/raw/master/csl-citation.json"} </w:instrText>
      </w:r>
      <w:r w:rsidRPr="00662E51">
        <w:rPr>
          <w:szCs w:val="24"/>
        </w:rPr>
        <w:fldChar w:fldCharType="separate"/>
      </w:r>
      <w:r w:rsidR="00F15CF8" w:rsidRPr="00F15CF8">
        <w:t>(2006, 2010)</w:t>
      </w:r>
      <w:r w:rsidRPr="00662E51">
        <w:rPr>
          <w:szCs w:val="24"/>
        </w:rPr>
        <w:fldChar w:fldCharType="end"/>
      </w:r>
      <w:r w:rsidRPr="00662E51">
        <w:rPr>
          <w:szCs w:val="24"/>
        </w:rPr>
        <w:t xml:space="preserve"> subsequently argues for an emphasis on the state practices that engender a particular effect. In particular, through an analysis of anti-social behaviour policy in the United Kingdom, Painter </w:t>
      </w:r>
      <w:r w:rsidRPr="00662E51">
        <w:rPr>
          <w:szCs w:val="24"/>
        </w:rPr>
        <w:fldChar w:fldCharType="begin"/>
      </w:r>
      <w:r w:rsidRPr="00662E51">
        <w:rPr>
          <w:szCs w:val="24"/>
        </w:rPr>
        <w:instrText xml:space="preserve"> ADDIN ZOTERO_ITEM CSL_CITATION {"citationID":"jYrYCv3s","properties":{"formattedCitation":"(2006)","plainCitation":"(2006)","noteIndex":0},"citationItems":[{"id":4455,"uris":["http://zotero.org/users/8977980/items/GL23LQTK"],"itemData":{"id":4455,"type":"article-journal","abstract":"Despite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stateness","volume":"25","author":[{"family":"Painter","given":"Joe"}],"issued":{"date-parts":[["2006",9,1]]}},"label":"page","suppress-author":true}],"schema":"https://github.com/citation-style-language/schema/raw/master/csl-citation.json"} </w:instrText>
      </w:r>
      <w:r w:rsidRPr="00662E51">
        <w:rPr>
          <w:szCs w:val="24"/>
        </w:rPr>
        <w:fldChar w:fldCharType="separate"/>
      </w:r>
      <w:r w:rsidRPr="00662E51">
        <w:t>(2006)</w:t>
      </w:r>
      <w:r w:rsidRPr="00662E51">
        <w:rPr>
          <w:szCs w:val="24"/>
        </w:rPr>
        <w:fldChar w:fldCharType="end"/>
      </w:r>
      <w:r w:rsidRPr="00662E51">
        <w:rPr>
          <w:szCs w:val="24"/>
        </w:rPr>
        <w:t xml:space="preserve"> calls attention to state prosaics: the mundane, everyday collection of effects that constitute what scholars tend to reify as ‘the state.’ The state can therefore be reinterpreted as a mechanism for policy delivery (state-effect) and as composed of relationships between individuals and groups (social relation). State capacity is thus “is only dependent on the modes of representation and social bases of support that operate through the state as an institutional ensemble” </w:t>
      </w:r>
      <w:r w:rsidRPr="00662E51">
        <w:rPr>
          <w:szCs w:val="24"/>
        </w:rPr>
        <w:fldChar w:fldCharType="begin"/>
      </w:r>
      <w:r w:rsidRPr="00662E51">
        <w:rPr>
          <w:szCs w:val="24"/>
        </w:rPr>
        <w:instrText xml:space="preserve"> ADDIN ZOTERO_ITEM CSL_CITATION {"citationID":"zGbkOTKN","properties":{"formattedCitation":"(Ormerod and MacLeod 2019, 324)","plainCitation":"(Ormerod and MacLeod 2019, 324)","noteIndex":0},"citationItems":[{"id":3317,"uris":["http://zotero.org/users/8977980/items/3FKCPYR3"],"itemData":{"id":3317,"type":"article-journal","abstract":"This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governance","volume":"18","author":[{"family":"Ormerod","given":"Emma"},{"family":"MacLeod","given":"Gordon"}],"issued":{"date-parts":[["2019",8,1]]}},"locator":"324"}],"schema":"https://github.com/citation-style-language/schema/raw/master/csl-citation.json"} </w:instrText>
      </w:r>
      <w:r w:rsidRPr="00662E51">
        <w:rPr>
          <w:szCs w:val="24"/>
        </w:rPr>
        <w:fldChar w:fldCharType="separate"/>
      </w:r>
      <w:r w:rsidRPr="00662E51">
        <w:t>(Ormerod and MacLeod 2019, 324)</w:t>
      </w:r>
      <w:r w:rsidRPr="00662E51">
        <w:rPr>
          <w:szCs w:val="24"/>
        </w:rPr>
        <w:fldChar w:fldCharType="end"/>
      </w:r>
      <w:r w:rsidRPr="00662E51">
        <w:rPr>
          <w:szCs w:val="24"/>
        </w:rPr>
        <w:t xml:space="preserve">. In this ensemble, the party is a political organisation that mediates between the state and civil society by organising the social base of the state. Parties also translate policies into platforms, reducing the complexity of politics. As democratic systems require some nominal form of representation through a parliamentary system, parties are also important for determining the state’s overall direction </w:t>
      </w:r>
      <w:r w:rsidRPr="00662E51">
        <w:rPr>
          <w:szCs w:val="24"/>
        </w:rPr>
        <w:fldChar w:fldCharType="begin"/>
      </w:r>
      <w:r w:rsidRPr="00662E51">
        <w:rPr>
          <w:szCs w:val="24"/>
        </w:rPr>
        <w:instrText xml:space="preserve"> ADDIN ZOTERO_ITEM CSL_CITATION {"citationID":"hYMWoj2w","properties":{"formattedCitation":"(Jessop 2016)","plainCitation":"(Jessop 2016)","noteIndex":0},"citationItems":[{"id":6781,"uris":["http://zotero.org/users/8977980/items/6VKLXRIF"],"itemData":{"id":6781,"type":"book","abstract":"Intro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state","author":[{"family":"Jessop","given":"Bob"}],"issued":{"date-parts":[["2016"]]}}}],"schema":"https://github.com/citation-style-language/schema/raw/master/csl-citation.json"} </w:instrText>
      </w:r>
      <w:r w:rsidRPr="00662E51">
        <w:rPr>
          <w:szCs w:val="24"/>
        </w:rPr>
        <w:fldChar w:fldCharType="separate"/>
      </w:r>
      <w:r w:rsidRPr="00662E51">
        <w:t>(Jessop 2016)</w:t>
      </w:r>
      <w:r w:rsidRPr="00662E51">
        <w:rPr>
          <w:szCs w:val="24"/>
        </w:rPr>
        <w:fldChar w:fldCharType="end"/>
      </w:r>
      <w:r w:rsidRPr="00662E51">
        <w:rPr>
          <w:szCs w:val="24"/>
        </w:rPr>
        <w:t xml:space="preserve">. Thus, the relational approach means paying attention to the complex intersections between the state, society, and the individual actors therein. </w:t>
      </w:r>
    </w:p>
    <w:p w14:paraId="07602EEA" w14:textId="1BBDEA44" w:rsidR="000808C7" w:rsidRPr="00662E51" w:rsidRDefault="000808C7" w:rsidP="000808C7">
      <w:pPr>
        <w:spacing w:line="360" w:lineRule="auto"/>
        <w:ind w:left="0" w:firstLine="720"/>
        <w:rPr>
          <w:szCs w:val="24"/>
        </w:rPr>
      </w:pPr>
      <w:r w:rsidRPr="00662E51">
        <w:rPr>
          <w:szCs w:val="24"/>
        </w:rPr>
        <w:t xml:space="preserve">As a scale of the state, the local state (like the London Borough of Haringey) is thus relational and capitalist </w:t>
      </w:r>
      <w:r w:rsidRPr="00662E51">
        <w:rPr>
          <w:szCs w:val="24"/>
        </w:rPr>
        <w:fldChar w:fldCharType="begin"/>
      </w:r>
      <w:r w:rsidR="00213B80">
        <w:rPr>
          <w:szCs w:val="24"/>
        </w:rPr>
        <w:instrText xml:space="preserve"> ADDIN ZOTERO_ITEM CSL_CITATION {"citationID":"jfrs0ApQ","properties":{"formattedCitation":"(N. Brenner 2009; Painter 1991)","plainCitation":"(N. Brenner 2009; Painter 1991)","noteIndex":0},"citationItems":[{"id":6813,"uris":["http://zotero.org/users/8977980/items/5RVXA7QC"],"itemData":{"id":6813,"type":"article-journal","abstract":"Recent work on state rescaling has opened up productive lines of theorization and research. However, this literature contains many open theoretical, interpretive, methodological and empirical questions. By drawing attention to several of these, this article aims to promote reflection and debate on possible future lines of research within this field. I argue, in particular, for greater attention to questions of method—specifically, to the mediations linking abstract concepts to concrete, contextually specific investigations. The article concludes by outlining three research frontiers that could be productively explored within future work on state rescaling—logics of explanation, comparative analyses and questions of periodization.","container-title":"Cambridge Journal of Regions, Economy and Society","DOI":"10.1093/cjres/rsp002","ISSN":"1752-1378","issue":"1","journalAbbreviation":"Cambridge J Regions Econ Soc","page":"123-139","source":"Silverchair","title":"Open questions on state rescaling","volume":"2","author":[{"family":"Brenner","given":"Neil"}],"issued":{"date-parts":[["2009",3,1]]}}},{"id":6780,"uris":["http://zotero.org/users/8977980/items/PXUF4DHP"],"itemData":{"id":6780,"type":"article-journal","container-title":"Local Government Studies","DOI":"10.1080/03003939108433604","ISSN":"0300-3930, 1743-9388","issue":"6","language":"en","page":"23-44","publisher":"Informa UK Limited","source":"Crossref","title":"Regulation theory and local government","volume":"17","author":[{"family":"Painter","given":"Joe"}],"issued":{"date-parts":[["1991",11]]}}}],"schema":"https://github.com/citation-style-language/schema/raw/master/csl-citation.json"} </w:instrText>
      </w:r>
      <w:r w:rsidRPr="00662E51">
        <w:rPr>
          <w:szCs w:val="24"/>
        </w:rPr>
        <w:fldChar w:fldCharType="separate"/>
      </w:r>
      <w:r w:rsidR="00213B80" w:rsidRPr="00213B80">
        <w:t>(N. Brenner 2009; Painter 1991)</w:t>
      </w:r>
      <w:r w:rsidRPr="00662E51">
        <w:rPr>
          <w:szCs w:val="24"/>
        </w:rPr>
        <w:fldChar w:fldCharType="end"/>
      </w:r>
      <w:r w:rsidRPr="00662E51">
        <w:rPr>
          <w:szCs w:val="24"/>
        </w:rPr>
        <w:t xml:space="preserve">. For example, Goodwin and Painter </w:t>
      </w:r>
      <w:r w:rsidRPr="00662E51">
        <w:rPr>
          <w:szCs w:val="24"/>
        </w:rPr>
        <w:fldChar w:fldCharType="begin"/>
      </w:r>
      <w:r w:rsidRPr="00662E51">
        <w:rPr>
          <w:szCs w:val="24"/>
        </w:rPr>
        <w:instrText xml:space="preserve"> ADDIN ZOTERO_ITEM CSL_CITATION {"citationID":"yJJ24VRl","properties":{"formattedCitation":"(1996)","plainCitation":"(1996)","noteIndex":0},"citationItems":[{"id":5564,"uris":["http://zotero.org/users/8977980/items/Q2KXCR9I"],"itemData":{"id":5564,"type":"article-journal","abstract":"During the last fifteen years the local government system in Britain has been transformed into one of local governance in which a multitude of unelected agencies (public, private and voluntary) have become involved in attempting to influence the fortunes of local areas. In this paper, we locate the roots of this shift in the crisis of the Fordist mode of regulation and political responses to it, suggest that a reworked regulation theory can provide a useful perspective from which to interpret current changes and outline the research framework that such a perspective involves. Although a key role for local government in Fordist processes of regulation may be identified, it is doubtful that new forms of local governance are contributing to the emergence of stable regulation in the 1990s. One reason for this is the geographical differentiation of contemporary regulatory processes.","container-title":"Transactions of the Institute of British Geographers","DOI":"10.2307/622391","ISSN":"0020-2754","issue":"4","page":"635-648","publisher":"[Royal Geographical Society (with the Institute of British Geographers), Wiley]","source":"JSTOR","title":"Local Governance, the Crises of Fordism and the Changing Geographies of Regulation","volume":"21","author":[{"family":"Goodwin","given":"Mark"},{"family":"Painter","given":"Joe"}],"issued":{"date-parts":[["1996"]]}},"label":"page","suppress-author":true}],"schema":"https://github.com/citation-style-language/schema/raw/master/csl-citation.json"} </w:instrText>
      </w:r>
      <w:r w:rsidRPr="00662E51">
        <w:rPr>
          <w:szCs w:val="24"/>
        </w:rPr>
        <w:fldChar w:fldCharType="separate"/>
      </w:r>
      <w:r w:rsidRPr="00662E51">
        <w:t>(1996)</w:t>
      </w:r>
      <w:r w:rsidRPr="00662E51">
        <w:rPr>
          <w:szCs w:val="24"/>
        </w:rPr>
        <w:fldChar w:fldCharType="end"/>
      </w:r>
      <w:r w:rsidRPr="00662E51">
        <w:rPr>
          <w:szCs w:val="24"/>
        </w:rPr>
        <w:t xml:space="preserve"> describe a historical shift from local </w:t>
      </w:r>
      <w:r w:rsidRPr="00662E51">
        <w:rPr>
          <w:i/>
          <w:iCs/>
          <w:szCs w:val="24"/>
        </w:rPr>
        <w:t xml:space="preserve">government </w:t>
      </w:r>
      <w:r w:rsidRPr="00662E51">
        <w:rPr>
          <w:szCs w:val="24"/>
        </w:rPr>
        <w:t>to</w:t>
      </w:r>
      <w:r w:rsidRPr="00662E51">
        <w:rPr>
          <w:i/>
          <w:iCs/>
          <w:szCs w:val="24"/>
        </w:rPr>
        <w:t xml:space="preserve"> governance</w:t>
      </w:r>
      <w:r w:rsidRPr="00662E51">
        <w:rPr>
          <w:szCs w:val="24"/>
        </w:rPr>
        <w:t>, in that then-new forms of the local state arising at the end of the Fordist</w:t>
      </w:r>
      <w:r w:rsidR="00AD75CC" w:rsidRPr="00BD17AF">
        <w:rPr>
          <w:rStyle w:val="FootnoteReference"/>
        </w:rPr>
        <w:footnoteReference w:id="37"/>
      </w:r>
      <w:r w:rsidRPr="00662E51">
        <w:rPr>
          <w:szCs w:val="24"/>
        </w:rPr>
        <w:t xml:space="preserve"> accumulation regime reflect a new mode of regulation. Key to this argument is spatial distribution: there is an attempt to understand the uneven development at the end of the Fordist period. The local state is </w:t>
      </w:r>
      <w:r w:rsidR="00956D94">
        <w:rPr>
          <w:szCs w:val="24"/>
        </w:rPr>
        <w:t>likewise</w:t>
      </w:r>
      <w:r w:rsidRPr="00662E51">
        <w:rPr>
          <w:szCs w:val="24"/>
        </w:rPr>
        <w:t xml:space="preserve"> not merely </w:t>
      </w:r>
      <w:r w:rsidRPr="00662E51">
        <w:rPr>
          <w:szCs w:val="24"/>
        </w:rPr>
        <w:lastRenderedPageBreak/>
        <w:t xml:space="preserve">a component of either mode of regulation or accumulation regime. Rather, its unique position as simultaneously a provider of non-profitable services (e.g., some welfare) and a planner (e.g., in land-use) mean the local state occupies a complex position </w:t>
      </w:r>
      <w:r w:rsidRPr="00662E51">
        <w:rPr>
          <w:szCs w:val="24"/>
        </w:rPr>
        <w:fldChar w:fldCharType="begin"/>
      </w:r>
      <w:r w:rsidRPr="00662E51">
        <w:rPr>
          <w:szCs w:val="24"/>
        </w:rPr>
        <w:instrText xml:space="preserve"> ADDIN ZOTERO_ITEM CSL_CITATION {"citationID":"1MAZjpRy","properties":{"formattedCitation":"(Painter 1991)","plainCitation":"(Painter 1991)","noteIndex":0},"citationItems":[{"id":6780,"uris":["http://zotero.org/users/8977980/items/PXUF4DHP"],"itemData":{"id":6780,"type":"article-journal","container-title":"Local Government Studies","DOI":"10.1080/03003939108433604","ISSN":"0300-3930, 1743-9388","issue":"6","language":"en","page":"23-44","publisher":"Informa UK Limited","source":"Crossref","title":"Regulation theory and local government","volume":"17","author":[{"family":"Painter","given":"Joe"}],"issued":{"date-parts":[["1991",11]]}}}],"schema":"https://github.com/citation-style-language/schema/raw/master/csl-citation.json"} </w:instrText>
      </w:r>
      <w:r w:rsidRPr="00662E51">
        <w:rPr>
          <w:szCs w:val="24"/>
        </w:rPr>
        <w:fldChar w:fldCharType="separate"/>
      </w:r>
      <w:r w:rsidRPr="00662E51">
        <w:t>(Painter 1991)</w:t>
      </w:r>
      <w:r w:rsidRPr="00662E51">
        <w:rPr>
          <w:szCs w:val="24"/>
        </w:rPr>
        <w:fldChar w:fldCharType="end"/>
      </w:r>
    </w:p>
    <w:p w14:paraId="0FF48BF2" w14:textId="0EF7AFDC" w:rsidR="000808C7" w:rsidRPr="00662E51" w:rsidRDefault="000808C7" w:rsidP="000808C7">
      <w:pPr>
        <w:spacing w:line="360" w:lineRule="auto"/>
        <w:ind w:left="0" w:firstLine="720"/>
        <w:rPr>
          <w:szCs w:val="24"/>
        </w:rPr>
      </w:pPr>
      <w:r w:rsidRPr="00662E51">
        <w:rPr>
          <w:szCs w:val="24"/>
        </w:rPr>
        <w:t>However, the local state in the United Kingdom is not simply a ‘scaled down’ version of the national scale, with similar state-effect and state-relations that pull toward reinforc</w:t>
      </w:r>
      <w:r w:rsidR="00D42373">
        <w:rPr>
          <w:szCs w:val="24"/>
        </w:rPr>
        <w:t>ing</w:t>
      </w:r>
      <w:r w:rsidRPr="00662E51">
        <w:rPr>
          <w:szCs w:val="24"/>
        </w:rPr>
        <w:t xml:space="preserve"> capitalist relations. Governance practices and processes are not equivalent across scales </w:t>
      </w:r>
      <w:r w:rsidRPr="00662E51">
        <w:rPr>
          <w:szCs w:val="24"/>
        </w:rPr>
        <w:fldChar w:fldCharType="begin"/>
      </w:r>
      <w:r w:rsidRPr="00662E51">
        <w:rPr>
          <w:szCs w:val="24"/>
        </w:rPr>
        <w:instrText xml:space="preserve"> ADDIN ZOTERO_ITEM CSL_CITATION {"citationID":"HvxuGiVZ","properties":{"formattedCitation":"(Cockburn 1980; Copus 2004; 2015; [1980] 2021)","plainCitation":"(Cockburn 1980; Copus 2004; 2015; [1980] 2021)","dontUpdate":true,"noteIndex":0},"citationItems":[{"id":5811,"uris":["http://zotero.org/users/8977980/items/U5ZYVUT5"],"itemData":{"id":5811,"type":"book","edition":"Repr","ISBN":"978-0-904383-48-5","language":"eng","number-of-pages":"207","publisher":"Pluto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Councillors","author":[{"family":"Copus","given":"Colin"}],"issued":{"date-parts":[["2015"]]}}},{"id":5812,"uris":["http://zotero.org/users/8977980/items/UXF4CXWN"],"itemData":{"id":5812,"type":"book","abstract":"Originally published as a pamphlet in 1979 and again by Pluto in 1980, In and Against the State brought together questions of working class struggle and state power, exploring how revolutionary socialists might reconcile working in the public sector with their radical politics. Informed by autonomist political ideas and practices that were central to the protests of 1968, the book's authors spoke to a generation of activists wrestling with where to place their energies. Forty years have passed, yet the questions it posed are still to be answered. Socialist activists continue to face a wave of Tory-led austerity measures involving hospital closures, a deepening housing crisis and attacks on social welfare provision. However, a new form of politics is emerging in the shadow of the neoliberal assault, one that may yet provide solutions. This edition includes a new introduction by Seth Wheeler and an interview with John McDonnell that reflect on the continuing relevance of In and Against the State and the questions it raises","edition":"New edition","ISBN":"978-0-7453-4181-1","language":"eng","number-of-pages":"154","publisher":"Pluto Press","publisher-place":"London","source":"K10plus ISBN","title":"In and against the state: discussion notes for socialists","title-short":"In and against the state","author":[{"literal":"London Edinburgh Weekend Return Group"}],"editor":[{"family":"Wheeler","given":"Seth"}],"issued":{"date-parts":[["2021"]]},"original-date":{"date-parts":[["1980"]]}},"suppress-author":true}],"schema":"https://github.com/citation-style-language/schema/raw/master/csl-citation.json"} </w:instrText>
      </w:r>
      <w:r w:rsidRPr="00662E51">
        <w:rPr>
          <w:szCs w:val="24"/>
        </w:rPr>
        <w:fldChar w:fldCharType="separate"/>
      </w:r>
      <w:r w:rsidRPr="00662E51">
        <w:rPr>
          <w:szCs w:val="24"/>
        </w:rPr>
        <w:t>(Cockburn 1980; Copus 2004; 2015; LEWRG [1980] 2021)</w:t>
      </w:r>
      <w:r w:rsidRPr="00662E51">
        <w:rPr>
          <w:szCs w:val="24"/>
        </w:rPr>
        <w:fldChar w:fldCharType="end"/>
      </w:r>
      <w:r w:rsidRPr="00662E51">
        <w:rPr>
          <w:szCs w:val="24"/>
        </w:rPr>
        <w:t>. Local governments</w:t>
      </w:r>
      <w:r w:rsidR="00641AE9">
        <w:rPr>
          <w:szCs w:val="24"/>
        </w:rPr>
        <w:t xml:space="preserve"> like Haringey</w:t>
      </w:r>
      <w:r w:rsidRPr="00662E51">
        <w:rPr>
          <w:szCs w:val="24"/>
        </w:rPr>
        <w:t xml:space="preserve"> have their own particular structures, politics, and incentives that mean analyses of the national state cannot easily be translated to the local scale </w:t>
      </w:r>
      <w:r w:rsidRPr="00662E51">
        <w:rPr>
          <w:szCs w:val="24"/>
        </w:rPr>
        <w:fldChar w:fldCharType="begin"/>
      </w:r>
      <w:r w:rsidR="00F15CF8">
        <w:rPr>
          <w:szCs w:val="24"/>
        </w:rPr>
        <w:instrText xml:space="preserve"> ADDIN ZOTERO_ITEM CSL_CITATION {"citationID":"qniezj0J","properties":{"formattedCitation":"(James 2009; Ormerod 2017, 2021; Ormerod and MacLeod 2019)","plainCitation":"(James 2009; Ormerod 2017, 2021; Ormerod and MacLeod 2019)","noteIndex":0},"citationItems":[{"id":6808,"uris":["http://zotero.org/users/8977980/items/DC529P9Y"],"itemData":{"id":6808,"type":"article-journal","abstract":"This article contributes to an ongoing debate about the causal source of policy change by considering whether the Régulation approach, which has been largely discarded since the 1990s, can help to explain change in economic development polices at the level of local government in the UK. First, the ‘decline’ of the approach is explained by interviewing key exponents of the approach from the 1990s. Second, the approach is applied to a narrative of local economic policy in the City of York 1980–2006. In applying the Régulation approach, a number of problems are encountered. Chiefly, as a macro-approach, it lacks the finer tools to be able to explain all aspects of local change. Moreover, the approach is open to the charge of over-determinism by over-privileging the role of economic crisis in change. In the case of York, the cause of change has not been any crisis of Fordism but instead an acceptance of neo-liberalism in national and international spheres of governance, the inevitability of which may be overstated by exponents of the crisis of Fordism. However, the application of the Régulation approach to the case study reaffirms the importance of broader hegemonic political struggles and economic change to the study of local institutions, and the insights that more holistic analysis can make to the study of institutional change. Without some linkage to the broader economic and political hegemonic struggles, that the Régulation approach provides, meso-level theories are inherently wanting. The approach may be worth revisiting in the light of the new crisis of capitalism.","container-title":"Policy Studies","DOI":"10.1080/01442870902723717","ISSN":"0144-2872","issue":"2","note":"_eprint: https://doi.org/10.1080/01442870902723717","page":"181-201","publisher":"RSA Website","source":"Taylor and Francis+NEJM","title":"Whatever happened to Régulation theory? The Régulation approach and local government revisited","title-short":"Whatever happened to Régulation theory?","volume":"30","author":[{"family":"James","given":"Toby S."}],"issued":{"date-parts":[["2009",4,1]]}}},{"id":6579,"uris":["http://zotero.org/users/8977980/items/UYJQMU9X"],"itemData":{"id":6579,"type":"thesis","abstract":"Housing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00F15CF8" w:rsidRPr="00F15CF8">
        <w:t>(James 2009; Ormerod 2017, 2021; Ormerod and MacLeod 2019)</w:t>
      </w:r>
      <w:r w:rsidRPr="00662E51">
        <w:rPr>
          <w:szCs w:val="24"/>
        </w:rPr>
        <w:fldChar w:fldCharType="end"/>
      </w:r>
      <w:r w:rsidRPr="00662E51">
        <w:rPr>
          <w:szCs w:val="24"/>
        </w:rPr>
        <w:t xml:space="preserve">. </w:t>
      </w:r>
      <w:r w:rsidR="00D42373">
        <w:rPr>
          <w:szCs w:val="24"/>
        </w:rPr>
        <w:t xml:space="preserve">Haringey Borough oversees policing anti-social behaviour, </w:t>
      </w:r>
      <w:r w:rsidR="00902D2E">
        <w:rPr>
          <w:szCs w:val="24"/>
        </w:rPr>
        <w:t xml:space="preserve">for example, </w:t>
      </w:r>
      <w:r w:rsidR="00D42373">
        <w:rPr>
          <w:szCs w:val="24"/>
        </w:rPr>
        <w:t xml:space="preserve">the same described by </w:t>
      </w:r>
      <w:r w:rsidR="00D42373" w:rsidRPr="00662E51">
        <w:rPr>
          <w:szCs w:val="24"/>
        </w:rPr>
        <w:t xml:space="preserve">Painter </w:t>
      </w:r>
      <w:r w:rsidR="00D42373" w:rsidRPr="00662E51">
        <w:rPr>
          <w:szCs w:val="24"/>
        </w:rPr>
        <w:fldChar w:fldCharType="begin"/>
      </w:r>
      <w:r w:rsidR="007045D4">
        <w:rPr>
          <w:szCs w:val="24"/>
        </w:rPr>
        <w:instrText xml:space="preserve"> ADDIN ZOTERO_ITEM CSL_CITATION {"citationID":"w3EDQB0B","properties":{"formattedCitation":"(2006)","plainCitation":"(2006)","noteIndex":0},"citationItems":[{"id":4455,"uris":["http://zotero.org/users/8977980/items/GL23LQTK"],"itemData":{"id":4455,"type":"article-journal","abstract":"Despite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stateness","volume":"25","author":[{"family":"Painter","given":"Joe"}],"issued":{"date-parts":[["2006",9,1]]}},"label":"page","suppress-author":true}],"schema":"https://github.com/citation-style-language/schema/raw/master/csl-citation.json"} </w:instrText>
      </w:r>
      <w:r w:rsidR="00D42373" w:rsidRPr="00662E51">
        <w:rPr>
          <w:szCs w:val="24"/>
        </w:rPr>
        <w:fldChar w:fldCharType="separate"/>
      </w:r>
      <w:r w:rsidR="00D42373" w:rsidRPr="00662E51">
        <w:t>(2006)</w:t>
      </w:r>
      <w:r w:rsidR="00D42373" w:rsidRPr="00662E51">
        <w:rPr>
          <w:szCs w:val="24"/>
        </w:rPr>
        <w:fldChar w:fldCharType="end"/>
      </w:r>
      <w:r w:rsidR="00902D2E">
        <w:rPr>
          <w:szCs w:val="24"/>
        </w:rPr>
        <w:t>, while the national state does not</w:t>
      </w:r>
      <w:r w:rsidR="00D42373">
        <w:rPr>
          <w:szCs w:val="24"/>
        </w:rPr>
        <w:t xml:space="preserve">. </w:t>
      </w:r>
      <w:r w:rsidRPr="00662E51">
        <w:rPr>
          <w:szCs w:val="24"/>
        </w:rPr>
        <w:t xml:space="preserve">This is especially true for neoliberalism’s role in state and urban transformation </w:t>
      </w:r>
      <w:r w:rsidRPr="00662E51">
        <w:rPr>
          <w:szCs w:val="24"/>
        </w:rPr>
        <w:fldChar w:fldCharType="begin"/>
      </w:r>
      <w:r w:rsidR="00213B80">
        <w:rPr>
          <w:szCs w:val="24"/>
        </w:rPr>
        <w:instrText xml:space="preserve"> ADDIN ZOTERO_ITEM CSL_CITATION {"citationID":"uCs98fPp","properties":{"formattedCitation":"(Peck et al. 2009; D. Wilson 2004)","plainCitation":"(Peck et al. 2009; D. Wilson 2004)","noteIndex":0},"citationItems":[{"id":6181,"uris":["http://zotero.org/users/8977980/items/PA37G375"],"itemData":{"id":6181,"type":"article-journal","container-title":"SAIS Review of International Affairs","DOI":"10.1353/sais.0.0028","ISSN":"1945-4724","issue":"1","journalAbbreviation":"SAIS Review of International Affairs","language":"en","page":"49-66","source":"DOI.org (Crossref)","title":"Neoliberal Urbanism: Models, Moments, Mutations","title-short":"Neoliberal Urbanism","volume":"29","author":[{"family":"Peck","given":"Jamie"},{"family":"Theodore","given":"Nik"},{"family":"Brenner","given":"Neil"}],"issued":{"date-parts":[["2009"]]}}},{"id":6811,"uris":["http://zotero.org/users/8977980/items/493T37XS"],"itemData":{"id":6811,"type":"article-journal","abstract":"Neoliberal governance has recently come to dominate U.S. and U.K. cities. This discussion explores an important idea that British and American urban geographers now grapple with: contingent urban neoliberalism. Four new understandings about these formations in U.S. and U.K. cities are discussed: they exist in historically and geographically specific forms, they are always complex cultural projects, they are enabled by production and use of space, and they are not end states but evolving processes. I suggest that this political project is anything but a \"top-down\" brute and desensitized imposition on cities. I believe it is best conceptualized as a series of differentiated, keenly negotiating, processural, and space-mobilizing constructions in new political and economic times. These governances, in general principal, are outgrowths of new economic times and circumstances. But they are constituted and reconstituted through the vagaries of the situated social hierarchies, political cultures, economic bases, and cultural understandings that create a patchwork of wildly varying governances.","container-title":"Urban Geography","DOI":"10.2747/0272-3638.25.8.771","ISSN":"0272-3638","issue":"8","note":"_eprint: https://doi.org/10.2747/0272-3638.25.8.771","page":"771-783","publisher":"Routledge","source":"Taylor and Francis+NEJM","title":"Toward A Contingent Urban Neoliberalism","volume":"25","author":[{"family":"Wilson","given":"David"}],"issued":{"date-parts":[["2004",12,1]]}}}],"schema":"https://github.com/citation-style-language/schema/raw/master/csl-citation.json"} </w:instrText>
      </w:r>
      <w:r w:rsidRPr="00662E51">
        <w:rPr>
          <w:szCs w:val="24"/>
        </w:rPr>
        <w:fldChar w:fldCharType="separate"/>
      </w:r>
      <w:r w:rsidR="00213B80" w:rsidRPr="00213B80">
        <w:t>(Peck et al. 2009; D. Wilson 2004)</w:t>
      </w:r>
      <w:r w:rsidRPr="00662E51">
        <w:rPr>
          <w:szCs w:val="24"/>
        </w:rPr>
        <w:fldChar w:fldCharType="end"/>
      </w:r>
      <w:r w:rsidRPr="00662E51">
        <w:rPr>
          <w:szCs w:val="24"/>
        </w:rPr>
        <w:t xml:space="preserve">. Wilson and Game’s </w:t>
      </w:r>
      <w:r w:rsidRPr="00662E51">
        <w:rPr>
          <w:szCs w:val="24"/>
        </w:rPr>
        <w:fldChar w:fldCharType="begin"/>
      </w:r>
      <w:r w:rsidRPr="00662E51">
        <w:rPr>
          <w:szCs w:val="24"/>
        </w:rPr>
        <w:instrText xml:space="preserve"> ADDIN ZOTERO_ITEM CSL_CITATION {"citationID":"VRNadER5","properties":{"formattedCitation":"(2011)","plainCitation":"(2011)","noteIndex":0},"citationItems":[{"id":6024,"uris":["http://zotero.org/users/8977980/items/KPWE8DA3"],"itemData":{"id":6024,"type":"book","abstract":"During its 13 years of office, Labour's modernization agenda transformed the world of UK local government. Amidst a starkly altered political and economic climate the coalition government formed in 2010 pledged to implement equally radical changes to the system. Taking account of the coalition's programme for government and its first round of spending cuts, the completely revised and updated fifth edition of this popular and established text is timed to take full advantage of this historic juncture.David Wilson and Chris Game provide readers with systematic coverage of the UK's local government. The book examines its defining features, its history, changing structure, operations, functions, financing, and its relations with central government.The fifth edition gives additional emphasis to local government in the devolved regions of the UK, and provides more extensive analysis of centre-local government relations. The authors deliver a thorough critique of Labour's third term in office. Looking ahead, the book anticipates the future of local government under the coalition government. Two themes look likely to dominate policy making: decentralization and cuts to public spending. With its clear, accessible, non-technical style and popular illustrations, Local Government in the United Kingdom will be essential reading for students, practitioners, and anyone with an interest in local politics.","ISBN":"978-0-230-35667-2","language":"en","number-of-pages":"457","publisher":"Bloomsbury Publishing","title":"Local Government in the United Kingdom","author":[{"family":"Wilson","given":"David J."},{"family":"Game","given":"Chris"}],"issued":{"date-parts":[["2011",4,12]]}},"label":"page","suppress-author":true}],"schema":"https://github.com/citation-style-language/schema/raw/master/csl-citation.json"} </w:instrText>
      </w:r>
      <w:r w:rsidRPr="00662E51">
        <w:rPr>
          <w:szCs w:val="24"/>
        </w:rPr>
        <w:fldChar w:fldCharType="separate"/>
      </w:r>
      <w:r w:rsidRPr="00662E51">
        <w:t>(2011)</w:t>
      </w:r>
      <w:r w:rsidRPr="00662E51">
        <w:rPr>
          <w:szCs w:val="24"/>
        </w:rPr>
        <w:fldChar w:fldCharType="end"/>
      </w:r>
      <w:r w:rsidRPr="00662E51">
        <w:rPr>
          <w:szCs w:val="24"/>
        </w:rPr>
        <w:t xml:space="preserve"> expansive book highlights the significant unique elements of the local state—chief among these is its role in service provision, which I discuss in Chapters 6 and 7. Paired with service provision is the ‘closeness’ of the local state to the public. Scholars of policy implementation have called this the ‘street-level bureaucrat,’ </w:t>
      </w:r>
      <w:r w:rsidRPr="00662E51">
        <w:rPr>
          <w:szCs w:val="24"/>
        </w:rPr>
        <w:fldChar w:fldCharType="begin"/>
      </w:r>
      <w:r w:rsidRPr="00662E51">
        <w:rPr>
          <w:szCs w:val="24"/>
        </w:rPr>
        <w:instrText xml:space="preserve"> ADDIN ZOTERO_ITEM CSL_CITATION {"citationID":"osfKSGkK","properties":{"formattedCitation":"(Lipsky 2010)","plainCitation":"(Lipsky 2010)","noteIndex":0},"citationItems":[{"id":4457,"uris":["http://zotero.org/users/8977980/items/HUFBDW99"],"itemData":{"id":4457,"type":"book","call-number":"HV41 .L53 2010","edition":"30th anniversary expanded ed","ISBN":"978-0-87154-544-2","note":"OCLC: ocn503596064","number-of-pages":"275","publisher":"Russell Sage Foundation","publisher-place":"New York","source":"Library of Congress ISBN","title":"Street-level bureaucracy: dilemmas of the individual in public services","title-short":"Street-level bureaucracy","author":[{"family":"Lipsky","given":"Michael"}],"issued":{"date-parts":[["2010"]]}}}],"schema":"https://github.com/citation-style-language/schema/raw/master/csl-citation.json"} </w:instrText>
      </w:r>
      <w:r w:rsidRPr="00662E51">
        <w:rPr>
          <w:szCs w:val="24"/>
        </w:rPr>
        <w:fldChar w:fldCharType="separate"/>
      </w:r>
      <w:r w:rsidRPr="00662E51">
        <w:t>(Lipsky 2010)</w:t>
      </w:r>
      <w:r w:rsidRPr="00662E51">
        <w:rPr>
          <w:szCs w:val="24"/>
        </w:rPr>
        <w:fldChar w:fldCharType="end"/>
      </w:r>
      <w:r w:rsidRPr="00662E51">
        <w:rPr>
          <w:szCs w:val="24"/>
        </w:rPr>
        <w:t xml:space="preserve"> a term that encompasses a range of professions like teacher, police officer, and in my case, councillor </w:t>
      </w:r>
      <w:r w:rsidRPr="00662E51">
        <w:rPr>
          <w:szCs w:val="24"/>
        </w:rPr>
        <w:fldChar w:fldCharType="begin"/>
      </w:r>
      <w:r w:rsidR="00F15CF8">
        <w:rPr>
          <w:szCs w:val="24"/>
        </w:rPr>
        <w:instrText xml:space="preserve"> ADDIN ZOTERO_ITEM CSL_CITATION {"citationID":"HdsPZt4X","properties":{"formattedCitation":"(Copus 2004, 2015, 2023)","plainCitation":"(Copus 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label":"page"}],"schema":"https://github.com/citation-style-language/schema/raw/master/csl-citation.json"} </w:instrText>
      </w:r>
      <w:r w:rsidRPr="00662E51">
        <w:rPr>
          <w:szCs w:val="24"/>
        </w:rPr>
        <w:fldChar w:fldCharType="separate"/>
      </w:r>
      <w:r w:rsidR="00F15CF8" w:rsidRPr="00F15CF8">
        <w:t>(Copus 2004, 2015, 2023)</w:t>
      </w:r>
      <w:r w:rsidRPr="00662E51">
        <w:rPr>
          <w:szCs w:val="24"/>
        </w:rPr>
        <w:fldChar w:fldCharType="end"/>
      </w:r>
      <w:r w:rsidRPr="00662E51">
        <w:rPr>
          <w:szCs w:val="24"/>
        </w:rPr>
        <w:t xml:space="preserve">. Street-level bureaucrats are engaged in a balancing of policy implementation and creation through their use of discretion, which exploits the gap between what is written in legislation and what actually happens </w:t>
      </w:r>
      <w:r w:rsidRPr="00662E51">
        <w:rPr>
          <w:szCs w:val="24"/>
        </w:rPr>
        <w:fldChar w:fldCharType="begin"/>
      </w:r>
      <w:r w:rsidRPr="00662E51">
        <w:rPr>
          <w:szCs w:val="24"/>
        </w:rPr>
        <w:instrText xml:space="preserve"> ADDIN ZOTERO_ITEM CSL_CITATION {"citationID":"g8ccFBbL","properties":{"formattedCitation":"(Lipsky 2010)","plainCitation":"(Lipsky 2010)","noteIndex":0},"citationItems":[{"id":4457,"uris":["http://zotero.org/users/8977980/items/HUFBDW99"],"itemData":{"id":4457,"type":"book","call-number":"HV41 .L53 2010","edition":"30th anniversary expanded ed","ISBN":"978-0-87154-544-2","note":"OCLC: ocn503596064","number-of-pages":"275","publisher":"Russell Sage Foundation","publisher-place":"New York","source":"Library of Congress ISBN","title":"Street-level bureaucracy: dilemmas of the individual in public services","title-short":"Street-level bureaucracy","author":[{"family":"Lipsky","given":"Michael"}],"issued":{"date-parts":[["2010"]]}}}],"schema":"https://github.com/citation-style-language/schema/raw/master/csl-citation.json"} </w:instrText>
      </w:r>
      <w:r w:rsidRPr="00662E51">
        <w:rPr>
          <w:szCs w:val="24"/>
        </w:rPr>
        <w:fldChar w:fldCharType="separate"/>
      </w:r>
      <w:r w:rsidRPr="00662E51">
        <w:t>(Lipsky 2010)</w:t>
      </w:r>
      <w:r w:rsidRPr="00662E51">
        <w:rPr>
          <w:szCs w:val="24"/>
        </w:rPr>
        <w:fldChar w:fldCharType="end"/>
      </w:r>
      <w:r w:rsidRPr="00662E51">
        <w:rPr>
          <w:szCs w:val="24"/>
        </w:rPr>
        <w:t>. My discussion of street-level bureaucrats and service provision is not to introduce new concepts that I later discuss in the empirical sections</w:t>
      </w:r>
      <w:r w:rsidR="00641AE9">
        <w:rPr>
          <w:szCs w:val="24"/>
        </w:rPr>
        <w:t>. Instead, it is</w:t>
      </w:r>
      <w:r w:rsidRPr="00662E51">
        <w:rPr>
          <w:szCs w:val="24"/>
        </w:rPr>
        <w:t xml:space="preserve"> to emphasise how the local state differs from its national counterpart</w:t>
      </w:r>
      <w:r w:rsidR="001618A6">
        <w:rPr>
          <w:szCs w:val="24"/>
        </w:rPr>
        <w:t>: o</w:t>
      </w:r>
      <w:r w:rsidRPr="00662E51">
        <w:rPr>
          <w:szCs w:val="24"/>
        </w:rPr>
        <w:t xml:space="preserve">ne of Lipsky’s </w:t>
      </w:r>
      <w:r w:rsidRPr="00662E51">
        <w:rPr>
          <w:szCs w:val="24"/>
        </w:rPr>
        <w:fldChar w:fldCharType="begin"/>
      </w:r>
      <w:r w:rsidRPr="00662E51">
        <w:rPr>
          <w:szCs w:val="24"/>
        </w:rPr>
        <w:instrText xml:space="preserve"> ADDIN ZOTERO_ITEM CSL_CITATION {"citationID":"9omRlRLa","properties":{"formattedCitation":"(2010)","plainCitation":"(2010)","noteIndex":0},"citationItems":[{"id":4457,"uris":["http://zotero.org/users/8977980/items/HUFBDW99"],"itemData":{"id":4457,"type":"book","call-number":"HV41 .L53 2010","edition":"30th anniversary expanded ed","ISBN":"978-0-87154-544-2","note":"OCLC: ocn503596064","number-of-pages":"275","publisher":"Russell Sage Foundation","publisher-place":"New York","source":"Library of Congress ISBN","title":"Street-level bureaucracy: dilemmas of the individual in public services","title-short":"Street-level bureaucracy","author":[{"family":"Lipsky","given":"Michael"}],"issued":{"date-parts":[["2010"]]}},"label":"page","suppress-author":true}],"schema":"https://github.com/citation-style-language/schema/raw/master/csl-citation.json"} </w:instrText>
      </w:r>
      <w:r w:rsidRPr="00662E51">
        <w:rPr>
          <w:szCs w:val="24"/>
        </w:rPr>
        <w:fldChar w:fldCharType="separate"/>
      </w:r>
      <w:r w:rsidRPr="00662E51">
        <w:t>(2010)</w:t>
      </w:r>
      <w:r w:rsidRPr="00662E51">
        <w:rPr>
          <w:szCs w:val="24"/>
        </w:rPr>
        <w:fldChar w:fldCharType="end"/>
      </w:r>
      <w:r w:rsidRPr="00662E51">
        <w:rPr>
          <w:szCs w:val="24"/>
        </w:rPr>
        <w:t xml:space="preserve"> central arguments is that the street-level bureaucrat is a defining feature of local governance. Another aspect is the role of the </w:t>
      </w:r>
      <w:r w:rsidRPr="00662E51">
        <w:rPr>
          <w:i/>
          <w:iCs/>
          <w:szCs w:val="24"/>
        </w:rPr>
        <w:t>local</w:t>
      </w:r>
      <w:r w:rsidRPr="00662E51">
        <w:rPr>
          <w:szCs w:val="24"/>
        </w:rPr>
        <w:t xml:space="preserve"> political party (Chapters 6 and 7), which exerts pressure on the local state in ways that differ from their national counterparts. An emphasis on the local party</w:t>
      </w:r>
      <w:r w:rsidR="007B1BFB">
        <w:rPr>
          <w:szCs w:val="24"/>
        </w:rPr>
        <w:t xml:space="preserve"> (in this work, Haringey Labour)</w:t>
      </w:r>
      <w:r w:rsidRPr="00662E51">
        <w:rPr>
          <w:szCs w:val="24"/>
        </w:rPr>
        <w:t xml:space="preserve"> is one of this thesis’s core contributions, as it remains significantly undertheorised. Similarly, the bureaucratic structures of </w:t>
      </w:r>
      <w:r w:rsidRPr="00662E51">
        <w:rPr>
          <w:szCs w:val="24"/>
        </w:rPr>
        <w:lastRenderedPageBreak/>
        <w:t xml:space="preserve">the local state—that differ from the relational structures discussed above—often work to narrow spaces of acceptable dissent </w:t>
      </w:r>
      <w:r w:rsidRPr="00662E51">
        <w:rPr>
          <w:szCs w:val="24"/>
        </w:rPr>
        <w:fldChar w:fldCharType="begin"/>
      </w:r>
      <w:r w:rsidR="00F15CF8">
        <w:rPr>
          <w:szCs w:val="24"/>
        </w:rPr>
        <w:instrText xml:space="preserve"> ADDIN ZOTERO_ITEM CSL_CITATION {"citationID":"kvkT8muB","properties":{"formattedCitation":"(Cockburn 1980; Ormerod 2017, 2021; Ormerod and MacLeod 2019)","plainCitation":"(Cockburn 1980; Ormerod 2017, 2021; Ormerod and MacLeod 2019)","noteIndex":0},"citationItems":[{"id":5811,"uris":["http://zotero.org/users/8977980/items/U5ZYVUT5"],"itemData":{"id":5811,"type":"book","edition":"Repr","ISBN":"978-0-904383-48-5","language":"eng","number-of-pages":"207","publisher":"Pluto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00F15CF8" w:rsidRPr="00F15CF8">
        <w:t>(Cockburn 1980; Ormerod 2017, 2021; Ormerod and MacLeod 2019)</w:t>
      </w:r>
      <w:r w:rsidRPr="00662E51">
        <w:rPr>
          <w:szCs w:val="24"/>
        </w:rPr>
        <w:fldChar w:fldCharType="end"/>
      </w:r>
      <w:r w:rsidRPr="00662E51">
        <w:rPr>
          <w:szCs w:val="24"/>
        </w:rPr>
        <w:t>. I expand on this below, further explaining how local political parties have an outsized influence on the local state.</w:t>
      </w:r>
    </w:p>
    <w:p w14:paraId="33A97A96" w14:textId="77777777" w:rsidR="000808C7" w:rsidRPr="00662E51" w:rsidRDefault="000808C7" w:rsidP="000808C7">
      <w:pPr>
        <w:spacing w:line="360" w:lineRule="auto"/>
        <w:ind w:left="0"/>
        <w:rPr>
          <w:szCs w:val="24"/>
        </w:rPr>
      </w:pPr>
    </w:p>
    <w:p w14:paraId="07D0A4C3" w14:textId="0F8C814E" w:rsidR="000808C7" w:rsidRPr="00662E51" w:rsidRDefault="000808C7" w:rsidP="000808C7">
      <w:pPr>
        <w:pStyle w:val="Heading3"/>
      </w:pPr>
      <w:bookmarkStart w:id="154" w:name="_Toc213173931"/>
      <w:bookmarkStart w:id="155" w:name="_Toc221184314"/>
      <w:bookmarkStart w:id="156" w:name="_Toc231215237"/>
      <w:r w:rsidRPr="00662E51">
        <w:t>Local Political Parties in Government</w:t>
      </w:r>
      <w:bookmarkEnd w:id="154"/>
      <w:bookmarkEnd w:id="155"/>
      <w:r w:rsidR="00836748">
        <w:t>:</w:t>
      </w:r>
      <w:bookmarkEnd w:id="156"/>
    </w:p>
    <w:p w14:paraId="6A4D7F44" w14:textId="3A4BF3E4" w:rsidR="000808C7" w:rsidRPr="00662E51" w:rsidRDefault="000808C7" w:rsidP="000808C7">
      <w:pPr>
        <w:spacing w:line="360" w:lineRule="auto"/>
        <w:ind w:left="0" w:firstLine="720"/>
        <w:rPr>
          <w:szCs w:val="24"/>
        </w:rPr>
      </w:pPr>
      <w:r w:rsidRPr="00662E51">
        <w:rPr>
          <w:szCs w:val="24"/>
        </w:rPr>
        <w:t>The relationship between local political parties</w:t>
      </w:r>
      <w:r w:rsidR="008641A3">
        <w:rPr>
          <w:szCs w:val="24"/>
        </w:rPr>
        <w:t xml:space="preserve"> (like Haringey Labour)</w:t>
      </w:r>
      <w:r w:rsidRPr="00662E51">
        <w:rPr>
          <w:szCs w:val="24"/>
        </w:rPr>
        <w:t xml:space="preserve"> and the local state in the UK is relatively understudied. This thesis then goes some way in ensuring scholarship of the state “see[s] the more subtle, quieter registers of power” that characterises governance </w:t>
      </w:r>
      <w:r w:rsidRPr="00662E51">
        <w:rPr>
          <w:szCs w:val="24"/>
        </w:rPr>
        <w:fldChar w:fldCharType="begin"/>
      </w:r>
      <w:r w:rsidRPr="00662E51">
        <w:rPr>
          <w:szCs w:val="24"/>
        </w:rPr>
        <w:instrText xml:space="preserve"> ADDIN ZOTERO_ITEM CSL_CITATION {"citationID":"Y9VmJQLW","properties":{"formattedCitation":"(Ormerod 2021, 2)","plainCitation":"(Ormerod 2021, 2)","noteIndex":0},"citationItems":[{"id":3295,"uris":["http://zotero.org/users/8977980/items/UP7CRFTK"],"itemData":{"id":3295,"type":"article-journal","abstract":"This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ocator":"2"}],"schema":"https://github.com/citation-style-language/schema/raw/master/csl-citation.json"} </w:instrText>
      </w:r>
      <w:r w:rsidRPr="00662E51">
        <w:rPr>
          <w:szCs w:val="24"/>
        </w:rPr>
        <w:fldChar w:fldCharType="separate"/>
      </w:r>
      <w:r w:rsidRPr="00662E51">
        <w:t>(Ormerod 2021, 2)</w:t>
      </w:r>
      <w:r w:rsidRPr="00662E51">
        <w:rPr>
          <w:szCs w:val="24"/>
        </w:rPr>
        <w:fldChar w:fldCharType="end"/>
      </w:r>
      <w:r w:rsidRPr="00662E51">
        <w:rPr>
          <w:szCs w:val="24"/>
        </w:rPr>
        <w:t xml:space="preserve">. The literature review here starts with an overview of literature on politics in local government—specifically considering councillors—and heavily draws on Copus’s </w:t>
      </w:r>
      <w:r w:rsidRPr="00662E51">
        <w:rPr>
          <w:szCs w:val="24"/>
        </w:rPr>
        <w:fldChar w:fldCharType="begin"/>
      </w:r>
      <w:r w:rsidR="00F15CF8">
        <w:rPr>
          <w:szCs w:val="24"/>
        </w:rPr>
        <w:instrText xml:space="preserve"> ADDIN ZOTERO_ITEM CSL_CITATION {"citationID":"PhGGN0ED","properties":{"formattedCitation":"(2004, 2015, 2023)","plainCitation":"(2004,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Government","author":[{"family":"Copus","given":"Colin"}],"issued":{"date-parts":[["2004"]]}},"label":"page","suppress-author":true},{"id":6771,"uris":["http://zotero.org/users/8977980/items/H5WX9ZA2"],"itemData":{"id":6771,"type":"book","abstract":"In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Councillors","author":[{"family":"Copus","given":"Colin"}],"issued":{"date-parts":[["2015"]]}},"label":"page","suppress-author":true},{"id":6769,"uris":["http://zotero.org/users/8977980/items/DFD3QFVU"],"itemData":{"id":6769,"type":"chapter","abstract":"Chapter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label":"page","suppress-author":true}],"schema":"https://github.com/citation-style-language/schema/raw/master/csl-citation.json"} </w:instrText>
      </w:r>
      <w:r w:rsidRPr="00662E51">
        <w:rPr>
          <w:szCs w:val="24"/>
        </w:rPr>
        <w:fldChar w:fldCharType="separate"/>
      </w:r>
      <w:r w:rsidR="00F15CF8" w:rsidRPr="00F15CF8">
        <w:t>(2004, 2015, 2023)</w:t>
      </w:r>
      <w:r w:rsidRPr="00662E51">
        <w:rPr>
          <w:szCs w:val="24"/>
        </w:rPr>
        <w:fldChar w:fldCharType="end"/>
      </w:r>
      <w:r w:rsidRPr="00662E51">
        <w:rPr>
          <w:szCs w:val="24"/>
        </w:rPr>
        <w:t xml:space="preserve"> extensive oeuvre on councillors. As both leaders in their local parties and members of the local state, councillors play a fundamental role in a community’s political landscape. </w:t>
      </w:r>
    </w:p>
    <w:p w14:paraId="3A1836E9" w14:textId="609502BF" w:rsidR="000808C7" w:rsidRPr="00662E51" w:rsidRDefault="000808C7" w:rsidP="000808C7">
      <w:pPr>
        <w:spacing w:line="360" w:lineRule="auto"/>
        <w:ind w:left="0" w:firstLine="720"/>
        <w:rPr>
          <w:szCs w:val="24"/>
        </w:rPr>
      </w:pPr>
      <w:r w:rsidRPr="00662E51">
        <w:rPr>
          <w:szCs w:val="24"/>
        </w:rPr>
        <w:t xml:space="preserve">Studies of British councillors are many, but a significant portion of this literature overlooks the intimate relations between the councillor and their political party. For instance, scholars have considered various typologies of meetings that councillors undertake </w:t>
      </w:r>
      <w:r w:rsidRPr="00662E51">
        <w:rPr>
          <w:szCs w:val="24"/>
        </w:rPr>
        <w:fldChar w:fldCharType="begin"/>
      </w:r>
      <w:r w:rsidRPr="00662E51">
        <w:rPr>
          <w:szCs w:val="24"/>
        </w:rPr>
        <w:instrText xml:space="preserve"> ADDIN ZOTERO_ITEM CSL_CITATION {"citationID":"8vUMDdbB","properties":{"formattedCitation":"(R. Freeman 2020)","plainCitation":"(R. Freeman 2020)","noteIndex":0},"citationItems":[{"id":6828,"uris":["http://zotero.org/users/8977980/items/6IX488KU"],"itemData":{"id":6828,"type":"article-journal","abstract":"This paper picks up a theme from the recent literature on the councillor, that of time spent in meeting, and suggests that if we are to understand the role of the councillor we must understand the work the meeting does. The discussion is based in a series of empirical studies and uses interactionist precepts to identify and explore the dynamics of the informal encounter, the more formal meeting and its associated paperwork, and the special if ambiguous function of meetings about meetings. It draws on recent institutionalist theorising to describe how the routines and processes of meeting must be inhabited and enacted in practice, positioning them in Arendt’s sense of politics as action and interaction. In concluding, it considers how future research might explore the ways that meetings are separated from the world to which they refer, and how different meetings and kinds of meeting are articulated one with another.","container-title":"Local Government Studies","DOI":"10.1080/03003930.2019.1673740","ISSN":"0300-3930","issue":"4","note":"_eprint: https://doi.org/10.1080/03003930.2019.1673740","page":"564-582","publisher":"Routledge","source":"Taylor and Francis+NEJM","title":"The role of the councillor and the work of meeting","volume":"46","author":[{"family":"Freeman","given":"Richard"}],"issued":{"date-parts":[["2020",7,3]]}}}],"schema":"https://github.com/citation-style-language/schema/raw/master/csl-citation.json"} </w:instrText>
      </w:r>
      <w:r w:rsidRPr="00662E51">
        <w:rPr>
          <w:szCs w:val="24"/>
        </w:rPr>
        <w:fldChar w:fldCharType="separate"/>
      </w:r>
      <w:r w:rsidRPr="00662E51">
        <w:t>(R. Freeman 2020)</w:t>
      </w:r>
      <w:r w:rsidRPr="00662E51">
        <w:rPr>
          <w:szCs w:val="24"/>
        </w:rPr>
        <w:fldChar w:fldCharType="end"/>
      </w:r>
      <w:r w:rsidRPr="00662E51">
        <w:rPr>
          <w:szCs w:val="24"/>
        </w:rPr>
        <w:t xml:space="preserve">, their workload </w:t>
      </w:r>
      <w:r w:rsidRPr="00662E51">
        <w:rPr>
          <w:szCs w:val="24"/>
        </w:rPr>
        <w:fldChar w:fldCharType="begin"/>
      </w:r>
      <w:r w:rsidRPr="00662E51">
        <w:rPr>
          <w:szCs w:val="24"/>
        </w:rPr>
        <w:instrText xml:space="preserve"> ADDIN ZOTERO_ITEM CSL_CITATION {"citationID":"0vglhZCT","properties":{"formattedCitation":"(Kettlewell and Philips 2014; McGarvey and Stewart 2018; Thrasher et al. 2015)","plainCitation":"(Kettlewell and Philips 2014; McGarvey and Stewart 2018; Thrasher et al. 2015)","noteIndex":0},"citationItems":[{"id":6834,"uris":["http://zotero.org/users/8977980/items/ANP8NBM3"],"itemData":{"id":6834,"type":"report","genre":"LGA Research Report","publisher":"NFER","publisher-place":"Slough","title":"Census of Local Authority Councillors 2013","author":[{"family":"Kettlewell","given":"Kelly"},{"family":"Philips","given":"Liz"}],"issued":{"date-parts":[["2014"]]}}},{"id":6831,"uris":["http://zotero.org/users/8977980/items/VKKCL3ET"],"itemData":{"id":6831,"type":"chapter","abstract":"This chapter sets out the important roles local councillors play in the democratic process across the globe. It outlines the activities that remain the fundamental duties of local councillors across virtually all states. Then, utilising a broad array of cross-national research into the changing dynamics of councillor roles, it examines the recent evolution of councillor role. It reflects on trends such as professionalisation, party orientation and approaches to representation inside and outside the council. Focusing on research into the determinants of councillor workload it highlights the ongoing autonomy of councillors. While factors such as constitutions, council and ward size can constrain the scope of councillor choice, councillors retain significant agency in orientating their own agenda and approach to their representative role.","container-title":"The Routledge Handbook of International Local Government","ISBN":"978-1-315-30627-8","note":"number-of-pages: 16","publisher":"Routledge","title":"The role of the councillor","author":[{"family":"McGarvey","given":"Neil"},{"family":"Stewart","given":"Fraser"}],"issued":{"date-parts":[["2018"]]}}},{"id":6827,"uris":["http://zotero.org/users/8977980/items/6SMMT332"],"itemData":{"id":6827,"type":"article-journal","abstract":"The time investment in council duties and the roles adopted by local councillors in Britain have been studied extensively but rarely has research incorporated information about the type of area represented. This article combines individual-level survey responses from councillors with aggregate-level data that describe characteristics of the wards that elect each councillor. The survey data report each councillor’s social and political characteristics, the average hours per week performing council duties and the range and frequency of activities undertaken. The ward-level data include a measure of relative social deprivation, electoral competitiveness and other features. The analysis shows that councillors representing relatively deprived areas spend more time on council activities than do councillors representing more affluent areas. The activities that councillors pursue, especially whether they are proactive or reactive towards constituents, relate to the ward context. Women and people that are retired from work also invest relatively more time in their work as councillors. These findings establish that assessments of what councillors do and the roles that they might adopt should take account of the types of ward being represented.","container-title":"Local Government Studies","DOI":"10.1080/03003930.2015.1020372","ISSN":"0300-3930","issue":"5","note":"_eprint: https://doi.org/10.1080/03003930.2015.1020372","page":"713-734","publisher":"Routledge","source":"Taylor and Francis+NEJM","title":"Councillors in Context: The Impact of Place upon Elected Representatives","title-short":"Councillors in Context","volume":"41","author":[{"family":"Thrasher","given":"Michael"},{"family":"Borisyuk","given":"Galina"},{"family":"Shears","given":"Mary"},{"family":"Rallings","given":"Colin"}],"issued":{"date-parts":[["2015",9,3]]}}}],"schema":"https://github.com/citation-style-language/schema/raw/master/csl-citation.json"} </w:instrText>
      </w:r>
      <w:r w:rsidRPr="00662E51">
        <w:rPr>
          <w:szCs w:val="24"/>
        </w:rPr>
        <w:fldChar w:fldCharType="separate"/>
      </w:r>
      <w:r w:rsidRPr="00662E51">
        <w:t>(Kettlewell and Philips 2014; McGarvey and Stewart 2018; Thrasher et al. 2015)</w:t>
      </w:r>
      <w:r w:rsidRPr="00662E51">
        <w:rPr>
          <w:szCs w:val="24"/>
        </w:rPr>
        <w:fldChar w:fldCharType="end"/>
      </w:r>
      <w:r w:rsidRPr="00662E51">
        <w:rPr>
          <w:szCs w:val="24"/>
        </w:rPr>
        <w:t xml:space="preserve">, and the types of roles a councillor takes throughout their political journey </w:t>
      </w:r>
      <w:r w:rsidRPr="00662E51">
        <w:rPr>
          <w:szCs w:val="24"/>
        </w:rPr>
        <w:fldChar w:fldCharType="begin"/>
      </w:r>
      <w:r w:rsidRPr="00662E51">
        <w:rPr>
          <w:szCs w:val="24"/>
        </w:rPr>
        <w:instrText xml:space="preserve"> ADDIN ZOTERO_ITEM CSL_CITATION {"citationID":"J3IQYwjg","properties":{"formattedCitation":"(Copus 2023; Rao et al. 1994; Rao 1998)","plainCitation":"(Copus 2023; Rao et al. 1994; Rao 1998)","noteIndex":0},"citationItems":[{"id":6769,"uris":["http://zotero.org/users/8977980/items/DFD3QFVU"],"itemData":{"id":6769,"type":"chapter","abstract":"Chapter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id":6833,"uris":["http://zotero.org/users/8977980/items/3M43RSUR"],"itemData":{"id":6833,"type":"article-journal","abstract":"The government proposals on the structure and internal management of local government put forward in 1991 raise important questions for the representative and decision-making roles of councillors. A re-analysis of data collected for the Widdicombe committee in 1985 was conducted, using multiple regression. The findings suggest that the time councillors spend on different council activities is significantly affected by a number of locality variables, including party control, authority type and representative ratio, and by personal characteristic variables, including income and party affiliation. Representative ratio also appears to have an influence upon the characteristics of the councillors themselves. The implications for the reorganisation of local government are explored.","container-title":"Policy &amp; Politics","DOI":"10.1332/030557394782453799","ISSN":"0305-5736, 1470-8442","issue":"1","page":"31-42","source":"DOI.org (Crossref)","title":"Place, Personal Characteristics and Councillor Roles: a multivariate analysis of survey data","title-short":"Place, Personal Characteristics and Councillor Roles","volume":"22","author":[{"family":"Rao","given":"Nirmala"},{"family":"Young","given":"Ken"},{"family":"Lynn","given":"Peter"},{"family":"Hurrell","given":"Philippa"}],"issued":{"date-parts":[["1994",1]]}}},{"id":6832,"uris":["http://zotero.org/users/8977980/items/AA9PJYX9"],"itemData":{"id":6832,"type":"article-journal","abstract":"The concept of ‘representation’, and the tensions within it, have exercised writers throughout the history of political theory. There is little consensus beyond the agreement that the meaning of representation should be made clear, and consistency sought, in any particular application. This paper takes as its starting point some key components of the concept of representation, and in the light of them examines the changing attitudes of both representatives and electors in British local government. Survey data accumulated over a 30-year period provides the basis for this analysis, enabling attention to be given to trends over the period. Changing expectations of representativeness – a component of representation that stresses ‘resemblance’ or ‘symbolic identification’ – prompt a questioning of its appropriateness for the understanding of local politics today. The evidence indicates that the contemporary demand for responsive and responsible local government has now displaced the historic concern with representativeness.","container-title":"Political Studies","DOI":"10.1111/1467-9248.00127","ISSN":"0032-3217, 1467-9248","issue":"1","journalAbbreviation":"Political Studies","language":"en","license":"https://journals.sagepub.com/page/policies/text-and-data-mining-license","page":"19-35","source":"DOI.org (Crossref)","title":"Representation in Local Politics: A Reconsideration and Some New Evidence","title-short":"Representation in Local Politics","volume":"46","author":[{"family":"Rao","given":"Nirmala"}],"issued":{"date-parts":[["1998",3]]}}}],"schema":"https://github.com/citation-style-language/schema/raw/master/csl-citation.json"} </w:instrText>
      </w:r>
      <w:r w:rsidRPr="00662E51">
        <w:rPr>
          <w:szCs w:val="24"/>
        </w:rPr>
        <w:fldChar w:fldCharType="separate"/>
      </w:r>
      <w:r w:rsidRPr="00662E51">
        <w:t>(Copus 2023; Rao et al. 1994; Rao 1998)</w:t>
      </w:r>
      <w:r w:rsidRPr="00662E51">
        <w:rPr>
          <w:szCs w:val="24"/>
        </w:rPr>
        <w:fldChar w:fldCharType="end"/>
      </w:r>
      <w:r w:rsidRPr="00662E51">
        <w:rPr>
          <w:szCs w:val="24"/>
        </w:rPr>
        <w:t xml:space="preserve">. </w:t>
      </w:r>
      <w:r w:rsidR="00956D94">
        <w:rPr>
          <w:szCs w:val="24"/>
        </w:rPr>
        <w:t>Likewise</w:t>
      </w:r>
      <w:r w:rsidRPr="00662E51">
        <w:rPr>
          <w:szCs w:val="24"/>
        </w:rPr>
        <w:t xml:space="preserve">, scholars have indicated there is a crisis in local government—partially because councillors seem unable to adequately respond to persistent social problems </w:t>
      </w:r>
      <w:r w:rsidRPr="00662E51">
        <w:rPr>
          <w:szCs w:val="24"/>
        </w:rPr>
        <w:fldChar w:fldCharType="begin"/>
      </w:r>
      <w:r w:rsidRPr="00662E51">
        <w:rPr>
          <w:szCs w:val="24"/>
        </w:rPr>
        <w:instrText xml:space="preserve"> ADDIN ZOTERO_ITEM CSL_CITATION {"citationID":"hGKpRouw","properties":{"formattedCitation":"(Laffin and Diamond 2024; Richardson 2012)","plainCitation":"(Laffin and Diamond 2024; Richardson 2012)","noteIndex":0},"citationItems":[{"id":6838,"uris":["http://zotero.org/users/8977980/items/2FBITUAY"],"itemData":{"id":6838,"type":"chapter","abstract":"English local government is currently facing an existential crisis over its future purpose and capacity which is analysed in terms of three underlying crises. (1) A fiscal crisis created by over a decade of financial austerity imposed by successive Conservative-led and Conservative governments since 2011, the consequences of which have been intensified by rising inflation and consequent higher service costs. (2) A governing crisis reflecting the gradual re-engineering of local authorities from their original, post-war high discretion role in welfare state service delivery towards a role closer to that as agents of the centre. (3) A policy role crisis as local authorities have lost entire services and major parts of other services through governance changes, and their capacity to sustain, let alone enact, a policy role has been seriously eroded. Moreover, the Mayoral Combined Authorities (MCAs) recently created in the main city sub-regions are further complicating the role of local government. The MCAs have ill-defined and limited powers mainly focussed on economic development are imposed on top of the existing LAs.","container-title":"New Perspectives on Intergovernmental Relations: Crisis and Reform","DOI":"10.1007/978-3-031-61790-4_2","ISBN":"978-3-031-61790-4","language":"en","page":"19-36","publisher":"Springer Nature Switzerland","publisher-place":"Cham","source":"Springer Link","title":"Local Government in England: An Existential Crisis?","title-short":"Local Government in England","URL":"https://doi.org/10.1007/978-3-031-61790-4_2","author":[{"family":"Laffin","given":"Martin"},{"family":"Diamond","given":"Patrick"}],"editor":[{"family":"Kuhlmann","given":"Sabine"},{"family":"Laffin","given":"Martin"},{"family":"Wayenberg","given":"Ellen"},{"family":"Bergström","given":"Tomas"}],"accessed":{"date-parts":[["2025",8,10]]},"issued":{"date-parts":[["2024"]]}}},{"id":6837,"uris":["http://zotero.org/users/8977980/items/ZSJXB9T2"],"itemData":{"id":6837,"type":"article-journal","container-title":"Political Insight","DOI":"10.1111/j.2041-9066.2012.00122.x","ISSN":"2041-9058","issue":"3","language":"EN","page":"32-34","publisher":"SAGE Publications","source":"SAGE Journals","title":"Handing over the Reins of Power: Making Local Democracy Work","title-short":"Handing over the Reins of Power","volume":"3","author":[{"family":"Richardson","given":"Liz"}],"issued":{"date-parts":[["2012",12,1]]}}}],"schema":"https://github.com/citation-style-language/schema/raw/master/csl-citation.json"} </w:instrText>
      </w:r>
      <w:r w:rsidRPr="00662E51">
        <w:rPr>
          <w:szCs w:val="24"/>
        </w:rPr>
        <w:fldChar w:fldCharType="separate"/>
      </w:r>
      <w:r w:rsidRPr="00662E51">
        <w:t>(Laffin and Diamond 2024; Richardson 2012)</w:t>
      </w:r>
      <w:r w:rsidRPr="00662E51">
        <w:rPr>
          <w:szCs w:val="24"/>
        </w:rPr>
        <w:fldChar w:fldCharType="end"/>
      </w:r>
      <w:r w:rsidRPr="00662E51">
        <w:rPr>
          <w:szCs w:val="24"/>
        </w:rPr>
        <w:t xml:space="preserve">. </w:t>
      </w:r>
      <w:r w:rsidR="0055118E" w:rsidRPr="00662E51">
        <w:rPr>
          <w:szCs w:val="24"/>
        </w:rPr>
        <w:t>Yet</w:t>
      </w:r>
      <w:r w:rsidRPr="00662E51">
        <w:rPr>
          <w:szCs w:val="24"/>
        </w:rPr>
        <w:t xml:space="preserve"> the literature tends to flatten party differences or otherwise minimise their importance. Trasher et al. </w:t>
      </w:r>
      <w:r w:rsidRPr="00662E51">
        <w:rPr>
          <w:szCs w:val="24"/>
        </w:rPr>
        <w:fldChar w:fldCharType="begin"/>
      </w:r>
      <w:r w:rsidRPr="00662E51">
        <w:rPr>
          <w:szCs w:val="24"/>
        </w:rPr>
        <w:instrText xml:space="preserve"> ADDIN ZOTERO_ITEM CSL_CITATION {"citationID":"tnghWam4","properties":{"formattedCitation":"(2015)","plainCitation":"(2015)","noteIndex":0},"citationItems":[{"id":6827,"uris":["http://zotero.org/users/8977980/items/6SMMT332"],"itemData":{"id":6827,"type":"article-journal","abstract":"The time investment in council duties and the roles adopted by local councillors in Britain have been studied extensively but rarely has research incorporated information about the type of area represented. This article combines individual-level survey responses from councillors with aggregate-level data that describe characteristics of the wards that elect each councillor. The survey data report each councillor’s social and political characteristics, the average hours per week performing council duties and the range and frequency of activities undertaken. The ward-level data include a measure of relative social deprivation, electoral competitiveness and other features. The analysis shows that councillors representing relatively deprived areas spend more time on council activities than do councillors representing more affluent areas. The activities that councillors pursue, especially whether they are proactive or reactive towards constituents, relate to the ward context. Women and people that are retired from work also invest relatively more time in their work as councillors. These findings establish that assessments of what councillors do and the roles that they might adopt should take account of the types of ward being represented.","container-title":"Local Government Studies","DOI":"10.1080/03003930.2015.1020372","ISSN":"0300-3930","issue":"5","note":"_eprint: https://doi.org/10.1080/03003930.2015.1020372","page":"713-734","publisher":"Routledge","source":"Taylor and Francis+NEJM","title":"Councillors in Context: The Impact of Place upon Elected Representatives","title-short":"Councillors in Context","volume":"41","author":[{"family":"Thrasher","given":"Michael"},{"family":"Borisyuk","given":"Galina"},{"family":"Shears","given":"Mary"},{"family":"Rallings","given":"Colin"}],"issued":{"date-parts":[["2015",9,3]]}},"label":"page","suppress-author":true}],"schema":"https://github.com/citation-style-language/schema/raw/master/csl-citation.json"} </w:instrText>
      </w:r>
      <w:r w:rsidRPr="00662E51">
        <w:rPr>
          <w:szCs w:val="24"/>
        </w:rPr>
        <w:fldChar w:fldCharType="separate"/>
      </w:r>
      <w:r w:rsidRPr="00662E51">
        <w:t>(2015)</w:t>
      </w:r>
      <w:r w:rsidRPr="00662E51">
        <w:rPr>
          <w:szCs w:val="24"/>
        </w:rPr>
        <w:fldChar w:fldCharType="end"/>
      </w:r>
      <w:r w:rsidRPr="00662E51">
        <w:rPr>
          <w:szCs w:val="24"/>
        </w:rPr>
        <w:t xml:space="preserve">, for instance, explores how councillors invest their time considering an individual’s characteristics, path in their party, and so on. Although a welcome assessment, the paper does not differentiate between different parties (and their structures) nor explore how said entities influence councillor behaviour. As such, I turn to case studies of councillors as political agents, utilising the work of Copus </w:t>
      </w:r>
      <w:r w:rsidRPr="00662E51">
        <w:rPr>
          <w:szCs w:val="24"/>
        </w:rPr>
        <w:fldChar w:fldCharType="begin"/>
      </w:r>
      <w:r w:rsidR="00F15CF8">
        <w:rPr>
          <w:szCs w:val="24"/>
        </w:rPr>
        <w:instrText xml:space="preserve"> ADDIN ZOTERO_ITEM CSL_CITATION {"citationID":"XvWGxLgx","properties":{"formattedCitation":"(2004, 2015, 2023)","plainCitation":"(2004,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Government","author":[{"family":"Copus","given":"Colin"}],"issued":{"date-parts":[["2004"]]}},"label":"page","suppress-author":true},{"id":6771,"uris":["http://zotero.org/users/8977980/items/H5WX9ZA2"],"itemData":{"id":6771,"type":"book","abstract":"In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Councillors","author":[{"family":"Copus","given":"Colin"}],"issued":{"date-parts":[["2015"]]}},"label":"page","suppress-author":true},{"id":6769,"uris":["http://zotero.org/users/8977980/items/DFD3QFVU"],"itemData":{"id":6769,"type":"chapter","abstract":"Chapter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label":"page","suppress-author":true}],"schema":"https://github.com/citation-style-language/schema/raw/master/csl-citation.json"} </w:instrText>
      </w:r>
      <w:r w:rsidRPr="00662E51">
        <w:rPr>
          <w:szCs w:val="24"/>
        </w:rPr>
        <w:fldChar w:fldCharType="separate"/>
      </w:r>
      <w:r w:rsidR="00F15CF8" w:rsidRPr="00F15CF8">
        <w:t>(2004, 2015, 2023)</w:t>
      </w:r>
      <w:r w:rsidRPr="00662E51">
        <w:rPr>
          <w:szCs w:val="24"/>
        </w:rPr>
        <w:fldChar w:fldCharType="end"/>
      </w:r>
      <w:r w:rsidRPr="00662E51">
        <w:rPr>
          <w:szCs w:val="24"/>
        </w:rPr>
        <w:t>.</w:t>
      </w:r>
    </w:p>
    <w:p w14:paraId="4DFF4F00" w14:textId="1398EF39" w:rsidR="000808C7" w:rsidRPr="00662E51" w:rsidRDefault="000808C7" w:rsidP="000808C7">
      <w:pPr>
        <w:spacing w:line="360" w:lineRule="auto"/>
        <w:ind w:left="0" w:firstLine="720"/>
        <w:rPr>
          <w:szCs w:val="24"/>
        </w:rPr>
      </w:pPr>
      <w:r w:rsidRPr="00662E51">
        <w:rPr>
          <w:szCs w:val="24"/>
        </w:rPr>
        <w:lastRenderedPageBreak/>
        <w:t xml:space="preserve">Copus’s </w:t>
      </w:r>
      <w:r w:rsidRPr="00662E51">
        <w:rPr>
          <w:szCs w:val="24"/>
        </w:rPr>
        <w:fldChar w:fldCharType="begin"/>
      </w:r>
      <w:r w:rsidRPr="00662E51">
        <w:rPr>
          <w:szCs w:val="24"/>
        </w:rPr>
        <w:instrText xml:space="preserve"> ADDIN ZOTERO_ITEM CSL_CITATION {"citationID":"F4uu6YmL","properties":{"formattedCitation":"(2004)","plainCitation":"(2004)","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Government","author":[{"family":"Copus","given":"Colin"}],"issued":{"date-parts":[["2004"]]}},"label":"page","suppress-author":true}],"schema":"https://github.com/citation-style-language/schema/raw/master/csl-citation.json"} </w:instrText>
      </w:r>
      <w:r w:rsidRPr="00662E51">
        <w:rPr>
          <w:szCs w:val="24"/>
        </w:rPr>
        <w:fldChar w:fldCharType="separate"/>
      </w:r>
      <w:r w:rsidRPr="00662E51">
        <w:t>(2004)</w:t>
      </w:r>
      <w:r w:rsidRPr="00662E51">
        <w:rPr>
          <w:szCs w:val="24"/>
        </w:rPr>
        <w:fldChar w:fldCharType="end"/>
      </w:r>
      <w:r w:rsidRPr="00662E51">
        <w:rPr>
          <w:szCs w:val="24"/>
        </w:rPr>
        <w:t xml:space="preserve"> in-depth study on councillors and local politics reveals a messy, interlocking, and scalar party system. Concentrations of power are not static, shifting with the political-economic winds. </w:t>
      </w:r>
      <w:r w:rsidRPr="00662E51">
        <w:rPr>
          <w:i/>
          <w:iCs/>
          <w:szCs w:val="24"/>
        </w:rPr>
        <w:t>Party groups</w:t>
      </w:r>
      <w:r w:rsidRPr="00662E51">
        <w:rPr>
          <w:szCs w:val="24"/>
        </w:rPr>
        <w:t xml:space="preserve"> (a bloc of councillors from one political party), the balance of the council, and even the relationships of individual politicians can influence the landscape of political power. Due to the multi-scalar nature of parties, there is often a divergence between the interests of national leaders and local members with the ongoing genocide in Gaza as an example. One illustration is the constituents of Tottenham </w:t>
      </w:r>
      <w:r w:rsidR="000736CB">
        <w:rPr>
          <w:szCs w:val="24"/>
        </w:rPr>
        <w:t xml:space="preserve">MP </w:t>
      </w:r>
      <w:r w:rsidRPr="00662E51">
        <w:rPr>
          <w:szCs w:val="24"/>
        </w:rPr>
        <w:t xml:space="preserve">and </w:t>
      </w:r>
      <w:r w:rsidR="000736CB">
        <w:rPr>
          <w:szCs w:val="24"/>
        </w:rPr>
        <w:t>Deputy Prime</w:t>
      </w:r>
      <w:r w:rsidR="00CC1BC1">
        <w:rPr>
          <w:szCs w:val="24"/>
        </w:rPr>
        <w:t xml:space="preserve"> Minister</w:t>
      </w:r>
      <w:r w:rsidRPr="00662E51">
        <w:rPr>
          <w:szCs w:val="24"/>
        </w:rPr>
        <w:t xml:space="preserve">, David Lammy, who insist that he no longer represents their views </w:t>
      </w:r>
      <w:r w:rsidRPr="00662E51">
        <w:rPr>
          <w:szCs w:val="24"/>
        </w:rPr>
        <w:fldChar w:fldCharType="begin"/>
      </w:r>
      <w:r w:rsidRPr="00662E51">
        <w:rPr>
          <w:szCs w:val="24"/>
        </w:rPr>
        <w:instrText xml:space="preserve"> ADDIN ZOTERO_ITEM CSL_CITATION {"citationID":"Y0yy8nHt","properties":{"formattedCitation":"(Osuh and Mohdin 2025)","plainCitation":"(Osuh and Mohdin 2025)","noteIndex":0},"citationItems":[{"id":6196,"uris":["http://zotero.org/users/8977980/items/II9SI5ZL"],"itemData":{"id":6196,"type":"article-newspaper","abstract":"In Liverpool Riverside and Tottenham, two constituencies with black MPs and large black communities, Labour’s vote share dropped by more than 20 points at last year’s election. The Guardian spoke to voters there to find out what they have made of the party’s return to power","container-title":"The Guardian","ISSN":"0261-3077","language":"en-GB","section":"Politics","source":"The Guardian","title":"‘I haven’t seen any change’: black Labour voters in Liverpool and London six months on","title-short":"‘I haven’t seen any change’","URL":"https://www.theguardian.com/politics/2025/jan/07/black-labour-voters-liverpool-london-six-months-on","author":[{"family":"Osuh","given":"Chris"},{"family":"Mohdin","given":"Aamna"}],"accessed":{"date-parts":[["2025",1,7]]},"issued":{"date-parts":[["2025",1,7]]}}}],"schema":"https://github.com/citation-style-language/schema/raw/master/csl-citation.json"} </w:instrText>
      </w:r>
      <w:r w:rsidRPr="00662E51">
        <w:rPr>
          <w:szCs w:val="24"/>
        </w:rPr>
        <w:fldChar w:fldCharType="separate"/>
      </w:r>
      <w:r w:rsidRPr="00662E51">
        <w:t>(Osuh and Mohdin 2025)</w:t>
      </w:r>
      <w:r w:rsidRPr="00662E51">
        <w:rPr>
          <w:szCs w:val="24"/>
        </w:rPr>
        <w:fldChar w:fldCharType="end"/>
      </w:r>
      <w:r w:rsidRPr="00662E51">
        <w:rPr>
          <w:szCs w:val="24"/>
        </w:rPr>
        <w:t xml:space="preserve">. However, the structural power of party leadership means that there can be pressure on local membership and leaders to conform to the will of national leadership—strong resistance notwithstanding </w:t>
      </w:r>
      <w:r w:rsidRPr="00662E51">
        <w:rPr>
          <w:szCs w:val="24"/>
        </w:rPr>
        <w:fldChar w:fldCharType="begin"/>
      </w:r>
      <w:r w:rsidR="001B2CAA">
        <w:rPr>
          <w:szCs w:val="24"/>
        </w:rPr>
        <w:instrText xml:space="preserve"> ADDIN ZOTERO_ITEM CSL_CITATION {"citationID":"rQIFOTrh","properties":{"formattedCitation":"(Gilbert 2023; J. Scott and Wills 2017)","plainCitation":"(Gilbert 2023; J. Scott and Wills 2017)","noteIndex":0},"citationItems":[{"id":5842,"uris":["http://zotero.org/users/8977980/items/QZRKMUSZ"],"itemData":{"id":5842,"type":"article-newspaper","abstract":"In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n0Saldgp/SMymUFlz","uris":["http://zotero.org/users/8977980/items/L74AUTZ7"],"itemData":{"id":"kHToI8xs/1Oi58UAm","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Pr="00662E51">
        <w:rPr>
          <w:szCs w:val="24"/>
        </w:rPr>
        <w:fldChar w:fldCharType="separate"/>
      </w:r>
      <w:r w:rsidR="00213B80" w:rsidRPr="00213B80">
        <w:t>(Gilbert 2023; J. Scott and Wills 2017)</w:t>
      </w:r>
      <w:r w:rsidRPr="00662E51">
        <w:rPr>
          <w:szCs w:val="24"/>
        </w:rPr>
        <w:fldChar w:fldCharType="end"/>
      </w:r>
      <w:r w:rsidRPr="00662E51">
        <w:rPr>
          <w:szCs w:val="24"/>
        </w:rPr>
        <w:t xml:space="preserve">. For instance, Copus </w:t>
      </w:r>
      <w:r w:rsidRPr="00662E51">
        <w:rPr>
          <w:szCs w:val="24"/>
        </w:rPr>
        <w:fldChar w:fldCharType="begin"/>
      </w:r>
      <w:r w:rsidRPr="00662E51">
        <w:rPr>
          <w:szCs w:val="24"/>
        </w:rPr>
        <w:instrText xml:space="preserve"> ADDIN ZOTERO_ITEM CSL_CITATION {"citationID":"opv7ZA4V","properties":{"formattedCitation":"(2023, 119)","plainCitation":"(2023, 119)","noteIndex":0},"citationItems":[{"id":6769,"uris":["http://zotero.org/users/8977980/items/DFD3QFVU"],"itemData":{"id":6769,"type":"chapter","abstract":"Chapter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locator":"119","label":"page","suppress-author":true}],"schema":"https://github.com/citation-style-language/schema/raw/master/csl-citation.json"} </w:instrText>
      </w:r>
      <w:r w:rsidRPr="00662E51">
        <w:rPr>
          <w:szCs w:val="24"/>
        </w:rPr>
        <w:fldChar w:fldCharType="separate"/>
      </w:r>
      <w:r w:rsidRPr="00662E51">
        <w:t>(2023, 119)</w:t>
      </w:r>
      <w:r w:rsidRPr="00662E51">
        <w:rPr>
          <w:szCs w:val="24"/>
        </w:rPr>
        <w:fldChar w:fldCharType="end"/>
      </w:r>
      <w:r w:rsidRPr="00662E51">
        <w:rPr>
          <w:szCs w:val="24"/>
        </w:rPr>
        <w:t xml:space="preserve"> outlines four dynamics that ensure councillors follow their national leadership: party rules that outline “expectations of loyalty” and related sanctions for failure; the need to maintain national political rivalries at the local scale; the need to maintain and build relationships with municipal membership; and continuing to back the national party to garner support in advance of elections. Moreover, as indicated by my interviewees</w:t>
      </w:r>
      <w:r w:rsidR="004A4972">
        <w:rPr>
          <w:szCs w:val="24"/>
        </w:rPr>
        <w:t xml:space="preserve"> from across both Haringey Labour and Liberal Democrats</w:t>
      </w:r>
      <w:r w:rsidRPr="00662E51">
        <w:rPr>
          <w:szCs w:val="24"/>
        </w:rPr>
        <w:t xml:space="preserve">, councillors learn that the best way to develop their political careers is by currying favour with national leadership. Asymmetrical power thus means councillors have significant incentives to “place the loyalty demands of the party, the requirements of party discipline and the policy decisions of the party above the views of the local citizens” </w:t>
      </w:r>
      <w:r w:rsidR="0015406B" w:rsidRPr="00662E51">
        <w:rPr>
          <w:szCs w:val="24"/>
        </w:rPr>
        <w:fldChar w:fldCharType="begin"/>
      </w:r>
      <w:r w:rsidR="0015406B" w:rsidRPr="00662E51">
        <w:rPr>
          <w:szCs w:val="24"/>
        </w:rPr>
        <w:instrText xml:space="preserve"> ADDIN ZOTERO_ITEM CSL_CITATION {"citationID":"ymPD0ec9","properties":{"formattedCitation":"(Copus 2015, 37)","plainCitation":"(Copus 2015, 37)","noteIndex":0},"citationItems":[{"id":6771,"uris":["http://zotero.org/users/8977980/items/H5WX9ZA2"],"itemData":{"id":6771,"type":"book","abstract":"In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Councillors","author":[{"family":"Copus","given":"Colin"}],"issued":{"date-parts":[["2015"]]}},"locator":"37","label":"page"}],"schema":"https://github.com/citation-style-language/schema/raw/master/csl-citation.json"} </w:instrText>
      </w:r>
      <w:r w:rsidR="0015406B" w:rsidRPr="00662E51">
        <w:rPr>
          <w:szCs w:val="24"/>
        </w:rPr>
        <w:fldChar w:fldCharType="separate"/>
      </w:r>
      <w:r w:rsidR="0015406B" w:rsidRPr="00662E51">
        <w:t>(Copus 2015, 37)</w:t>
      </w:r>
      <w:r w:rsidR="0015406B" w:rsidRPr="00662E51">
        <w:rPr>
          <w:szCs w:val="24"/>
        </w:rPr>
        <w:fldChar w:fldCharType="end"/>
      </w:r>
      <w:r w:rsidR="0015406B">
        <w:rPr>
          <w:szCs w:val="24"/>
        </w:rPr>
        <w:t xml:space="preserve">. </w:t>
      </w:r>
      <w:r w:rsidRPr="00662E51">
        <w:rPr>
          <w:szCs w:val="24"/>
        </w:rPr>
        <w:t xml:space="preserve">This is because the party “is not merely a vehicle through which political objectives are achieved” but, for such </w:t>
      </w:r>
      <w:r w:rsidRPr="00662E51">
        <w:rPr>
          <w:i/>
          <w:iCs/>
          <w:szCs w:val="24"/>
        </w:rPr>
        <w:t>party people</w:t>
      </w:r>
      <w:r w:rsidRPr="00662E51">
        <w:rPr>
          <w:szCs w:val="24"/>
        </w:rPr>
        <w:t xml:space="preserve">, it fulfils a variety of social, political, career, and personal functions. Therefore, “disloyalty to the party comes with considerable consequences” </w:t>
      </w:r>
      <w:r w:rsidRPr="00662E51">
        <w:rPr>
          <w:szCs w:val="24"/>
        </w:rPr>
        <w:fldChar w:fldCharType="begin"/>
      </w:r>
      <w:r w:rsidR="00E3175C">
        <w:rPr>
          <w:szCs w:val="24"/>
        </w:rPr>
        <w:instrText xml:space="preserve"> ADDIN ZOTERO_ITEM CSL_CITATION {"citationID":"zsALUuiW","properties":{"formattedCitation":"(Copus 2015, 37)","plainCitation":"(Copus 2015, 37)","noteIndex":0},"citationItems":[{"id":6771,"uris":["http://zotero.org/users/8977980/items/H5WX9ZA2"],"itemData":{"id":6771,"type":"book","abstract":"In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Councillors","author":[{"family":"Copus","given":"Colin"}],"issued":{"date-parts":[["2015"]]}},"locator":"37","label":"page"}],"schema":"https://github.com/citation-style-language/schema/raw/master/csl-citation.json"} </w:instrText>
      </w:r>
      <w:r w:rsidRPr="00662E51">
        <w:rPr>
          <w:szCs w:val="24"/>
        </w:rPr>
        <w:fldChar w:fldCharType="separate"/>
      </w:r>
      <w:r w:rsidRPr="00662E51">
        <w:t>(Copus 2015, 37)</w:t>
      </w:r>
      <w:r w:rsidRPr="00662E51">
        <w:rPr>
          <w:szCs w:val="24"/>
        </w:rPr>
        <w:fldChar w:fldCharType="end"/>
      </w:r>
      <w:r w:rsidRPr="00662E51">
        <w:rPr>
          <w:szCs w:val="24"/>
        </w:rPr>
        <w:t xml:space="preserve">. Similarly, political party meetings are often poorly attended, attracting the most invested and/or well-connected members of the party. This ‘sampling bias’ means that councillors often mistake the views of these members as the views of the wider membership. The </w:t>
      </w:r>
      <w:r w:rsidRPr="00662E51">
        <w:rPr>
          <w:i/>
          <w:iCs/>
          <w:szCs w:val="24"/>
        </w:rPr>
        <w:t>party person</w:t>
      </w:r>
      <w:r w:rsidRPr="00662E51">
        <w:rPr>
          <w:szCs w:val="24"/>
        </w:rPr>
        <w:t xml:space="preserve"> thus puts the needs of the party—and particularly, the national party—above the demands </w:t>
      </w:r>
      <w:r w:rsidRPr="00662E51">
        <w:rPr>
          <w:szCs w:val="24"/>
        </w:rPr>
        <w:lastRenderedPageBreak/>
        <w:t xml:space="preserve">of their constituents. </w:t>
      </w:r>
      <w:r w:rsidR="00956D94">
        <w:rPr>
          <w:i/>
          <w:iCs/>
          <w:szCs w:val="24"/>
        </w:rPr>
        <w:t>P</w:t>
      </w:r>
      <w:r w:rsidRPr="00662E51">
        <w:rPr>
          <w:i/>
          <w:iCs/>
          <w:szCs w:val="24"/>
        </w:rPr>
        <w:t>arty groups</w:t>
      </w:r>
      <w:r w:rsidRPr="00662E51">
        <w:rPr>
          <w:szCs w:val="24"/>
        </w:rPr>
        <w:t xml:space="preserve"> can </w:t>
      </w:r>
      <w:r w:rsidR="00956D94">
        <w:rPr>
          <w:szCs w:val="24"/>
        </w:rPr>
        <w:t xml:space="preserve">likewise </w:t>
      </w:r>
      <w:r w:rsidRPr="00662E51">
        <w:rPr>
          <w:szCs w:val="24"/>
        </w:rPr>
        <w:t xml:space="preserve">exercise powerful influence over members through methods that are not limited to disciplinary procedures. </w:t>
      </w:r>
      <w:r w:rsidRPr="00662E51">
        <w:rPr>
          <w:i/>
          <w:iCs/>
          <w:szCs w:val="24"/>
        </w:rPr>
        <w:t xml:space="preserve">Party groups </w:t>
      </w:r>
      <w:r w:rsidRPr="00662E51">
        <w:rPr>
          <w:szCs w:val="24"/>
        </w:rPr>
        <w:t xml:space="preserve">are often tight knit collections of friends and colleagues (who sometimes enter romantic relationships with each other), and so publicly disagreeing with the party can have both career and personal consequences </w:t>
      </w:r>
      <w:r w:rsidRPr="00662E51">
        <w:rPr>
          <w:szCs w:val="24"/>
        </w:rPr>
        <w:fldChar w:fldCharType="begin"/>
      </w:r>
      <w:r w:rsidRPr="00662E51">
        <w:rPr>
          <w:szCs w:val="24"/>
        </w:rPr>
        <w:instrText xml:space="preserve"> ADDIN ZOTERO_ITEM CSL_CITATION {"citationID":"RyW1lXUO","properties":{"formattedCitation":"(Copus 2004)","plainCitation":"(Copus 2004)","noteIndex":0},"citationItems":[{"id":6766,"uris":["http://zotero.org/users/8977980/items/22FQIFRM"],"itemData":{"id":6766,"type":"book","ISBN":"978-0-7190-6635-1","language":"eng","number-of-pages":"313","publisher":"Manchester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Government","author":[{"family":"Copus","given":"Colin"}],"issued":{"date-parts":[["2004"]]}}}],"schema":"https://github.com/citation-style-language/schema/raw/master/csl-citation.json"} </w:instrText>
      </w:r>
      <w:r w:rsidRPr="00662E51">
        <w:rPr>
          <w:szCs w:val="24"/>
        </w:rPr>
        <w:fldChar w:fldCharType="separate"/>
      </w:r>
      <w:r w:rsidRPr="00662E51">
        <w:t>(Copus 2004)</w:t>
      </w:r>
      <w:r w:rsidRPr="00662E51">
        <w:rPr>
          <w:szCs w:val="24"/>
        </w:rPr>
        <w:fldChar w:fldCharType="end"/>
      </w:r>
      <w:r w:rsidRPr="00662E51">
        <w:rPr>
          <w:szCs w:val="24"/>
        </w:rPr>
        <w:t xml:space="preserve">. Yet, like all councillors, </w:t>
      </w:r>
      <w:r w:rsidRPr="00662E51">
        <w:rPr>
          <w:i/>
          <w:iCs/>
          <w:szCs w:val="24"/>
        </w:rPr>
        <w:t>party people</w:t>
      </w:r>
      <w:r w:rsidRPr="00662E51">
        <w:rPr>
          <w:szCs w:val="24"/>
        </w:rPr>
        <w:t xml:space="preserve"> are not robotic; they are semi-free actors who must balance competing interests like that of different party scales, existing relationships with residents, and so on. Thus, it cannot be assumed that a policy or political outcome is assured simply because it is the priority of the party leader or the party group. </w:t>
      </w:r>
    </w:p>
    <w:p w14:paraId="5686A258" w14:textId="686512D5" w:rsidR="000808C7" w:rsidRPr="00662E51" w:rsidRDefault="000808C7" w:rsidP="000808C7">
      <w:pPr>
        <w:spacing w:line="360" w:lineRule="auto"/>
        <w:ind w:left="0" w:firstLine="720"/>
        <w:rPr>
          <w:szCs w:val="24"/>
        </w:rPr>
      </w:pPr>
      <w:r w:rsidRPr="00662E51">
        <w:rPr>
          <w:szCs w:val="24"/>
        </w:rPr>
        <w:t xml:space="preserve">Although the combination of structural and personal pressures is often powerful, it equally cannot be assumed that said structures determine outcomes. Copus </w:t>
      </w:r>
      <w:r w:rsidRPr="00662E51">
        <w:rPr>
          <w:szCs w:val="24"/>
        </w:rPr>
        <w:fldChar w:fldCharType="begin"/>
      </w:r>
      <w:r w:rsidR="00F15CF8">
        <w:rPr>
          <w:szCs w:val="24"/>
        </w:rPr>
        <w:instrText xml:space="preserve"> ADDIN ZOTERO_ITEM CSL_CITATION {"citationID":"xDhCxHBe","properties":{"formattedCitation":"(2004, 2015, 2023)","plainCitation":"(2004,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Government","author":[{"family":"Copus","given":"Colin"}],"issued":{"date-parts":[["2004"]]}},"label":"page","suppress-author":true},{"id":6771,"uris":["http://zotero.org/users/8977980/items/H5WX9ZA2"],"itemData":{"id":6771,"type":"book","abstract":"In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Councillors","author":[{"family":"Copus","given":"Colin"}],"issued":{"date-parts":[["2015"]]}},"label":"page","suppress-author":true},{"id":6769,"uris":["http://zotero.org/users/8977980/items/DFD3QFVU"],"itemData":{"id":6769,"type":"chapter","abstract":"Chapter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label":"page","suppress-author":true}],"schema":"https://github.com/citation-style-language/schema/raw/master/csl-citation.json"} </w:instrText>
      </w:r>
      <w:r w:rsidRPr="00662E51">
        <w:rPr>
          <w:szCs w:val="24"/>
        </w:rPr>
        <w:fldChar w:fldCharType="separate"/>
      </w:r>
      <w:r w:rsidR="00F15CF8" w:rsidRPr="00F15CF8">
        <w:t>(2004, 2015, 2023)</w:t>
      </w:r>
      <w:r w:rsidRPr="00662E51">
        <w:rPr>
          <w:szCs w:val="24"/>
        </w:rPr>
        <w:fldChar w:fldCharType="end"/>
      </w:r>
      <w:r w:rsidRPr="00662E51">
        <w:rPr>
          <w:szCs w:val="24"/>
        </w:rPr>
        <w:t xml:space="preserve"> terms this tension a “crisis of representation,” in which councillors must manage the contradictory demands of their constituents and those of the party. Such crises managed in different ways depending on a councillor’s position within the party and the council, their relationships with constituents, and so on. I highlight this concept to stress the myriad tensions that councillors must respond to. Next, I discuss the ‘state-party nexus’, that is, the connection(s) between the party and the state. </w:t>
      </w:r>
    </w:p>
    <w:p w14:paraId="060EE0AA" w14:textId="77777777" w:rsidR="000808C7" w:rsidRPr="00662E51" w:rsidRDefault="000808C7" w:rsidP="000808C7">
      <w:pPr>
        <w:spacing w:line="360" w:lineRule="auto"/>
        <w:ind w:left="0" w:firstLine="720"/>
        <w:rPr>
          <w:szCs w:val="24"/>
        </w:rPr>
      </w:pPr>
    </w:p>
    <w:p w14:paraId="03CD934F" w14:textId="021C0106" w:rsidR="000808C7" w:rsidRPr="00662E51" w:rsidRDefault="000808C7" w:rsidP="000808C7">
      <w:pPr>
        <w:pStyle w:val="Heading3"/>
      </w:pPr>
      <w:bookmarkStart w:id="157" w:name="_Toc213173932"/>
      <w:bookmarkStart w:id="158" w:name="_Toc221184315"/>
      <w:bookmarkStart w:id="159" w:name="_Toc231215238"/>
      <w:r w:rsidRPr="00662E51">
        <w:t>State-Party Nexus and the Labour Part</w:t>
      </w:r>
      <w:bookmarkEnd w:id="157"/>
      <w:bookmarkEnd w:id="158"/>
      <w:r w:rsidR="00836748">
        <w:t>y:</w:t>
      </w:r>
      <w:bookmarkEnd w:id="159"/>
    </w:p>
    <w:p w14:paraId="0098DDFF" w14:textId="443E2B71" w:rsidR="000808C7" w:rsidRPr="00662E51" w:rsidRDefault="000808C7" w:rsidP="000808C7">
      <w:pPr>
        <w:spacing w:line="360" w:lineRule="auto"/>
        <w:ind w:left="0" w:firstLine="720"/>
        <w:rPr>
          <w:szCs w:val="24"/>
        </w:rPr>
      </w:pPr>
      <w:r w:rsidRPr="00662E51">
        <w:rPr>
          <w:szCs w:val="24"/>
        </w:rPr>
        <w:t xml:space="preserve">More formally, the state-party nexus refers to the interdependence of the local state and the local party that exists within one-party local states. The party in question is the Labour Party, which has been the ruling party in Haringey for all but three years since Haringey’s conception in 1965. This means that Labour has outsized influence on the Council’s policy direction </w:t>
      </w:r>
      <w:r w:rsidRPr="00662E51">
        <w:rPr>
          <w:szCs w:val="24"/>
        </w:rPr>
        <w:fldChar w:fldCharType="begin"/>
      </w:r>
      <w:r w:rsidRPr="00662E51">
        <w:rPr>
          <w:szCs w:val="24"/>
        </w:rPr>
        <w:instrText xml:space="preserve"> ADDIN ZOTERO_ITEM CSL_CITATION {"citationID":"CfBUHjMy","properties":{"formattedCitation":"(Dillon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Pr="00662E51">
        <w:t>(Dillon and Fanning 2011)</w:t>
      </w:r>
      <w:r w:rsidRPr="00662E51">
        <w:rPr>
          <w:szCs w:val="24"/>
        </w:rPr>
        <w:fldChar w:fldCharType="end"/>
      </w:r>
      <w:r w:rsidRPr="00662E51">
        <w:rPr>
          <w:szCs w:val="24"/>
        </w:rPr>
        <w:t xml:space="preserve">. As such, I provide a history of the debates on the Party. These debates—rooted in Ralph Miliband’s </w:t>
      </w:r>
      <w:r w:rsidRPr="00662E51">
        <w:rPr>
          <w:szCs w:val="24"/>
        </w:rPr>
        <w:fldChar w:fldCharType="begin"/>
      </w:r>
      <w:r w:rsidRPr="00662E51">
        <w:rPr>
          <w:szCs w:val="24"/>
        </w:rPr>
        <w:instrText xml:space="preserve"> ADDIN ZOTERO_ITEM CSL_CITATION {"citationID":"nfHfOy2I","properties":{"formattedCitation":"(1973)","plainCitation":"(1973)","noteIndex":0},"citationItems":[{"id":6775,"uris":["http://zotero.org/users/8977980/items/WA9H2UEI"],"itemData":{"id":6775,"type":"book","call-number":"324.24107 MIL","edition":"2d ed.","ISBN":"978-0-85036-135-3","language":"eng","number-of-pages":"384","publisher":"Merlin Press","publisher-place":"London","source":"discover.durham.ac.uk","title":"Parliamentary socialism: a study in the politics of Labour","title-short":"Parliamentary socialism","author":[{"family":"Miliband","given":"Ralph"}],"issued":{"date-parts":[["1973"]]}},"label":"page","suppress-author":true}],"schema":"https://github.com/citation-style-language/schema/raw/master/csl-citation.json"} </w:instrText>
      </w:r>
      <w:r w:rsidRPr="00662E51">
        <w:rPr>
          <w:szCs w:val="24"/>
        </w:rPr>
        <w:fldChar w:fldCharType="separate"/>
      </w:r>
      <w:r w:rsidRPr="00662E51">
        <w:t>(1973)</w:t>
      </w:r>
      <w:r w:rsidRPr="00662E51">
        <w:rPr>
          <w:szCs w:val="24"/>
        </w:rPr>
        <w:fldChar w:fldCharType="end"/>
      </w:r>
      <w:r w:rsidRPr="00662E51">
        <w:rPr>
          <w:szCs w:val="24"/>
        </w:rPr>
        <w:t xml:space="preserve"> study of the national Labour Party—were taken up by scholars like Cockburn </w:t>
      </w:r>
      <w:r w:rsidRPr="00662E51">
        <w:rPr>
          <w:szCs w:val="24"/>
        </w:rPr>
        <w:fldChar w:fldCharType="begin"/>
      </w:r>
      <w:r w:rsidRPr="00662E51">
        <w:rPr>
          <w:szCs w:val="24"/>
        </w:rPr>
        <w:instrText xml:space="preserve"> ADDIN ZOTERO_ITEM CSL_CITATION {"citationID":"qwsV3A0l","properties":{"formattedCitation":"(1980)","plainCitation":"(1980)","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state","author":[{"family":"Cockburn","given":"Cynthia"}],"issued":{"date-parts":[["1980"]]}},"label":"page","suppress-author":true}],"schema":"https://github.com/citation-style-language/schema/raw/master/csl-citation.json"} </w:instrText>
      </w:r>
      <w:r w:rsidRPr="00662E51">
        <w:rPr>
          <w:szCs w:val="24"/>
        </w:rPr>
        <w:fldChar w:fldCharType="separate"/>
      </w:r>
      <w:r w:rsidRPr="00662E51">
        <w:t>(1980)</w:t>
      </w:r>
      <w:r w:rsidRPr="00662E51">
        <w:rPr>
          <w:szCs w:val="24"/>
        </w:rPr>
        <w:fldChar w:fldCharType="end"/>
      </w:r>
      <w:r w:rsidRPr="00662E51">
        <w:rPr>
          <w:szCs w:val="24"/>
        </w:rPr>
        <w:t xml:space="preserve"> and Wainwright </w:t>
      </w:r>
      <w:r w:rsidRPr="00662E51">
        <w:rPr>
          <w:szCs w:val="24"/>
        </w:rPr>
        <w:fldChar w:fldCharType="begin"/>
      </w:r>
      <w:r w:rsidR="00F15CF8">
        <w:rPr>
          <w:szCs w:val="24"/>
        </w:rPr>
        <w:instrText xml:space="preserve"> ADDIN ZOTERO_ITEM CSL_CITATION {"citationID":"ClmBWUjE","properties":{"formattedCitation":"(1987, 2022)","plainCitation":"(1987, 2022)","noteIndex":0},"citationItems":[{"id":6851,"uris":["http://zotero.org/users/8977980/items/2UVLUQSY"],"itemData":{"id":6851,"type":"book","call-number":"324.24107 WAI","ISBN":"978-0-7012-0778-6","language":"eng","publisher":"Hogarth","publisher-place":"London","source":"discover.durham.ac.uk","title":"Labour: a tale of two parties","title-short":"Labour","author":[{"family":"Wainwright","given":"Hilary"}],"issued":{"date-parts":[["1987"]]}},"label":"page","suppress-author":true},{"id":6852,"uris":["http://zotero.org/users/8977980/items/M7LLERA3"],"itemData":{"id":6852,"type":"chapter","abstract":"Neil Kinnock's leadership marked the end of Labour as a ‘broad church’ and the beginning of Labour as a tale of two parties. Tom Nairn highlights this as a fundamental bulwark to a political system, that, he wrote impatiently in 1977, ‘makes it next to impossible to obtain any new departure from within the system’. The different analysis of 1983 provided by Heath, Jowell and Curtice is interesting as a guide to future strategy, rather than attributing blame, in that it seeks to understand the changes and complexity in public opinion and how this relates to the ways they vote. It was at the ‘Family Funday’ on the Sunday before polling; children covered with ‘Vote Labour’ stickers were milling around the entrance to the Islington Business Centre, stewards with bleepers were cheerily checking the tickets of those wishing to go in. Inside the fun was well organised, nothing left to chance.","container-title":"Neil Kinnock","ISBN":"978-1-003-25439-3","note":"number-of-pages: 8","publisher":"Routledge","title":"A Tale of Two Parties Revisited","author":[{"family":"Wainwright","given":"Hilary"}],"issued":{"date-parts":[["2022"]]}},"label":"page","suppress-author":true}],"schema":"https://github.com/citation-style-language/schema/raw/master/csl-citation.json"} </w:instrText>
      </w:r>
      <w:r w:rsidRPr="00662E51">
        <w:rPr>
          <w:szCs w:val="24"/>
        </w:rPr>
        <w:fldChar w:fldCharType="separate"/>
      </w:r>
      <w:r w:rsidR="00F15CF8" w:rsidRPr="00F15CF8">
        <w:t>(1987, 2022)</w:t>
      </w:r>
      <w:r w:rsidRPr="00662E51">
        <w:rPr>
          <w:szCs w:val="24"/>
        </w:rPr>
        <w:fldChar w:fldCharType="end"/>
      </w:r>
      <w:r w:rsidRPr="00662E51">
        <w:rPr>
          <w:szCs w:val="24"/>
        </w:rPr>
        <w:t xml:space="preserve">, and later Ormerod </w:t>
      </w:r>
      <w:r w:rsidRPr="00662E51">
        <w:rPr>
          <w:szCs w:val="24"/>
        </w:rPr>
        <w:fldChar w:fldCharType="begin"/>
      </w:r>
      <w:r w:rsidR="00F15CF8">
        <w:rPr>
          <w:szCs w:val="24"/>
        </w:rPr>
        <w:instrText xml:space="preserve"> ADDIN ZOTERO_ITEM CSL_CITATION {"citationID":"fQyw9UZG","properties":{"formattedCitation":"(2017, 2021)","plainCitation":"(2017, 2021)","noteIndex":0},"citationItems":[{"id":6579,"uris":["http://zotero.org/users/8977980/items/UYJQMU9X"],"itemData":{"id":6579,"type":"thesis","abstract":"Housing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label":"page","suppress-author":true},{"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abel":"page","suppress-author":true}],"schema":"https://github.com/citation-style-language/schema/raw/master/csl-citation.json"} </w:instrText>
      </w:r>
      <w:r w:rsidRPr="00662E51">
        <w:rPr>
          <w:szCs w:val="24"/>
        </w:rPr>
        <w:fldChar w:fldCharType="separate"/>
      </w:r>
      <w:r w:rsidR="00F15CF8" w:rsidRPr="00F15CF8">
        <w:t>(2017, 2021)</w:t>
      </w:r>
      <w:r w:rsidRPr="00662E51">
        <w:rPr>
          <w:szCs w:val="24"/>
        </w:rPr>
        <w:fldChar w:fldCharType="end"/>
      </w:r>
      <w:r w:rsidRPr="00662E51">
        <w:rPr>
          <w:szCs w:val="24"/>
        </w:rPr>
        <w:t xml:space="preserve"> and Gilbert </w:t>
      </w:r>
      <w:r w:rsidRPr="00662E51">
        <w:rPr>
          <w:szCs w:val="24"/>
        </w:rPr>
        <w:fldChar w:fldCharType="begin"/>
      </w:r>
      <w:r w:rsidR="00F15CF8">
        <w:rPr>
          <w:szCs w:val="24"/>
        </w:rPr>
        <w:instrText xml:space="preserve"> ADDIN ZOTERO_ITEM CSL_CITATION {"citationID":"LbEJVh1r","properties":{"formattedCitation":"(2021a, 2021b, 2023)","plainCitation":"(2021a, 2021b, 2023)","noteIndex":0},"citationItems":[{"id":6824,"uris":["http://zotero.org/users/8977980/items/ZVTM8KFG"],"itemData":{"id":6824,"type":"post-weblog","abstract":"Why we shouldn't leave the Labour Party","container-title":"The Educator","language":"en-GB","title":"Why We Shouldn't Leave the Labour Party","title-short":"The Educator","URL":"https://peoplesmomentum.com/newsletters/the-educator/why-we-shouldnt-leave-the-labour-party/","author":[{"family":"Gilbert","given":"Jeremy"}],"accessed":{"date-parts":[["2025",8,8]]},"issued":{"date-parts":[["2021",12,15]]}},"label":"page","suppress-author":true},{"id":6849,"uris":["http://zotero.org/users/8977980/items/YAP2QWWD"],"itemData":{"id":6849,"type":"article-journal","abstract":"One of the most striking features of Labour Party politics during the years of Jeremy Corbyn's leadership was the recalcitrant lack of cooperation that he received from many Labour MPs, even after his remarkable success in the 2017 general election. This article systematically examines a number of possible explanations for this behaviour, including genuine divisions within the party over the issue of institutional anti-semitism and over the politics of Brexit. Ultimately, it concludes that the most plausible explanation for MPs’ opposition to Corbyn is simply the lack of material motivation for many of Labour's elected representatives and officials to pursue the end of a Labour government led by a political faction with which they themselves are not aligned.","container-title":"The Political Quarterly","DOI":"10.1111/1467-923X.13015","ISSN":"1467-923X","issue":"2","language":"en","license":"© 2021 The Authors. The Political Quarterly published by John Wiley &amp; Sons Ltd on behalf of Political Quarterly Publishing Co (PQPC).","note":"_eprint: https://onlinelibrary.wiley.com/doi/pdf/10.1111/1467-923X.13015","page":"202-210","source":"Wiley Online Library","title":"Why Wouldn't They Be Reconciled? Corbyn's Leadership and the Recalcitrance of the Parliamentary Labour Party","title-short":"Why Wouldn't They Be Reconciled?","volume":"92","author":[{"family":"Gilbert","given":"Jeremy"}],"issued":{"date-parts":[["2021"]]}}},{"id":5842,"uris":["http://zotero.org/users/8977980/items/QZRKMUSZ"],"itemData":{"id":5842,"type":"article-newspaper","abstract":"In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label":"page","suppress-author":true}],"schema":"https://github.com/citation-style-language/schema/raw/master/csl-citation.json"} </w:instrText>
      </w:r>
      <w:r w:rsidRPr="00662E51">
        <w:rPr>
          <w:szCs w:val="24"/>
        </w:rPr>
        <w:fldChar w:fldCharType="separate"/>
      </w:r>
      <w:r w:rsidR="00F15CF8" w:rsidRPr="00F15CF8">
        <w:t>(2021a, 2021b, 2023)</w:t>
      </w:r>
      <w:r w:rsidRPr="00662E51">
        <w:rPr>
          <w:szCs w:val="24"/>
        </w:rPr>
        <w:fldChar w:fldCharType="end"/>
      </w:r>
      <w:r w:rsidRPr="00662E51">
        <w:rPr>
          <w:szCs w:val="24"/>
        </w:rPr>
        <w:t xml:space="preserve">. They speak to the Labour Party’s particular lineage as a political broad church. This coalitional nature has meant that the Party has always existed in tension between radical and reformist </w:t>
      </w:r>
      <w:r w:rsidRPr="00662E51">
        <w:rPr>
          <w:szCs w:val="24"/>
        </w:rPr>
        <w:lastRenderedPageBreak/>
        <w:t xml:space="preserve">perspectives </w:t>
      </w:r>
      <w:r w:rsidRPr="00662E51">
        <w:rPr>
          <w:szCs w:val="24"/>
        </w:rPr>
        <w:fldChar w:fldCharType="begin"/>
      </w:r>
      <w:r w:rsidR="00213B80">
        <w:rPr>
          <w:szCs w:val="24"/>
        </w:rPr>
        <w:instrText xml:space="preserve"> ADDIN ZOTERO_ITEM CSL_CITATION {"citationID":"hxSKhGpM","properties":{"formattedCitation":"(Cockburn 1980; Gilbert 2021b, 2023; Wainwright 1987; B. Ward 2022)","plainCitation":"(Cockburn 1980; Gilbert 2021b, 2023; Wainwright 1987; B. Ward 2022)","noteIndex":0},"citationItems":[{"id":5811,"uris":["http://zotero.org/users/8977980/items/U5ZYVUT5"],"itemData":{"id":5811,"type":"book","edition":"Repr","ISBN":"978-0-904383-48-5","language":"eng","number-of-pages":"207","publisher":"Pluto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state","author":[{"family":"Cockburn","given":"Cynthia"}],"issued":{"date-parts":[["1980"]]}}},{"id":6849,"uris":["http://zotero.org/users/8977980/items/YAP2QWWD"],"itemData":{"id":6849,"type":"article-journal","abstract":"One of the most striking features of Labour Party politics during the years of Jeremy Corbyn's leadership was the recalcitrant lack of cooperation that he received from many Labour MPs, even after his remarkable success in the 2017 general election. This article systematically examines a number of possible explanations for this behaviour, including genuine divisions within the party over the issue of institutional anti-semitism and over the politics of Brexit. Ultimately, it concludes that the most plausible explanation for MPs’ opposition to Corbyn is simply the lack of material motivation for many of Labour's elected representatives and officials to pursue the end of a Labour government led by a political faction with which they themselves are not aligned.","container-title":"The Political Quarterly","DOI":"10.1111/1467-923X.13015","ISSN":"1467-923X","issue":"2","language":"en","license":"© 2021 The Authors. The Political Quarterly published by John Wiley &amp; Sons Ltd on behalf of Political Quarterly Publishing Co (PQPC).","note":"_eprint: https://onlinelibrary.wiley.com/doi/pdf/10.1111/1467-923X.13015","page":"202-210","source":"Wiley Online Library","title":"Why Wouldn't They Be Reconciled? Corbyn's Leadership and the Recalcitrance of the Parliamentary Labour Party","title-short":"Why Wouldn't They Be Reconciled?","volume":"92","author":[{"family":"Gilbert","given":"Jeremy"}],"issued":{"date-parts":[["2021"]]}}},{"id":5842,"uris":["http://zotero.org/users/8977980/items/QZRKMUSZ"],"itemData":{"id":5842,"type":"article-newspaper","abstract":"In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6851,"uris":["http://zotero.org/users/8977980/items/2UVLUQSY"],"itemData":{"id":6851,"type":"book","call-number":"324.24107 WAI","ISBN":"978-0-7012-0778-6","language":"eng","publisher":"Hogarth","publisher-place":"London","source":"discover.durham.ac.uk","title":"Labour: a tale of two parties","title-short":"Labour","author":[{"family":"Wainwright","given":"Hilary"}],"issued":{"date-parts":[["1987"]]}}},{"id":5841,"uris":["http://zotero.org/users/8977980/items/ALM77PTV"],"itemData":{"id":5841,"type":"article-journal","abstract":"During the early years of Jeremy Corbyn’s tenure as Labour leader, promises of wide sweeping party reform, in particular members-led democratisation, were central to fortifying his support within the extra-parliamentary party. However, by the time Corbyn’s leadership came to a close, very few reforms had been achieved. This article argues that whilst the Corbyn leadership was initially drawn towards a more grassroots vision of rank-and-file democracy, this came into tension with the demands facing the leadership in the context of intense intra-party factionalism. In a Brexit-dominated political landscape, both the normative and actual constraints facing internal party democracy meant that major party reforms were increasingly sidelined. Going forward, this has renewed important questions surrounding if, and how, a more direct vision of democracy is possible within a deeply institutionalised centre-left party.","container-title":"British Politics","DOI":"10.1057/s41293-021-00158-8","ISSN":"1746-9198","issue":"3","journalAbbreviation":"Br Polit","language":"en","page":"353-365","source":"Springer Link","title":"Managing democracy in Corbyn’s Labour Party: faction-fighting or movement-building?","title-short":"Managing democracy in Corbyn’s Labour Party","volume":"17","author":[{"family":"Ward","given":"Bradley"}],"issued":{"date-parts":[["2022",9,1]]}}}],"schema":"https://github.com/citation-style-language/schema/raw/master/csl-citation.json"} </w:instrText>
      </w:r>
      <w:r w:rsidRPr="00662E51">
        <w:rPr>
          <w:szCs w:val="24"/>
        </w:rPr>
        <w:fldChar w:fldCharType="separate"/>
      </w:r>
      <w:r w:rsidR="00213B80" w:rsidRPr="00213B80">
        <w:t>(Cockburn 1980; Gilbert 2021b, 2023; Wainwright 1987; B. Ward 2022)</w:t>
      </w:r>
      <w:r w:rsidRPr="00662E51">
        <w:rPr>
          <w:szCs w:val="24"/>
        </w:rPr>
        <w:fldChar w:fldCharType="end"/>
      </w:r>
      <w:r w:rsidRPr="00662E51">
        <w:rPr>
          <w:szCs w:val="24"/>
        </w:rPr>
        <w:t xml:space="preserve">. The review here starts with Cockburn </w:t>
      </w:r>
      <w:r w:rsidRPr="00662E51">
        <w:rPr>
          <w:szCs w:val="24"/>
        </w:rPr>
        <w:fldChar w:fldCharType="begin"/>
      </w:r>
      <w:r w:rsidRPr="00662E51">
        <w:rPr>
          <w:szCs w:val="24"/>
        </w:rPr>
        <w:instrText xml:space="preserve"> ADDIN ZOTERO_ITEM CSL_CITATION {"citationID":"CwkW6BpZ","properties":{"formattedCitation":"(1980, 87)","plainCitation":"(1980, 87)","noteIndex":0},"citationItems":[{"id":5811,"uris":["http://zotero.org/users/8977980/items/U5ZYVUT5"],"itemData":{"id":5811,"type":"book","edition":"Repr","ISBN":"978-0-904383-48-5","language":"eng","number-of-pages":"207","publisher":"Pluto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state","author":[{"family":"Cockburn","given":"Cynthia"}],"issued":{"date-parts":[["1980"]]}},"locator":"87","label":"page","suppress-author":true}],"schema":"https://github.com/citation-style-language/schema/raw/master/csl-citation.json"} </w:instrText>
      </w:r>
      <w:r w:rsidRPr="00662E51">
        <w:rPr>
          <w:szCs w:val="24"/>
        </w:rPr>
        <w:fldChar w:fldCharType="separate"/>
      </w:r>
      <w:r w:rsidRPr="00662E51">
        <w:t>(1980, 87)</w:t>
      </w:r>
      <w:r w:rsidRPr="00662E51">
        <w:rPr>
          <w:szCs w:val="24"/>
        </w:rPr>
        <w:fldChar w:fldCharType="end"/>
      </w:r>
      <w:r w:rsidRPr="00662E51">
        <w:rPr>
          <w:szCs w:val="24"/>
        </w:rPr>
        <w:t xml:space="preserve">, who asserts that the Labour Party utilises democratic engagement as a “mechanism on which management of class struggle” could rely—that is, the capitalist state depends on political parties to funnel dissent through electoral politics instead of direct action. In effect, Cockburn </w:t>
      </w:r>
      <w:r w:rsidRPr="00662E51">
        <w:rPr>
          <w:szCs w:val="24"/>
        </w:rPr>
        <w:fldChar w:fldCharType="begin"/>
      </w:r>
      <w:r w:rsidRPr="00662E51">
        <w:rPr>
          <w:szCs w:val="24"/>
        </w:rPr>
        <w:instrText xml:space="preserve"> ADDIN ZOTERO_ITEM CSL_CITATION {"citationID":"93tAGuaO","properties":{"formattedCitation":"(1980)","plainCitation":"(1980)","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state","author":[{"family":"Cockburn","given":"Cynthia"}],"issued":{"date-parts":[["1980"]]}},"label":"page","suppress-author":true}],"schema":"https://github.com/citation-style-language/schema/raw/master/csl-citation.json"} </w:instrText>
      </w:r>
      <w:r w:rsidRPr="00662E51">
        <w:rPr>
          <w:szCs w:val="24"/>
        </w:rPr>
        <w:fldChar w:fldCharType="separate"/>
      </w:r>
      <w:r w:rsidRPr="00662E51">
        <w:t>(1980)</w:t>
      </w:r>
      <w:r w:rsidRPr="00662E51">
        <w:rPr>
          <w:szCs w:val="24"/>
        </w:rPr>
        <w:fldChar w:fldCharType="end"/>
      </w:r>
      <w:r w:rsidRPr="00662E51">
        <w:rPr>
          <w:szCs w:val="24"/>
        </w:rPr>
        <w:t xml:space="preserve"> contends such funnelling defangs opposition and forecloses radical change. Yet, as my findings in Chapter</w:t>
      </w:r>
      <w:r w:rsidR="00D33356">
        <w:rPr>
          <w:szCs w:val="24"/>
        </w:rPr>
        <w:t>s 6 and 7</w:t>
      </w:r>
      <w:r w:rsidRPr="00662E51">
        <w:rPr>
          <w:szCs w:val="24"/>
        </w:rPr>
        <w:t xml:space="preserve"> indicate, the unstable nature of the nexus means that scholars should not presume foreclosure always happens. Thus, in this subsection, I put Copus </w:t>
      </w:r>
      <w:r w:rsidRPr="00662E51">
        <w:rPr>
          <w:szCs w:val="24"/>
        </w:rPr>
        <w:fldChar w:fldCharType="begin"/>
      </w:r>
      <w:r w:rsidR="00F15CF8">
        <w:rPr>
          <w:szCs w:val="24"/>
        </w:rPr>
        <w:instrText xml:space="preserve"> ADDIN ZOTERO_ITEM CSL_CITATION {"citationID":"PTvGD3Tf","properties":{"formattedCitation":"(2004, 2015, 2023)","plainCitation":"(2004,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Government","author":[{"family":"Copus","given":"Colin"}],"issued":{"date-parts":[["2004"]]}},"label":"page","suppress-author":true},{"id":6771,"uris":["http://zotero.org/users/8977980/items/H5WX9ZA2"],"itemData":{"id":6771,"type":"book","abstract":"In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Councillors","author":[{"family":"Copus","given":"Colin"}],"issued":{"date-parts":[["2015"]]}},"label":"page","suppress-author":true},{"id":6769,"uris":["http://zotero.org/users/8977980/items/DFD3QFVU"],"itemData":{"id":6769,"type":"chapter","abstract":"Chapter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label":"page","suppress-author":true}],"schema":"https://github.com/citation-style-language/schema/raw/master/csl-citation.json"} </w:instrText>
      </w:r>
      <w:r w:rsidRPr="00662E51">
        <w:rPr>
          <w:szCs w:val="24"/>
        </w:rPr>
        <w:fldChar w:fldCharType="separate"/>
      </w:r>
      <w:r w:rsidR="00F15CF8" w:rsidRPr="00F15CF8">
        <w:t>(2004, 2015, 2023)</w:t>
      </w:r>
      <w:r w:rsidRPr="00662E51">
        <w:rPr>
          <w:szCs w:val="24"/>
        </w:rPr>
        <w:fldChar w:fldCharType="end"/>
      </w:r>
      <w:r w:rsidRPr="00662E51">
        <w:rPr>
          <w:szCs w:val="24"/>
        </w:rPr>
        <w:t xml:space="preserve">, Cockburn </w:t>
      </w:r>
      <w:r w:rsidRPr="00662E51">
        <w:rPr>
          <w:szCs w:val="24"/>
        </w:rPr>
        <w:fldChar w:fldCharType="begin"/>
      </w:r>
      <w:r w:rsidRPr="00662E51">
        <w:rPr>
          <w:szCs w:val="24"/>
        </w:rPr>
        <w:instrText xml:space="preserve"> ADDIN ZOTERO_ITEM CSL_CITATION {"citationID":"aXUJ0NkK","properties":{"formattedCitation":"(1980)","plainCitation":"(1980)","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state","author":[{"family":"Cockburn","given":"Cynthia"}],"issued":{"date-parts":[["1980"]]}},"label":"page","suppress-author":true}],"schema":"https://github.com/citation-style-language/schema/raw/master/csl-citation.json"} </w:instrText>
      </w:r>
      <w:r w:rsidRPr="00662E51">
        <w:rPr>
          <w:szCs w:val="24"/>
        </w:rPr>
        <w:fldChar w:fldCharType="separate"/>
      </w:r>
      <w:r w:rsidRPr="00662E51">
        <w:t>(1980)</w:t>
      </w:r>
      <w:r w:rsidRPr="00662E51">
        <w:rPr>
          <w:szCs w:val="24"/>
        </w:rPr>
        <w:fldChar w:fldCharType="end"/>
      </w:r>
      <w:r w:rsidRPr="00662E51">
        <w:rPr>
          <w:szCs w:val="24"/>
        </w:rPr>
        <w:t xml:space="preserve">, and Ormerod </w:t>
      </w:r>
      <w:r w:rsidRPr="00662E51">
        <w:rPr>
          <w:szCs w:val="24"/>
        </w:rPr>
        <w:fldChar w:fldCharType="begin"/>
      </w:r>
      <w:r w:rsidR="00F15CF8">
        <w:rPr>
          <w:szCs w:val="24"/>
        </w:rPr>
        <w:instrText xml:space="preserve"> ADDIN ZOTERO_ITEM CSL_CITATION {"citationID":"4e7c8bwb","properties":{"formattedCitation":"(2017, 2021; and MacLeod 2019)","plainCitation":"(2017, 2021; and MacLeod 2019)","noteIndex":0},"citationItems":[{"id":6579,"uris":["http://zotero.org/users/8977980/items/UYJQMU9X"],"itemData":{"id":6579,"type":"thesis","abstract":"Housing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suppress-author":true},{"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uppress-author":true},{"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governance","volume":"18","author":[{"family":"Ormerod","given":"Emma"},{"family":"MacLeod","given":"Gordon"}],"issued":{"date-parts":[["2019",8,1]]}},"suppress-author":true,"prefix":"; and MacLeod"}],"schema":"https://github.com/citation-style-language/schema/raw/master/csl-citation.json"} </w:instrText>
      </w:r>
      <w:r w:rsidRPr="00662E51">
        <w:rPr>
          <w:szCs w:val="24"/>
        </w:rPr>
        <w:fldChar w:fldCharType="separate"/>
      </w:r>
      <w:r w:rsidR="00F15CF8" w:rsidRPr="00F15CF8">
        <w:t>(2017, 2021; and MacLeod 2019)</w:t>
      </w:r>
      <w:r w:rsidRPr="00662E51">
        <w:rPr>
          <w:szCs w:val="24"/>
        </w:rPr>
        <w:fldChar w:fldCharType="end"/>
      </w:r>
      <w:r w:rsidRPr="00662E51">
        <w:rPr>
          <w:szCs w:val="24"/>
        </w:rPr>
        <w:t xml:space="preserve"> in dialogue with each other to </w:t>
      </w:r>
      <w:r w:rsidR="00EB2C83">
        <w:rPr>
          <w:szCs w:val="24"/>
        </w:rPr>
        <w:t xml:space="preserve">emphasise </w:t>
      </w:r>
      <w:r w:rsidRPr="00662E51">
        <w:rPr>
          <w:szCs w:val="24"/>
        </w:rPr>
        <w:t xml:space="preserve">the </w:t>
      </w:r>
      <w:r w:rsidR="006C3F3A">
        <w:rPr>
          <w:szCs w:val="24"/>
        </w:rPr>
        <w:t>relevance</w:t>
      </w:r>
      <w:r w:rsidRPr="00662E51">
        <w:rPr>
          <w:szCs w:val="24"/>
        </w:rPr>
        <w:t xml:space="preserve"> of the state-party nexus. </w:t>
      </w:r>
      <w:r w:rsidR="00EB2C83">
        <w:rPr>
          <w:szCs w:val="24"/>
        </w:rPr>
        <w:t xml:space="preserve">I also discuss the nexus’s multiscalarity, drawing out </w:t>
      </w:r>
      <w:r w:rsidR="006C3F3A">
        <w:rPr>
          <w:szCs w:val="24"/>
        </w:rPr>
        <w:t>the importance of scale to the nexus.</w:t>
      </w:r>
    </w:p>
    <w:p w14:paraId="03893E22" w14:textId="77777777" w:rsidR="000808C7" w:rsidRPr="00662E51" w:rsidRDefault="000808C7" w:rsidP="000808C7">
      <w:pPr>
        <w:spacing w:line="360" w:lineRule="auto"/>
        <w:ind w:left="0"/>
        <w:rPr>
          <w:szCs w:val="24"/>
        </w:rPr>
      </w:pPr>
    </w:p>
    <w:p w14:paraId="43213E33" w14:textId="77777777" w:rsidR="000808C7" w:rsidRPr="00662E51" w:rsidRDefault="000808C7" w:rsidP="000808C7">
      <w:pPr>
        <w:pStyle w:val="Heading4"/>
        <w:spacing w:before="0" w:after="0"/>
      </w:pPr>
      <w:bookmarkStart w:id="160" w:name="_Toc221184316"/>
      <w:r w:rsidRPr="00662E51">
        <w:t>The Labour Party in Detail:</w:t>
      </w:r>
      <w:bookmarkEnd w:id="160"/>
    </w:p>
    <w:p w14:paraId="6D5BF111" w14:textId="406FDEF1" w:rsidR="000808C7" w:rsidRPr="00662E51" w:rsidRDefault="000808C7" w:rsidP="000808C7">
      <w:pPr>
        <w:spacing w:line="360" w:lineRule="auto"/>
        <w:ind w:left="0" w:firstLine="720"/>
        <w:rPr>
          <w:szCs w:val="24"/>
        </w:rPr>
      </w:pPr>
      <w:r w:rsidRPr="00662E51">
        <w:rPr>
          <w:szCs w:val="24"/>
        </w:rPr>
        <w:t xml:space="preserve">Before diving into the critical perspectives on Labour, it is worth providing an overview of the party structure. The party’s lowest level is the branch (or ward). They typically correspond to the electoral boundaries for councillors (also wards). Above branches are Constituency Labour Parties (CLPs), coterminous with parliamentary electoral districts of the same name. CLPs are grouped together under Regional Boards, with Wales and Scotland having their own executives. London has its own Regional Board. These comprise representatives from lower tiers. The Labour Party’s direction is governed by a combination of the following: the National Executive Committee (NEC), the Parliamentary Party Labour (PLP), and the National Policy Forum (NPF). The NEC includes Members of Parliament (MPs), representatives from affiliated organisations, the Leader and Deputy Leader of the Party, and representatives selected by councillors and other sitting MPs. The PLP is the group of Labour MPs </w:t>
      </w:r>
      <w:r w:rsidRPr="00662E51">
        <w:rPr>
          <w:szCs w:val="24"/>
        </w:rPr>
        <w:fldChar w:fldCharType="begin"/>
      </w:r>
      <w:r w:rsidRPr="00662E51">
        <w:rPr>
          <w:szCs w:val="24"/>
        </w:rPr>
        <w:instrText xml:space="preserve"> ADDIN ZOTERO_ITEM CSL_CITATION {"citationID":"ZAdQQQbd","properties":{"formattedCitation":"(UNITE Politics 2015)","plainCitation":"(UNITE Politics 2015)","noteIndex":0},"citationItems":[{"id":6856,"uris":["http://zotero.org/users/8977980/items/BFS9ELT9"],"itemData":{"id":6856,"type":"document","publisher":"UNITE The Union","title":"A Guide to How the Labour Party Works","URL":"https://www.unitetheunion.org/media/1375/guide-to-labour-party-structures.pdf","author":[{"literal":"UNITE Politics"}],"issued":{"date-parts":[["2015",12]]}}}],"schema":"https://github.com/citation-style-language/schema/raw/master/csl-citation.json"} </w:instrText>
      </w:r>
      <w:r w:rsidRPr="00662E51">
        <w:rPr>
          <w:szCs w:val="24"/>
        </w:rPr>
        <w:fldChar w:fldCharType="separate"/>
      </w:r>
      <w:r w:rsidRPr="00662E51">
        <w:t>(UNITE Politics 2015)</w:t>
      </w:r>
      <w:r w:rsidRPr="00662E51">
        <w:rPr>
          <w:szCs w:val="24"/>
        </w:rPr>
        <w:fldChar w:fldCharType="end"/>
      </w:r>
      <w:r w:rsidRPr="00662E51">
        <w:rPr>
          <w:szCs w:val="24"/>
        </w:rPr>
        <w:t xml:space="preserve">. PLP members tend to prioritise electability rather than ideological purity and have tended to pull the Labour Party to the right </w:t>
      </w:r>
      <w:r w:rsidRPr="00662E51">
        <w:rPr>
          <w:szCs w:val="24"/>
        </w:rPr>
        <w:fldChar w:fldCharType="begin"/>
      </w:r>
      <w:r w:rsidRPr="00662E51">
        <w:rPr>
          <w:szCs w:val="24"/>
        </w:rPr>
        <w:instrText xml:space="preserve"> ADDIN ZOTERO_ITEM CSL_CITATION {"citationID":"wkhHn85O","properties":{"formattedCitation":"(Crines et al. 2018; Gilbert 2021b)","plainCitation":"(Crines et al. 2018; Gilbert 2021b)","noteIndex":0},"citationItems":[{"id":6857,"uris":["http://zotero.org/users/8977980/items/ABJSQVKV"],"itemData":{"id":6857,"type":"article-journal","abstract":"This paper offers the first systematic evaluation of opinion within the 2015–2017 parliamentary Labour Party (PLP) towards the leadership of Jeremy Corbyn. We do this by identifying whether individual parliamentarians remained supportive of Corbyn as their party leader or not, and then relating opinion on this to a series of variables that form the basis of a unique data set on the PLP. By constructing this data set we are able to test, via logistic regression analysis, a series of hypotheses based around (1) demographic variables – i.e. age, gender and trade union membership; (2) political variables – i.e. year of entry, constituency region, marginality, main competition and the endorsement of their constituency Labour Party (CLP) in the leadership election of 2016 and (3) ideological variables – i.e. views on continued European Union [EU] membership, immigration, intervention in Syria and the renewal of Trident.","container-title":"Journal of Elections, Public Opinion and Parties","DOI":"10.1080/17457289.2017.1403921","ISSN":"1745-7289","issue":"3","note":"_eprint: https://doi.org/10.1080/17457289.2017.1403921","page":"361-379","publisher":"Routledge","source":"Taylor and Francis+NEJM","title":"The British Labour Party and leadership election mandate(s) of Jeremy Corbyn: patterns of opinion and opposition within the parliamentary Labour Party","title-short":"The British Labour Party and leadership election mandate(s) of Jeremy Corbyn","volume":"28","author":[{"family":"Crines","given":"Andrew Scott"},{"family":"Jeffery","given":"David"},{"family":"Heppell","given":"Timothy"}],"issued":{"date-parts":[["2018",7,3]]}}},{"id":6849,"uris":["http://zotero.org/users/8977980/items/YAP2QWWD"],"itemData":{"id":6849,"type":"article-journal","abstract":"One of the most striking features of Labour Party politics during the years of Jeremy Corbyn's leadership was the recalcitrant lack of cooperation that he received from many Labour MPs, even after his remarkable success in the 2017 general election. This article systematically examines a number of possible explanations for this behaviour, including genuine divisions within the party over the issue of institutional anti-semitism and over the politics of Brexit. Ultimately, it concludes that the most plausible explanation for MPs’ opposition to Corbyn is simply the lack of material motivation for many of Labour's elected representatives and officials to pursue the end of a Labour government led by a political faction with which they themselves are not aligned.","container-title":"The Political Quarterly","DOI":"10.1111/1467-923X.13015","ISSN":"1467-923X","issue":"2","language":"en","license":"© 2021 The Authors. The Political Quarterly published by John Wiley &amp; Sons Ltd on behalf of Political Quarterly Publishing Co (PQPC).","note":"_eprint: https://onlinelibrary.wiley.com/doi/pdf/10.1111/1467-923X.13015","page":"202-210","source":"Wiley Online Library","title":"Why Wouldn't They Be Reconciled? Corbyn's Leadership and the Recalcitrance of the Parliamentary Labour Party","title-short":"Why Wouldn't They Be Reconciled?","volume":"92","author":[{"family":"Gilbert","given":"Jeremy"}],"issued":{"date-parts":[["2021"]]}}}],"schema":"https://github.com/citation-style-language/schema/raw/master/csl-citation.json"} </w:instrText>
      </w:r>
      <w:r w:rsidRPr="00662E51">
        <w:rPr>
          <w:szCs w:val="24"/>
        </w:rPr>
        <w:fldChar w:fldCharType="separate"/>
      </w:r>
      <w:r w:rsidRPr="00662E51">
        <w:t>(Crines et al. 2018; Gilbert 2021b)</w:t>
      </w:r>
      <w:r w:rsidRPr="00662E51">
        <w:rPr>
          <w:szCs w:val="24"/>
        </w:rPr>
        <w:fldChar w:fldCharType="end"/>
      </w:r>
      <w:r w:rsidRPr="00662E51">
        <w:rPr>
          <w:szCs w:val="24"/>
        </w:rPr>
        <w:t xml:space="preserve">. Reforms in the Party from the 1980s to the late 1990s have centralised decision-making, with leadership prioritising winning back political power at the expense of party activists (who tend to be more radical) </w:t>
      </w:r>
      <w:r w:rsidRPr="00662E51">
        <w:rPr>
          <w:szCs w:val="24"/>
        </w:rPr>
        <w:fldChar w:fldCharType="begin"/>
      </w:r>
      <w:r w:rsidR="001B2CAA">
        <w:rPr>
          <w:szCs w:val="24"/>
        </w:rPr>
        <w:instrText xml:space="preserve"> ADDIN ZOTERO_ITEM CSL_CITATION {"citationID":"sOH74OmW","properties":{"formattedCitation":"(J. Scott and Wills 2017)","plainCitation":"(J. Scott and Wills 2017)","noteIndex":0},"citationItems":[{"id":"n0Saldgp/SMymUFlz","uris":["http://zotero.org/users/8977980/items/L74AUTZ7"],"itemData":{"id":"FOAvzGY0/tCmQHLx8","type":"article-journal","abstract":"This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Pr="00662E51">
        <w:rPr>
          <w:szCs w:val="24"/>
        </w:rPr>
        <w:fldChar w:fldCharType="separate"/>
      </w:r>
      <w:r w:rsidR="00213B80" w:rsidRPr="00213B80">
        <w:t>(J. Scott and Wills 2017)</w:t>
      </w:r>
      <w:r w:rsidRPr="00662E51">
        <w:rPr>
          <w:szCs w:val="24"/>
        </w:rPr>
        <w:fldChar w:fldCharType="end"/>
      </w:r>
      <w:r w:rsidRPr="00662E51">
        <w:rPr>
          <w:szCs w:val="24"/>
        </w:rPr>
        <w:t xml:space="preserve">. While there have </w:t>
      </w:r>
      <w:r w:rsidRPr="00662E51">
        <w:rPr>
          <w:szCs w:val="24"/>
        </w:rPr>
        <w:lastRenderedPageBreak/>
        <w:t xml:space="preserve">been some efforts to democratise power, especially during former Leader Jeremy Corbyn’s tenure </w:t>
      </w:r>
      <w:r w:rsidRPr="00662E51">
        <w:rPr>
          <w:szCs w:val="24"/>
        </w:rPr>
        <w:fldChar w:fldCharType="begin"/>
      </w:r>
      <w:r w:rsidR="00213B80">
        <w:rPr>
          <w:szCs w:val="24"/>
        </w:rPr>
        <w:instrText xml:space="preserve"> ADDIN ZOTERO_ITEM CSL_CITATION {"citationID":"sPk1npfC","properties":{"formattedCitation":"(B. Ward 2022)","plainCitation":"(B. Ward 2022)","noteIndex":0},"citationItems":[{"id":5841,"uris":["http://zotero.org/users/8977980/items/ALM77PTV"],"itemData":{"id":5841,"type":"article-journal","abstract":"During the early years of Jeremy Corbyn’s tenure as Labour leader, promises of wide sweeping party reform, in particular members-led democratisation, were central to fortifying his support within the extra-parliamentary party. However, by the time Corbyn’s leadership came to a close, very few reforms had been achieved. This article argues that whilst the Corbyn leadership was initially drawn towards a more grassroots vision of rank-and-file democracy, this came into tension with the demands facing the leadership in the context of intense intra-party factionalism. In a Brexit-dominated political landscape, both the normative and actual constraints facing internal party democracy meant that major party reforms were increasingly sidelined. Going forward, this has renewed important questions surrounding if, and how, a more direct vision of democracy is possible within a deeply institutionalised centre-left party.","container-title":"British Politics","DOI":"10.1057/s41293-021-00158-8","ISSN":"1746-9198","issue":"3","journalAbbreviation":"Br Polit","language":"en","page":"353-365","source":"Springer Link","title":"Managing democracy in Corbyn’s Labour Party: faction-fighting or movement-building?","title-short":"Managing democracy in Corbyn’s Labour Party","volume":"17","author":[{"family":"Ward","given":"Bradley"}],"issued":{"date-parts":[["2022",9,1]]}}}],"schema":"https://github.com/citation-style-language/schema/raw/master/csl-citation.json"} </w:instrText>
      </w:r>
      <w:r w:rsidRPr="00662E51">
        <w:rPr>
          <w:szCs w:val="24"/>
        </w:rPr>
        <w:fldChar w:fldCharType="separate"/>
      </w:r>
      <w:r w:rsidR="00213B80" w:rsidRPr="00213B80">
        <w:t>(B. Ward 2022)</w:t>
      </w:r>
      <w:r w:rsidRPr="00662E51">
        <w:rPr>
          <w:szCs w:val="24"/>
        </w:rPr>
        <w:fldChar w:fldCharType="end"/>
      </w:r>
      <w:r w:rsidRPr="00662E51">
        <w:rPr>
          <w:szCs w:val="24"/>
        </w:rPr>
        <w:t xml:space="preserve">, current Leader Keir Starmer’s leadership has seen a continuation of centralisation. Starmer has been accused of expelling dissident activists and blocking more radical members from running for seats to shore up the party’s electability </w:t>
      </w:r>
      <w:r w:rsidRPr="00662E51">
        <w:rPr>
          <w:szCs w:val="24"/>
        </w:rPr>
        <w:fldChar w:fldCharType="begin"/>
      </w:r>
      <w:r w:rsidR="00814890">
        <w:rPr>
          <w:szCs w:val="24"/>
        </w:rPr>
        <w:instrText xml:space="preserve"> ADDIN ZOTERO_ITEM CSL_CITATION {"citationID":"H81yhh9v","properties":{"formattedCitation":"(Gilbert 2021a, 2023; Holden 2025; Weir 2023)","plainCitation":"(Gilbert 2021a, 2023; Holden 2025; Weir 2023)","noteIndex":0},"citationItems":[{"id":6824,"uris":["http://zotero.org/users/8977980/items/ZVTM8KFG"],"itemData":{"id":6824,"type":"post-weblog","abstract":"Why we shouldn't leave the Labour Party","container-title":"The Educator","language":"en-GB","title":"Why We Shouldn't Leave the Labour Party","title-short":"The Educator","URL":"https://peoplesmomentum.com/newsletters/the-educator/why-we-shouldnt-leave-the-labour-party/","author":[{"family":"Gilbert","given":"Jeremy"}],"accessed":{"date-parts":[["2025",8,8]]},"issued":{"date-parts":[["2021",12,15]]}}},{"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7179,"uris":["http://zotero.org/users/8977980/items/KXFN8SZS"],"itemData":{"id":7179,"type":"book","abstract":"Based on Labour Party files, including some never before publicly seen, this explosive investigation lays bare the intrigues, stratagems and deceits that helped deliver Sir Keir Starmer to Downing Street. Paul Holden shows how Starmer has been the frontman for a ruthless, right-wing political project headed by Morgan McSweeney, now chief of staff in Number 10 and arguably the most powerful man in Britain. Having conquered the party on false pretences, McSweeney and his allies set about purging opponents, marginalising the membership and dragging party policy to the right. These machinations were made possible by financial donations that McSweeney did not disclose - a violation of the law that arguably subverted Britain's democratic system","ISBN":"978-1-68219-598-7","language":"eng","note":"OCLC: 1547942173","publisher":"OR Books","publisher-place":"New York","source":"Open WorldCat","title":"The Fraud: Keir Starmer, Morgan McSweeney, and the crisis of British democracy","title-short":"The fraud","author":[{"family":"Holden","given":"Paul"}],"issued":{"date-parts":[["2025"]]}}},{"id":4558,"uris":["http://zotero.org/users/8977980/items/MRSL45ET"],"itemData":{"id":4558,"type":"article-magazine","abstract":"Labour suspended its own rules to bar popular socialist candidates from standing in yesterday's election in Haringey. Members of its Local Campaign Forum explain why they have resigned following this latest attack on democracy.","container-title":"Tribune","language":"en-GB","title":"Labour’s Haringey Stitch-Up","URL":"https://tribunemag.co.uk/2023/06/labours-haringey-stich-up","author":[{"family":"Weir","given":"Adrian"}],"accessed":{"date-parts":[["2023",7,4]]},"issued":{"date-parts":[["2023",6]]}}}],"schema":"https://github.com/citation-style-language/schema/raw/master/csl-citation.json"} </w:instrText>
      </w:r>
      <w:r w:rsidRPr="00662E51">
        <w:rPr>
          <w:szCs w:val="24"/>
        </w:rPr>
        <w:fldChar w:fldCharType="separate"/>
      </w:r>
      <w:r w:rsidR="00814890" w:rsidRPr="00814890">
        <w:t>(Gilbert 2021a, 2023; Holden 2025; Weir 2023)</w:t>
      </w:r>
      <w:r w:rsidRPr="00662E51">
        <w:rPr>
          <w:szCs w:val="24"/>
        </w:rPr>
        <w:fldChar w:fldCharType="end"/>
      </w:r>
      <w:r w:rsidRPr="00662E51">
        <w:rPr>
          <w:szCs w:val="24"/>
        </w:rPr>
        <w:t xml:space="preserve">. </w:t>
      </w:r>
    </w:p>
    <w:p w14:paraId="7B3BFF26" w14:textId="31D7854A" w:rsidR="000808C7" w:rsidRPr="00662E51" w:rsidRDefault="000808C7" w:rsidP="000808C7">
      <w:pPr>
        <w:spacing w:line="360" w:lineRule="auto"/>
        <w:ind w:left="0" w:firstLine="720"/>
        <w:rPr>
          <w:szCs w:val="24"/>
        </w:rPr>
      </w:pPr>
      <w:r w:rsidRPr="00662E51">
        <w:rPr>
          <w:szCs w:val="24"/>
        </w:rPr>
        <w:t xml:space="preserve">Critical perspectives of the Labour Party frequently refer to Ralph Miliband’s </w:t>
      </w:r>
      <w:r w:rsidRPr="00662E51">
        <w:rPr>
          <w:szCs w:val="24"/>
        </w:rPr>
        <w:fldChar w:fldCharType="begin"/>
      </w:r>
      <w:r w:rsidRPr="00662E51">
        <w:rPr>
          <w:szCs w:val="24"/>
        </w:rPr>
        <w:instrText xml:space="preserve"> ADDIN ZOTERO_ITEM CSL_CITATION {"citationID":"di8crUWw","properties":{"formattedCitation":"(1973)","plainCitation":"(1973)","noteIndex":0},"citationItems":[{"id":6775,"uris":["http://zotero.org/users/8977980/items/WA9H2UEI"],"itemData":{"id":6775,"type":"book","call-number":"324.24107 MIL","edition":"2d ed.","ISBN":"978-0-85036-135-3","language":"eng","number-of-pages":"384","publisher":"Merlin Press","publisher-place":"London","source":"discover.durham.ac.uk","title":"Parliamentary socialism: a study in the politics of Labour","title-short":"Parliamentary socialism","author":[{"family":"Miliband","given":"Ralph"}],"issued":{"date-parts":[["1973"]]}},"label":"page","suppress-author":true}],"schema":"https://github.com/citation-style-language/schema/raw/master/csl-citation.json"} </w:instrText>
      </w:r>
      <w:r w:rsidRPr="00662E51">
        <w:rPr>
          <w:szCs w:val="24"/>
        </w:rPr>
        <w:fldChar w:fldCharType="separate"/>
      </w:r>
      <w:r w:rsidRPr="00662E51">
        <w:t>(1973)</w:t>
      </w:r>
      <w:r w:rsidRPr="00662E51">
        <w:rPr>
          <w:szCs w:val="24"/>
        </w:rPr>
        <w:fldChar w:fldCharType="end"/>
      </w:r>
      <w:r w:rsidRPr="00662E51">
        <w:rPr>
          <w:szCs w:val="24"/>
        </w:rPr>
        <w:t xml:space="preserve"> view of the party as a ‘parliamentary socialist’ one (in his book, </w:t>
      </w:r>
      <w:r w:rsidRPr="00662E51">
        <w:rPr>
          <w:i/>
          <w:iCs/>
          <w:szCs w:val="24"/>
        </w:rPr>
        <w:t>Parliamentary Socialism</w:t>
      </w:r>
      <w:r w:rsidRPr="00662E51">
        <w:rPr>
          <w:szCs w:val="24"/>
        </w:rPr>
        <w:t xml:space="preserve">): the party as a whole stresses formal electoral and institutional theories of change, thereby bracketing out other (i.e., radical and/or revolutionary) politics. The parliamentary socialist view is a broad one; it chiefly refers to manoeuvres at the highest level of the party </w:t>
      </w:r>
      <w:r w:rsidRPr="00662E51">
        <w:rPr>
          <w:szCs w:val="24"/>
        </w:rPr>
        <w:fldChar w:fldCharType="begin"/>
      </w:r>
      <w:r w:rsidRPr="00662E51">
        <w:rPr>
          <w:szCs w:val="24"/>
        </w:rPr>
        <w:instrText xml:space="preserve"> ADDIN ZOTERO_ITEM CSL_CITATION {"citationID":"KDmToqao","properties":{"formattedCitation":"(Newman 2018)","plainCitation":"(Newman 2018)","noteIndex":0},"citationItems":[{"id":6774,"uris":["http://zotero.org/users/8977980/items/MTDPWABP"],"itemData":{"id":6774,"type":"chapter","container-title":"Interpreting the Labour Party","ISBN":"978-1-5261-3745-6","language":"en","page":"57-70","publisher":"Manchester University Press","source":"www.degruyterbrill.com","title":"Ralph Miliband and the Labour Party: From Parliamentary Socialism to ‘Bennism’","title-short":"4 Ralph Miliband and the Labour Party","URL":"https://www.degruyterbrill.com/document/doi/10.7765/9781526137456.00010/html?srsltid=AfmBOorM3r43cTF_IZLJnPll81LdTKEguUlkUQ6ryJTqN_raP5JKKw_u","author":[{"family":"Newman","given":"Michael"}],"editor":[{"family":"Callaghan","given":"John"},{"family":"Fielding","given":"Steven"},{"family":"Ludlam","given":"Steve"}],"accessed":{"date-parts":[["2025",7,21]]},"issued":{"date-parts":[["2018",7,30]]}}}],"schema":"https://github.com/citation-style-language/schema/raw/master/csl-citation.json"} </w:instrText>
      </w:r>
      <w:r w:rsidRPr="00662E51">
        <w:rPr>
          <w:szCs w:val="24"/>
        </w:rPr>
        <w:fldChar w:fldCharType="separate"/>
      </w:r>
      <w:r w:rsidRPr="00662E51">
        <w:t>(Newman 2018)</w:t>
      </w:r>
      <w:r w:rsidRPr="00662E51">
        <w:rPr>
          <w:szCs w:val="24"/>
        </w:rPr>
        <w:fldChar w:fldCharType="end"/>
      </w:r>
      <w:r w:rsidRPr="00662E51">
        <w:rPr>
          <w:szCs w:val="24"/>
        </w:rPr>
        <w:t xml:space="preserve">. </w:t>
      </w:r>
      <w:r w:rsidR="0045314B" w:rsidRPr="00662E51">
        <w:rPr>
          <w:szCs w:val="24"/>
        </w:rPr>
        <w:t>Yet</w:t>
      </w:r>
      <w:r w:rsidRPr="00662E51">
        <w:rPr>
          <w:szCs w:val="24"/>
        </w:rPr>
        <w:t xml:space="preserve"> parliamentary socialism does not describe merely a failure of the party’s (often right-wing) leaders. Rather, even the Labour Left itself sees parliament as the only acceptable vehicle for action. Hobsbawm </w:t>
      </w:r>
      <w:r w:rsidRPr="00662E51">
        <w:rPr>
          <w:szCs w:val="24"/>
        </w:rPr>
        <w:fldChar w:fldCharType="begin"/>
      </w:r>
      <w:r w:rsidRPr="00662E51">
        <w:rPr>
          <w:szCs w:val="24"/>
        </w:rPr>
        <w:instrText xml:space="preserve"> ADDIN ZOTERO_ITEM CSL_CITATION {"citationID":"MhCx4Bx0","properties":{"formattedCitation":"(1961)","plainCitation":"(1961)","noteIndex":0},"citationItems":[{"id":6847,"uris":["http://zotero.org/users/8977980/items/KVK3G3MK"],"itemData":{"id":6847,"type":"article-journal","abstract":"Parliamentary Socialism,","container-title":"New Left Review","issue":"I/12","journalAbbreviation":"New Left Rev","page":"64-66","source":"New Left Review","title":"Parliamentary Cretinism?","author":[{"family":"Hobsbawm","given":"Eric"}],"issued":{"date-parts":[["1961",12,1]]}},"label":"page","suppress-author":true}],"schema":"https://github.com/citation-style-language/schema/raw/master/csl-citation.json"} </w:instrText>
      </w:r>
      <w:r w:rsidRPr="00662E51">
        <w:rPr>
          <w:szCs w:val="24"/>
        </w:rPr>
        <w:fldChar w:fldCharType="separate"/>
      </w:r>
      <w:r w:rsidRPr="00662E51">
        <w:t>(1961)</w:t>
      </w:r>
      <w:r w:rsidRPr="00662E51">
        <w:rPr>
          <w:szCs w:val="24"/>
        </w:rPr>
        <w:fldChar w:fldCharType="end"/>
      </w:r>
      <w:r w:rsidRPr="00662E51">
        <w:rPr>
          <w:szCs w:val="24"/>
        </w:rPr>
        <w:t xml:space="preserve"> explains that the Labour Left uncritically accepts “the assumption that the basic tasks of the labour movement is </w:t>
      </w:r>
      <w:r w:rsidRPr="00662E51">
        <w:rPr>
          <w:i/>
          <w:iCs/>
          <w:szCs w:val="24"/>
        </w:rPr>
        <w:t>in practice</w:t>
      </w:r>
      <w:r w:rsidRPr="00662E51">
        <w:rPr>
          <w:szCs w:val="24"/>
        </w:rPr>
        <w:t xml:space="preserve"> modest reform rather than ambitious social change,” </w:t>
      </w:r>
      <w:r w:rsidR="00562971">
        <w:rPr>
          <w:szCs w:val="24"/>
        </w:rPr>
        <w:t xml:space="preserve">asserting </w:t>
      </w:r>
      <w:r w:rsidRPr="00662E51">
        <w:rPr>
          <w:szCs w:val="24"/>
        </w:rPr>
        <w:t xml:space="preserve">that even the majority of the Labour membership fall afoul of this assumption. Rising from a collection of socialist organisations, co-operatives, trade unions, and social reformers, the Labour Party has admittedly always existed with strong internal tensions with respect to the focus of the party’s overall strategy. As Wainwright </w:t>
      </w:r>
      <w:r w:rsidRPr="00662E51">
        <w:rPr>
          <w:szCs w:val="24"/>
        </w:rPr>
        <w:fldChar w:fldCharType="begin"/>
      </w:r>
      <w:r w:rsidR="00F15CF8">
        <w:rPr>
          <w:szCs w:val="24"/>
        </w:rPr>
        <w:instrText xml:space="preserve"> ADDIN ZOTERO_ITEM CSL_CITATION {"citationID":"brDYExvx","properties":{"formattedCitation":"(1987, 2022)","plainCitation":"(1987, 2022)","noteIndex":0},"citationItems":[{"id":6851,"uris":["http://zotero.org/users/8977980/items/2UVLUQSY"],"itemData":{"id":6851,"type":"book","call-number":"324.24107 WAI","ISBN":"978-0-7012-0778-6","language":"eng","publisher":"Hogarth","publisher-place":"London","source":"discover.durham.ac.uk","title":"Labour: a tale of two parties","title-short":"Labour","author":[{"family":"Wainwright","given":"Hilary"}],"issued":{"date-parts":[["1987"]]}},"label":"page","suppress-author":true},{"id":6852,"uris":["http://zotero.org/users/8977980/items/M7LLERA3"],"itemData":{"id":6852,"type":"chapter","abstract":"Neil Kinnock's leadership marked the end of Labour as a ‘broad church’ and the beginning of Labour as a tale of two parties. Tom Nairn highlights this as a fundamental bulwark to a political system, that, he wrote impatiently in 1977, ‘makes it next to impossible to obtain any new departure from within the system’. The different analysis of 1983 provided by Heath, Jowell and Curtice is interesting as a guide to future strategy, rather than attributing blame, in that it seeks to understand the changes and complexity in public opinion and how this relates to the ways they vote. It was at the ‘Family Funday’ on the Sunday before polling; children covered with ‘Vote Labour’ stickers were milling around the entrance to the Islington Business Centre, stewards with bleepers were cheerily checking the tickets of those wishing to go in. Inside the fun was well organised, nothing left to chance.","container-title":"Neil Kinnock","ISBN":"978-1-003-25439-3","note":"number-of-pages: 8","publisher":"Routledge","title":"A Tale of Two Parties Revisited","author":[{"family":"Wainwright","given":"Hilary"}],"issued":{"date-parts":[["2022"]]}},"label":"page","suppress-author":true}],"schema":"https://github.com/citation-style-language/schema/raw/master/csl-citation.json"} </w:instrText>
      </w:r>
      <w:r w:rsidRPr="00662E51">
        <w:rPr>
          <w:szCs w:val="24"/>
        </w:rPr>
        <w:fldChar w:fldCharType="separate"/>
      </w:r>
      <w:r w:rsidR="00F15CF8" w:rsidRPr="00F15CF8">
        <w:t>(1987, 2022)</w:t>
      </w:r>
      <w:r w:rsidRPr="00662E51">
        <w:rPr>
          <w:szCs w:val="24"/>
        </w:rPr>
        <w:fldChar w:fldCharType="end"/>
      </w:r>
      <w:r w:rsidRPr="00662E51">
        <w:rPr>
          <w:szCs w:val="24"/>
        </w:rPr>
        <w:t xml:space="preserve"> describes, this has often meant that Labour party officials prioritise attacking the party’s radical wing over other objectives—a trend that has continued through Corbyn’s rise and fall as Leader </w:t>
      </w:r>
      <w:r w:rsidRPr="00662E51">
        <w:rPr>
          <w:szCs w:val="24"/>
        </w:rPr>
        <w:fldChar w:fldCharType="begin"/>
      </w:r>
      <w:r w:rsidRPr="00662E51">
        <w:rPr>
          <w:szCs w:val="24"/>
        </w:rPr>
        <w:instrText xml:space="preserve"> ADDIN ZOTERO_ITEM CSL_CITATION {"citationID":"616E2o47","properties":{"formattedCitation":"(Gilbert 2021b)","plainCitation":"(Gilbert 2021b)","noteIndex":0},"citationItems":[{"id":6849,"uris":["http://zotero.org/users/8977980/items/YAP2QWWD"],"itemData":{"id":6849,"type":"article-journal","abstract":"One of the most striking features of Labour Party politics during the years of Jeremy Corbyn's leadership was the recalcitrant lack of cooperation that he received from many Labour MPs, even after his remarkable success in the 2017 general election. This article systematically examines a number of possible explanations for this behaviour, including genuine divisions within the party over the issue of institutional anti-semitism and over the politics of Brexit. Ultimately, it concludes that the most plausible explanation for MPs’ opposition to Corbyn is simply the lack of material motivation for many of Labour's elected representatives and officials to pursue the end of a Labour government led by a political faction with which they themselves are not aligned.","container-title":"The Political Quarterly","DOI":"10.1111/1467-923X.13015","ISSN":"1467-923X","issue":"2","language":"en","license":"© 2021 The Authors. The Political Quarterly published by John Wiley &amp; Sons Ltd on behalf of Political Quarterly Publishing Co (PQPC).","note":"_eprint: https://onlinelibrary.wiley.com/doi/pdf/10.1111/1467-923X.13015","page":"202-210","source":"Wiley Online Library","title":"Why Wouldn't They Be Reconciled? Corbyn's Leadership and the Recalcitrance of the Parliamentary Labour Party","title-short":"Why Wouldn't They Be Reconciled?","volume":"92","author":[{"family":"Gilbert","given":"Jeremy"}],"issued":{"date-parts":[["2021"]]}}}],"schema":"https://github.com/citation-style-language/schema/raw/master/csl-citation.json"} </w:instrText>
      </w:r>
      <w:r w:rsidRPr="00662E51">
        <w:rPr>
          <w:szCs w:val="24"/>
        </w:rPr>
        <w:fldChar w:fldCharType="separate"/>
      </w:r>
      <w:r w:rsidRPr="00662E51">
        <w:t>(Gilbert 2021b)</w:t>
      </w:r>
      <w:r w:rsidRPr="00662E51">
        <w:rPr>
          <w:szCs w:val="24"/>
        </w:rPr>
        <w:fldChar w:fldCharType="end"/>
      </w:r>
      <w:r w:rsidRPr="00662E51">
        <w:rPr>
          <w:szCs w:val="24"/>
        </w:rPr>
        <w:t xml:space="preserve">. </w:t>
      </w:r>
    </w:p>
    <w:p w14:paraId="47B85D40" w14:textId="2812F1B9" w:rsidR="000808C7" w:rsidRPr="00662E51" w:rsidRDefault="000808C7" w:rsidP="000808C7">
      <w:pPr>
        <w:spacing w:line="360" w:lineRule="auto"/>
        <w:ind w:left="0" w:firstLine="720"/>
        <w:rPr>
          <w:szCs w:val="24"/>
        </w:rPr>
      </w:pPr>
      <w:r w:rsidRPr="00662E51">
        <w:rPr>
          <w:szCs w:val="24"/>
        </w:rPr>
        <w:t xml:space="preserve">Research on local Labour Parties has found similar dynamics. Ormerod’s </w:t>
      </w:r>
      <w:r w:rsidRPr="00662E51">
        <w:rPr>
          <w:szCs w:val="24"/>
        </w:rPr>
        <w:fldChar w:fldCharType="begin"/>
      </w:r>
      <w:r w:rsidR="00F15CF8">
        <w:rPr>
          <w:szCs w:val="24"/>
        </w:rPr>
        <w:instrText xml:space="preserve"> ADDIN ZOTERO_ITEM CSL_CITATION {"citationID":"XNlj4LPc","properties":{"formattedCitation":"(2017, 2021)","plainCitation":"(2017, 2021)","noteIndex":0},"citationItems":[{"id":6579,"uris":["http://zotero.org/users/8977980/items/UYJQMU9X"],"itemData":{"id":6579,"type":"thesis","abstract":"Housing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label":"page","suppress-author":true},{"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abel":"page","suppress-author":true}],"schema":"https://github.com/citation-style-language/schema/raw/master/csl-citation.json"} </w:instrText>
      </w:r>
      <w:r w:rsidRPr="00662E51">
        <w:rPr>
          <w:szCs w:val="24"/>
        </w:rPr>
        <w:fldChar w:fldCharType="separate"/>
      </w:r>
      <w:r w:rsidR="00F15CF8" w:rsidRPr="00F15CF8">
        <w:t>(2017, 2021)</w:t>
      </w:r>
      <w:r w:rsidRPr="00662E51">
        <w:rPr>
          <w:szCs w:val="24"/>
        </w:rPr>
        <w:fldChar w:fldCharType="end"/>
      </w:r>
      <w:r w:rsidRPr="00662E51">
        <w:rPr>
          <w:szCs w:val="24"/>
        </w:rPr>
        <w:t xml:space="preserve"> exploration of Gateshead, Tyneside and Cockburn’s </w:t>
      </w:r>
      <w:r w:rsidRPr="00662E51">
        <w:rPr>
          <w:szCs w:val="24"/>
        </w:rPr>
        <w:fldChar w:fldCharType="begin"/>
      </w:r>
      <w:r w:rsidRPr="00662E51">
        <w:rPr>
          <w:szCs w:val="24"/>
        </w:rPr>
        <w:instrText xml:space="preserve"> ADDIN ZOTERO_ITEM CSL_CITATION {"citationID":"rpaLnWhv","properties":{"formattedCitation":"(1980)","plainCitation":"(1980)","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state","author":[{"family":"Cockburn","given":"Cynthia"}],"issued":{"date-parts":[["1980"]]}},"label":"page","suppress-author":true}],"schema":"https://github.com/citation-style-language/schema/raw/master/csl-citation.json"} </w:instrText>
      </w:r>
      <w:r w:rsidRPr="00662E51">
        <w:rPr>
          <w:szCs w:val="24"/>
        </w:rPr>
        <w:fldChar w:fldCharType="separate"/>
      </w:r>
      <w:r w:rsidRPr="00662E51">
        <w:t>(1980)</w:t>
      </w:r>
      <w:r w:rsidRPr="00662E51">
        <w:rPr>
          <w:szCs w:val="24"/>
        </w:rPr>
        <w:fldChar w:fldCharType="end"/>
      </w:r>
      <w:r w:rsidRPr="00662E51">
        <w:rPr>
          <w:szCs w:val="24"/>
        </w:rPr>
        <w:t xml:space="preserve"> study of the London Borough of Lambeth reveal how the structures of the Labour Party (both nationally and locally) function to narrow spaces of dissent to the party, bracketing out other forms of </w:t>
      </w:r>
      <w:r w:rsidR="00430358">
        <w:rPr>
          <w:szCs w:val="24"/>
        </w:rPr>
        <w:t xml:space="preserve">radical and revolutionary </w:t>
      </w:r>
      <w:r w:rsidRPr="00662E51">
        <w:rPr>
          <w:szCs w:val="24"/>
        </w:rPr>
        <w:t xml:space="preserve">politics. One illustration is in resistance to urban development, which political actors often describe as illegitimate, unless it occurs through the structures of the Labour Party. For instance, Ormerod </w:t>
      </w:r>
      <w:r w:rsidRPr="00662E51">
        <w:rPr>
          <w:szCs w:val="24"/>
        </w:rPr>
        <w:fldChar w:fldCharType="begin"/>
      </w:r>
      <w:r w:rsidR="00F15CF8">
        <w:rPr>
          <w:szCs w:val="24"/>
        </w:rPr>
        <w:instrText xml:space="preserve"> ADDIN ZOTERO_ITEM CSL_CITATION {"citationID":"pcmop7xS","properties":{"formattedCitation":"(2017, 2021)","plainCitation":"(2017, 2021)","noteIndex":0},"citationItems":[{"id":6579,"uris":["http://zotero.org/users/8977980/items/UYJQMU9X"],"itemData":{"id":6579,"type":"thesis","abstract":"Housing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label":"page","suppress-author":true},{"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abel":"page","suppress-author":true}],"schema":"https://github.com/citation-style-language/schema/raw/master/csl-citation.json"} </w:instrText>
      </w:r>
      <w:r w:rsidRPr="00662E51">
        <w:rPr>
          <w:szCs w:val="24"/>
        </w:rPr>
        <w:fldChar w:fldCharType="separate"/>
      </w:r>
      <w:r w:rsidR="00F15CF8" w:rsidRPr="00F15CF8">
        <w:t>(2017, 2021)</w:t>
      </w:r>
      <w:r w:rsidRPr="00662E51">
        <w:rPr>
          <w:szCs w:val="24"/>
        </w:rPr>
        <w:fldChar w:fldCharType="end"/>
      </w:r>
      <w:r w:rsidRPr="00662E51">
        <w:rPr>
          <w:szCs w:val="24"/>
        </w:rPr>
        <w:t xml:space="preserve">  found that Labour politicians labelled residents organising against regeneration as </w:t>
      </w:r>
      <w:r w:rsidRPr="00662E51">
        <w:rPr>
          <w:i/>
          <w:iCs/>
          <w:szCs w:val="24"/>
        </w:rPr>
        <w:t>political</w:t>
      </w:r>
      <w:r w:rsidRPr="00662E51">
        <w:rPr>
          <w:szCs w:val="24"/>
        </w:rPr>
        <w:t xml:space="preserve">—while labelling the state’s </w:t>
      </w:r>
      <w:r w:rsidRPr="00662E51">
        <w:rPr>
          <w:szCs w:val="24"/>
        </w:rPr>
        <w:lastRenderedPageBreak/>
        <w:t xml:space="preserve">community engagement as </w:t>
      </w:r>
      <w:r w:rsidRPr="00662E51">
        <w:rPr>
          <w:i/>
          <w:iCs/>
          <w:szCs w:val="24"/>
        </w:rPr>
        <w:t>non-political</w:t>
      </w:r>
      <w:r w:rsidRPr="00662E51">
        <w:rPr>
          <w:szCs w:val="24"/>
        </w:rPr>
        <w:t xml:space="preserve">. Such positioning works at two levels. First, it subsequently positions backing for regeneration </w:t>
      </w:r>
      <w:r w:rsidRPr="00662E51">
        <w:rPr>
          <w:szCs w:val="24"/>
        </w:rPr>
        <w:fldChar w:fldCharType="begin"/>
      </w:r>
      <w:r w:rsidRPr="00662E51">
        <w:rPr>
          <w:szCs w:val="24"/>
        </w:rPr>
        <w:instrText xml:space="preserve"> ADDIN ZOTERO_ITEM CSL_CITATION {"citationID":"JRo2Awby","properties":{"formattedCitation":"(which was likely inflated by the council; Ormerod and MacLeod 2019)","plainCitation":"(which was likely inflated by the council; Ormerod and MacLeod 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governance","volume":"18","author":[{"family":"Ormerod","given":"Emma"},{"family":"MacLeod","given":"Gordon"}],"issued":{"date-parts":[["2019",8,1]]}},"label":"page","prefix":"which was likely inflated by the council;"}],"schema":"https://github.com/citation-style-language/schema/raw/master/csl-citation.json"} </w:instrText>
      </w:r>
      <w:r w:rsidRPr="00662E51">
        <w:rPr>
          <w:szCs w:val="24"/>
        </w:rPr>
        <w:fldChar w:fldCharType="separate"/>
      </w:r>
      <w:r w:rsidRPr="00662E51">
        <w:t>(which was likely inflated by the council; Ormerod and MacLeod 2019)</w:t>
      </w:r>
      <w:r w:rsidRPr="00662E51">
        <w:rPr>
          <w:szCs w:val="24"/>
        </w:rPr>
        <w:fldChar w:fldCharType="end"/>
      </w:r>
      <w:r w:rsidRPr="00662E51">
        <w:rPr>
          <w:szCs w:val="24"/>
        </w:rPr>
        <w:t xml:space="preserve"> as representative of </w:t>
      </w:r>
      <w:r w:rsidR="007F536D">
        <w:rPr>
          <w:szCs w:val="24"/>
        </w:rPr>
        <w:t>the Gateshead community as whole</w:t>
      </w:r>
      <w:r w:rsidRPr="00662E51">
        <w:rPr>
          <w:szCs w:val="24"/>
        </w:rPr>
        <w:t>—even though disagreeing residents</w:t>
      </w:r>
      <w:r w:rsidR="00EE4D6B">
        <w:rPr>
          <w:szCs w:val="24"/>
        </w:rPr>
        <w:t xml:space="preserve"> by definition were</w:t>
      </w:r>
      <w:r w:rsidRPr="00662E51">
        <w:rPr>
          <w:szCs w:val="24"/>
        </w:rPr>
        <w:t xml:space="preserve"> members of the community—and thus as </w:t>
      </w:r>
      <w:r w:rsidRPr="00335F64">
        <w:rPr>
          <w:i/>
          <w:iCs/>
          <w:szCs w:val="24"/>
        </w:rPr>
        <w:t>beyond</w:t>
      </w:r>
      <w:r w:rsidRPr="00662E51">
        <w:rPr>
          <w:szCs w:val="24"/>
        </w:rPr>
        <w:t xml:space="preserve"> politics. Second, because Gateshead is similarly a Labour stronghold, it functionally requires politics to happen through the party. That is, any resistance to decisions made by the party is depicted as </w:t>
      </w:r>
      <w:r w:rsidRPr="00662E51">
        <w:rPr>
          <w:i/>
          <w:iCs/>
          <w:szCs w:val="24"/>
        </w:rPr>
        <w:t>too politically charged</w:t>
      </w:r>
      <w:r w:rsidRPr="00662E51">
        <w:rPr>
          <w:szCs w:val="24"/>
        </w:rPr>
        <w:t xml:space="preserve"> and therefore outside the bounds of proper channels </w:t>
      </w:r>
      <w:r w:rsidRPr="00662E51">
        <w:rPr>
          <w:szCs w:val="24"/>
        </w:rPr>
        <w:fldChar w:fldCharType="begin"/>
      </w:r>
      <w:r w:rsidRPr="00662E51">
        <w:rPr>
          <w:szCs w:val="24"/>
        </w:rPr>
        <w:instrText xml:space="preserve"> ADDIN ZOTERO_ITEM CSL_CITATION {"citationID":"St9EWELz","properties":{"formattedCitation":"(Ormerod and MacLeod 2019)","plainCitation":"(Ormerod and MacLeod 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Pr="00662E51">
        <w:t>(Ormerod and MacLeod 2019)</w:t>
      </w:r>
      <w:r w:rsidRPr="00662E51">
        <w:rPr>
          <w:szCs w:val="24"/>
        </w:rPr>
        <w:fldChar w:fldCharType="end"/>
      </w:r>
      <w:r w:rsidRPr="00662E51">
        <w:rPr>
          <w:szCs w:val="24"/>
        </w:rPr>
        <w:t xml:space="preserve">. Progressing </w:t>
      </w:r>
      <w:r w:rsidR="00956D94">
        <w:rPr>
          <w:szCs w:val="24"/>
        </w:rPr>
        <w:t>comparably</w:t>
      </w:r>
      <w:r w:rsidRPr="00662E51">
        <w:rPr>
          <w:szCs w:val="24"/>
        </w:rPr>
        <w:t xml:space="preserve">, Cockburn </w:t>
      </w:r>
      <w:r w:rsidRPr="00662E51">
        <w:rPr>
          <w:szCs w:val="24"/>
        </w:rPr>
        <w:fldChar w:fldCharType="begin"/>
      </w:r>
      <w:r w:rsidRPr="00662E51">
        <w:rPr>
          <w:szCs w:val="24"/>
        </w:rPr>
        <w:instrText xml:space="preserve"> ADDIN ZOTERO_ITEM CSL_CITATION {"citationID":"TBZQ81gz","properties":{"formattedCitation":"(1980)","plainCitation":"(1980)","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state","author":[{"family":"Cockburn","given":"Cynthia"}],"issued":{"date-parts":[["1980"]]}},"label":"page","suppress-author":true}],"schema":"https://github.com/citation-style-language/schema/raw/master/csl-citation.json"} </w:instrText>
      </w:r>
      <w:r w:rsidRPr="00662E51">
        <w:rPr>
          <w:szCs w:val="24"/>
        </w:rPr>
        <w:fldChar w:fldCharType="separate"/>
      </w:r>
      <w:r w:rsidRPr="00662E51">
        <w:t>(1980)</w:t>
      </w:r>
      <w:r w:rsidRPr="00662E51">
        <w:rPr>
          <w:szCs w:val="24"/>
        </w:rPr>
        <w:fldChar w:fldCharType="end"/>
      </w:r>
      <w:r w:rsidRPr="00662E51">
        <w:rPr>
          <w:szCs w:val="24"/>
        </w:rPr>
        <w:t xml:space="preserve"> considers Lambeth (another Labour stronghold) under managerial reforms in the 1970s, which she contends undermined democratic accountability and the radicality of some local government found in the 1960s. Across both works, Labour-run councils are frequently selective, closed off, and unresponsive. Councillors are portrayed as uninterested in the will of their nominal constituents or even other ordinary members of the party. Instead, like their national counterpart, Labour councils tend to prioritise formal and electoral processes as the only way to achieve political change—thereby narrowing spaces for disagreement </w:t>
      </w:r>
      <w:r w:rsidRPr="00662E51">
        <w:rPr>
          <w:szCs w:val="24"/>
        </w:rPr>
        <w:fldChar w:fldCharType="begin"/>
      </w:r>
      <w:r w:rsidR="00F15CF8">
        <w:rPr>
          <w:szCs w:val="24"/>
        </w:rPr>
        <w:instrText xml:space="preserve"> ADDIN ZOTERO_ITEM CSL_CITATION {"citationID":"VqTESNqU","properties":{"formattedCitation":"(Copus 2004, 2015, 2023)","plainCitation":"(Copus 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label":"page"}],"schema":"https://github.com/citation-style-language/schema/raw/master/csl-citation.json"} </w:instrText>
      </w:r>
      <w:r w:rsidRPr="00662E51">
        <w:rPr>
          <w:szCs w:val="24"/>
        </w:rPr>
        <w:fldChar w:fldCharType="separate"/>
      </w:r>
      <w:r w:rsidR="00F15CF8" w:rsidRPr="00F15CF8">
        <w:t>(Copus 2004, 2015, 2023)</w:t>
      </w:r>
      <w:r w:rsidRPr="00662E51">
        <w:rPr>
          <w:szCs w:val="24"/>
        </w:rPr>
        <w:fldChar w:fldCharType="end"/>
      </w:r>
      <w:r w:rsidRPr="00662E51">
        <w:rPr>
          <w:szCs w:val="24"/>
        </w:rPr>
        <w:t xml:space="preserve">. This line of thinking tends to accentuate the importance of party </w:t>
      </w:r>
      <w:r w:rsidRPr="00662E51">
        <w:rPr>
          <w:i/>
          <w:iCs/>
          <w:szCs w:val="24"/>
        </w:rPr>
        <w:t>structure</w:t>
      </w:r>
      <w:r w:rsidRPr="00662E51">
        <w:rPr>
          <w:szCs w:val="24"/>
        </w:rPr>
        <w:t xml:space="preserve"> as one of those narrowing mechanisms. Beholden to a small subset of the wider electorate, working within a mindset of parliamentary socialism, hemmed in by the formal and informal rules of a scaled party </w:t>
      </w:r>
      <w:r w:rsidRPr="00662E51">
        <w:rPr>
          <w:szCs w:val="24"/>
        </w:rPr>
        <w:fldChar w:fldCharType="begin"/>
      </w:r>
      <w:r w:rsidR="001B2CAA">
        <w:rPr>
          <w:szCs w:val="24"/>
        </w:rPr>
        <w:instrText xml:space="preserve"> ADDIN ZOTERO_ITEM CSL_CITATION {"citationID":"9QDl59fO","properties":{"formattedCitation":"(J. Scott and Wills 2017)","plainCitation":"(J. Scott and Wills 2017)","noteIndex":0},"citationItems":[{"id":"n0Saldgp/SMymUFlz","uris":["http://zotero.org/users/8977980/items/L74AUTZ7"],"itemData":{"id":"113FkuAt/yVpuHAoO","type":"article-journal","abstract":"This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Pr="00662E51">
        <w:rPr>
          <w:szCs w:val="24"/>
        </w:rPr>
        <w:fldChar w:fldCharType="separate"/>
      </w:r>
      <w:r w:rsidR="00213B80" w:rsidRPr="00213B80">
        <w:t>(J. Scott and Wills 2017)</w:t>
      </w:r>
      <w:r w:rsidRPr="00662E51">
        <w:rPr>
          <w:szCs w:val="24"/>
        </w:rPr>
        <w:fldChar w:fldCharType="end"/>
      </w:r>
      <w:r w:rsidRPr="00662E51">
        <w:rPr>
          <w:szCs w:val="24"/>
        </w:rPr>
        <w:t xml:space="preserve">, and staffed with reformists, local party leadership naturally focus on formal processes to implement social reform rather than revolutionary change. This thinking therefore positions local parliamentary socialism as an inherent, intractable problem with the Labour Party. </w:t>
      </w:r>
    </w:p>
    <w:p w14:paraId="06DE3140" w14:textId="70724A6E" w:rsidR="000808C7" w:rsidRPr="00662E51" w:rsidRDefault="000808C7" w:rsidP="000808C7">
      <w:pPr>
        <w:spacing w:line="360" w:lineRule="auto"/>
        <w:ind w:left="0" w:firstLine="720"/>
        <w:rPr>
          <w:szCs w:val="24"/>
        </w:rPr>
      </w:pPr>
      <w:r w:rsidRPr="00662E51">
        <w:rPr>
          <w:szCs w:val="24"/>
        </w:rPr>
        <w:t xml:space="preserve">However, this interpretation criticised as an unnecessary pessimistic viewpoint, with </w:t>
      </w:r>
      <w:r w:rsidR="00AE2476">
        <w:rPr>
          <w:szCs w:val="24"/>
        </w:rPr>
        <w:t xml:space="preserve">R. </w:t>
      </w:r>
      <w:r w:rsidRPr="00662E51">
        <w:rPr>
          <w:szCs w:val="24"/>
        </w:rPr>
        <w:t xml:space="preserve">Miliband’s contemporaries viewing his text as a call to abandon the party altogether </w:t>
      </w:r>
      <w:r w:rsidRPr="00662E51">
        <w:rPr>
          <w:szCs w:val="24"/>
        </w:rPr>
        <w:fldChar w:fldCharType="begin"/>
      </w:r>
      <w:r w:rsidRPr="00662E51">
        <w:rPr>
          <w:szCs w:val="24"/>
        </w:rPr>
        <w:instrText xml:space="preserve"> ADDIN ZOTERO_ITEM CSL_CITATION {"citationID":"wz8xRxFQ","properties":{"formattedCitation":"(Newman 2018)","plainCitation":"(Newman 2018)","noteIndex":0},"citationItems":[{"id":6774,"uris":["http://zotero.org/users/8977980/items/MTDPWABP"],"itemData":{"id":6774,"type":"chapter","container-title":"Interpreting the Labour Party","ISBN":"978-1-5261-3745-6","language":"en","page":"57-70","publisher":"Manchester University Press","source":"www.degruyterbrill.com","title":"Ralph Miliband and the Labour Party: From Parliamentary Socialism to ‘Bennism’","title-short":"4 Ralph Miliband and the Labour Party","URL":"https://www.degruyterbrill.com/document/doi/10.7765/9781526137456.00010/html?srsltid=AfmBOorM3r43cTF_IZLJnPll81LdTKEguUlkUQ6ryJTqN_raP5JKKw_u","author":[{"family":"Newman","given":"Michael"}],"editor":[{"family":"Callaghan","given":"John"},{"family":"Fielding","given":"Steven"},{"family":"Ludlam","given":"Steve"}],"accessed":{"date-parts":[["2025",7,21]]},"issued":{"date-parts":[["2018",7,30]]}}}],"schema":"https://github.com/citation-style-language/schema/raw/master/csl-citation.json"} </w:instrText>
      </w:r>
      <w:r w:rsidRPr="00662E51">
        <w:rPr>
          <w:szCs w:val="24"/>
        </w:rPr>
        <w:fldChar w:fldCharType="separate"/>
      </w:r>
      <w:r w:rsidRPr="00662E51">
        <w:t>(Newman 2018)</w:t>
      </w:r>
      <w:r w:rsidRPr="00662E51">
        <w:rPr>
          <w:szCs w:val="24"/>
        </w:rPr>
        <w:fldChar w:fldCharType="end"/>
      </w:r>
      <w:r w:rsidRPr="00662E51">
        <w:rPr>
          <w:szCs w:val="24"/>
        </w:rPr>
        <w:t xml:space="preserve">. Indeed, Hobsbawm </w:t>
      </w:r>
      <w:r w:rsidRPr="00662E51">
        <w:rPr>
          <w:szCs w:val="24"/>
        </w:rPr>
        <w:fldChar w:fldCharType="begin"/>
      </w:r>
      <w:r w:rsidRPr="00662E51">
        <w:rPr>
          <w:szCs w:val="24"/>
        </w:rPr>
        <w:instrText xml:space="preserve"> ADDIN ZOTERO_ITEM CSL_CITATION {"citationID":"oYBGFx0Y","properties":{"formattedCitation":"(1961)","plainCitation":"(1961)","noteIndex":0},"citationItems":[{"id":6847,"uris":["http://zotero.org/users/8977980/items/KVK3G3MK"],"itemData":{"id":6847,"type":"article-journal","abstract":"Parliamentary Socialism,","container-title":"New Left Review","issue":"I/12","journalAbbreviation":"New Left Rev","page":"64-66","source":"New Left Review","title":"Parliamentary Cretinism?","author":[{"family":"Hobsbawm","given":"Eric"}],"issued":{"date-parts":[["1961",12,1]]}},"suppress-author":true}],"schema":"https://github.com/citation-style-language/schema/raw/master/csl-citation.json"} </w:instrText>
      </w:r>
      <w:r w:rsidRPr="00662E51">
        <w:rPr>
          <w:szCs w:val="24"/>
        </w:rPr>
        <w:fldChar w:fldCharType="separate"/>
      </w:r>
      <w:r w:rsidRPr="00662E51">
        <w:t>(1961)</w:t>
      </w:r>
      <w:r w:rsidRPr="00662E51">
        <w:rPr>
          <w:szCs w:val="24"/>
        </w:rPr>
        <w:fldChar w:fldCharType="end"/>
      </w:r>
      <w:r w:rsidRPr="00662E51">
        <w:rPr>
          <w:szCs w:val="24"/>
        </w:rPr>
        <w:t xml:space="preserve"> asserts that </w:t>
      </w:r>
      <w:r w:rsidRPr="00662E51">
        <w:rPr>
          <w:i/>
          <w:iCs/>
          <w:szCs w:val="24"/>
        </w:rPr>
        <w:t>Parliamentary Socialism</w:t>
      </w:r>
      <w:r w:rsidRPr="00662E51">
        <w:rPr>
          <w:szCs w:val="24"/>
        </w:rPr>
        <w:t xml:space="preserve"> is a call to revamp Labour, recognising that although it falls short of its stated democratic socialist goals, the party still plays an important role in British politics. This line of argumentation reflects Gilbert’s </w:t>
      </w:r>
      <w:r w:rsidRPr="00662E51">
        <w:rPr>
          <w:szCs w:val="24"/>
        </w:rPr>
        <w:fldChar w:fldCharType="begin"/>
      </w:r>
      <w:r w:rsidRPr="00662E51">
        <w:rPr>
          <w:szCs w:val="24"/>
        </w:rPr>
        <w:instrText xml:space="preserve"> ADDIN ZOTERO_ITEM CSL_CITATION {"citationID":"j5bMlmiI","properties":{"formattedCitation":"(2021a)","plainCitation":"(2021a)","noteIndex":0},"citationItems":[{"id":6824,"uris":["http://zotero.org/users/8977980/items/ZVTM8KFG"],"itemData":{"id":6824,"type":"post-weblog","abstract":"Why we shouldn't leave the Labour Party","container-title":"The Educator","language":"en-GB","title":"Why We Shouldn't Leave the Labour Party","title-short":"The Educator","URL":"https://peoplesmomentum.com/newsletters/the-educator/why-we-shouldnt-leave-the-labour-party/","author":[{"family":"Gilbert","given":"Jeremy"}],"accessed":{"date-parts":[["2025",8,8]]},"issued":{"date-parts":[["2021",12,15]]}},"suppress-author":true}],"schema":"https://github.com/citation-style-language/schema/raw/master/csl-citation.json"} </w:instrText>
      </w:r>
      <w:r w:rsidRPr="00662E51">
        <w:rPr>
          <w:szCs w:val="24"/>
        </w:rPr>
        <w:fldChar w:fldCharType="separate"/>
      </w:r>
      <w:r w:rsidRPr="00662E51">
        <w:t>(2021a)</w:t>
      </w:r>
      <w:r w:rsidRPr="00662E51">
        <w:rPr>
          <w:szCs w:val="24"/>
        </w:rPr>
        <w:fldChar w:fldCharType="end"/>
      </w:r>
      <w:r w:rsidRPr="00662E51">
        <w:rPr>
          <w:szCs w:val="24"/>
        </w:rPr>
        <w:t xml:space="preserve"> pithy claim that the Labour Party is </w:t>
      </w:r>
      <w:r w:rsidRPr="00662E51">
        <w:rPr>
          <w:i/>
          <w:iCs/>
          <w:szCs w:val="24"/>
        </w:rPr>
        <w:t>not</w:t>
      </w:r>
      <w:r w:rsidRPr="00662E51">
        <w:rPr>
          <w:szCs w:val="24"/>
        </w:rPr>
        <w:t xml:space="preserve"> “a football team that you support, but might </w:t>
      </w:r>
      <w:r w:rsidRPr="00662E51">
        <w:rPr>
          <w:szCs w:val="24"/>
        </w:rPr>
        <w:lastRenderedPageBreak/>
        <w:t xml:space="preserve">stop supporting”; instead, the Party itself is </w:t>
      </w:r>
      <w:r w:rsidRPr="00662E51">
        <w:rPr>
          <w:i/>
          <w:iCs/>
          <w:szCs w:val="24"/>
        </w:rPr>
        <w:t>instead</w:t>
      </w:r>
      <w:r w:rsidRPr="00662E51">
        <w:rPr>
          <w:szCs w:val="24"/>
        </w:rPr>
        <w:t xml:space="preserve"> “the very pitch upon which the game is played.” That is, we should not assume that the rules and structures of the Party are necessarily determinative. Put differently, the Party’s “structure, form and organisational shape provide a </w:t>
      </w:r>
      <w:r w:rsidRPr="00662E51">
        <w:rPr>
          <w:i/>
          <w:iCs/>
          <w:szCs w:val="24"/>
        </w:rPr>
        <w:t>theatre</w:t>
      </w:r>
      <w:r w:rsidRPr="00662E51">
        <w:rPr>
          <w:szCs w:val="24"/>
        </w:rPr>
        <w:t xml:space="preserve">” in which politics occurs </w:t>
      </w:r>
      <w:r w:rsidRPr="00662E51">
        <w:rPr>
          <w:szCs w:val="24"/>
        </w:rPr>
        <w:fldChar w:fldCharType="begin"/>
      </w:r>
      <w:r w:rsidRPr="00662E51">
        <w:rPr>
          <w:szCs w:val="24"/>
        </w:rPr>
        <w:instrText xml:space="preserve"> ADDIN ZOTERO_ITEM CSL_CITATION {"citationID":"CjVq8FPs","properties":{"formattedCitation":"(Copus 2004, 77)","plainCitation":"(Copus 2004, 77)","noteIndex":0},"citationItems":[{"id":6766,"uris":["http://zotero.org/users/8977980/items/22FQIFRM"],"itemData":{"id":6766,"type":"book","ISBN":"978-0-7190-6635-1","language":"eng","number-of-pages":"313","publisher":"Manchester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Government","author":[{"family":"Copus","given":"Colin"}],"issued":{"date-parts":[["2004"]]}},"locator":"77"}],"schema":"https://github.com/citation-style-language/schema/raw/master/csl-citation.json"} </w:instrText>
      </w:r>
      <w:r w:rsidRPr="00662E51">
        <w:rPr>
          <w:szCs w:val="24"/>
        </w:rPr>
        <w:fldChar w:fldCharType="separate"/>
      </w:r>
      <w:r w:rsidRPr="00662E51">
        <w:t>(Copus 2004, 77)</w:t>
      </w:r>
      <w:r w:rsidRPr="00662E51">
        <w:rPr>
          <w:szCs w:val="24"/>
        </w:rPr>
        <w:fldChar w:fldCharType="end"/>
      </w:r>
      <w:r w:rsidRPr="00662E51">
        <w:rPr>
          <w:szCs w:val="24"/>
        </w:rPr>
        <w:t xml:space="preserve">. Since the Labour Party comprises a vast assortment of liberal to leftist organisations with varying political interests, it would be a mistake to believe the party necessarily moves in one direction </w:t>
      </w:r>
      <w:r w:rsidRPr="00662E51">
        <w:rPr>
          <w:szCs w:val="24"/>
        </w:rPr>
        <w:fldChar w:fldCharType="begin"/>
      </w:r>
      <w:r w:rsidRPr="00662E51">
        <w:rPr>
          <w:szCs w:val="24"/>
        </w:rPr>
        <w:instrText xml:space="preserve"> ADDIN ZOTERO_ITEM CSL_CITATION {"citationID":"ziuAxuCn","properties":{"formattedCitation":"(Gilbert 2021a)","plainCitation":"(Gilbert 2021a)","noteIndex":0},"citationItems":[{"id":6824,"uris":["http://zotero.org/users/8977980/items/ZVTM8KFG"],"itemData":{"id":6824,"type":"post-weblog","abstract":"Why we shouldn't leave the Labour Party","container-title":"The Educator","language":"en-GB","title":"Why We Shouldn't Leave the Labour Party","title-short":"The Educator","URL":"https://peoplesmomentum.com/newsletters/the-educator/why-we-shouldnt-leave-the-labour-party/","author":[{"family":"Gilbert","given":"Jeremy"}],"accessed":{"date-parts":[["2025",8,8]]},"issued":{"date-parts":[["2021",12,15]]}}}],"schema":"https://github.com/citation-style-language/schema/raw/master/csl-citation.json"} </w:instrText>
      </w:r>
      <w:r w:rsidRPr="00662E51">
        <w:rPr>
          <w:szCs w:val="24"/>
        </w:rPr>
        <w:fldChar w:fldCharType="separate"/>
      </w:r>
      <w:r w:rsidRPr="00662E51">
        <w:t>(Gilbert 2021a)</w:t>
      </w:r>
      <w:r w:rsidRPr="00662E51">
        <w:rPr>
          <w:szCs w:val="24"/>
        </w:rPr>
        <w:fldChar w:fldCharType="end"/>
      </w:r>
      <w:r w:rsidRPr="00662E51">
        <w:rPr>
          <w:szCs w:val="24"/>
        </w:rPr>
        <w:t xml:space="preserve">. Instead, it is more accurate to describe Labour as a collection of jostling political interests who push and pull in a wide range of directions. </w:t>
      </w:r>
    </w:p>
    <w:p w14:paraId="1514254A" w14:textId="77777777" w:rsidR="000808C7" w:rsidRPr="00662E51" w:rsidRDefault="000808C7" w:rsidP="000808C7">
      <w:pPr>
        <w:spacing w:line="360" w:lineRule="auto"/>
        <w:ind w:left="0" w:firstLine="720"/>
        <w:rPr>
          <w:szCs w:val="24"/>
        </w:rPr>
      </w:pPr>
      <w:r w:rsidRPr="00662E51">
        <w:rPr>
          <w:szCs w:val="24"/>
        </w:rPr>
        <w:t xml:space="preserve">This is equally true at the local level, given councillors’ embeddedness into local activist and political structures, as well as the power that paid council staff have </w:t>
      </w:r>
      <w:r w:rsidRPr="00662E51">
        <w:rPr>
          <w:szCs w:val="24"/>
        </w:rPr>
        <w:fldChar w:fldCharType="begin"/>
      </w:r>
      <w:r w:rsidRPr="00662E51">
        <w:rPr>
          <w:szCs w:val="24"/>
        </w:rPr>
        <w:instrText xml:space="preserve"> ADDIN ZOTERO_ITEM CSL_CITATION {"citationID":"vFDSHWmq","properties":{"formattedCitation":"(Copus 2023)","plainCitation":"(Copus 2023)","noteIndex":0},"citationItems":[{"id":6769,"uris":["http://zotero.org/users/8977980/items/DFD3QFVU"],"itemData":{"id":6769,"type":"chapter","abstract":"Chapter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schema":"https://github.com/citation-style-language/schema/raw/master/csl-citation.json"} </w:instrText>
      </w:r>
      <w:r w:rsidRPr="00662E51">
        <w:rPr>
          <w:szCs w:val="24"/>
        </w:rPr>
        <w:fldChar w:fldCharType="separate"/>
      </w:r>
      <w:r w:rsidRPr="00662E51">
        <w:t>(Copus 2023)</w:t>
      </w:r>
      <w:r w:rsidRPr="00662E51">
        <w:rPr>
          <w:szCs w:val="24"/>
        </w:rPr>
        <w:fldChar w:fldCharType="end"/>
      </w:r>
      <w:r w:rsidRPr="00662E51">
        <w:rPr>
          <w:szCs w:val="24"/>
        </w:rPr>
        <w:t xml:space="preserve">. As Chapters 6 and 7 demonstrate, party politics and the interpersonal relations springing from parties significantly impact policy development. However, activist inclusion in the council (that is, as councillors) can ultimately be depoliticising: ideological adherence can often be “surrendered to expert officers and consultants” </w:t>
      </w:r>
      <w:r w:rsidRPr="00662E51">
        <w:rPr>
          <w:szCs w:val="24"/>
        </w:rPr>
        <w:fldChar w:fldCharType="begin"/>
      </w:r>
      <w:r w:rsidRPr="00662E51">
        <w:rPr>
          <w:szCs w:val="24"/>
        </w:rPr>
        <w:instrText xml:space="preserve"> ADDIN ZOTERO_ITEM CSL_CITATION {"citationID":"XkpEnJDX","properties":{"formattedCitation":"(Ormerod 2021, 8)","plainCitation":"(Ormerod 2021, 8)","noteIndex":0},"citationItems":[{"id":3295,"uris":["http://zotero.org/users/8977980/items/UP7CRFTK"],"itemData":{"id":3295,"type":"article-journal","abstract":"This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ocator":"8"}],"schema":"https://github.com/citation-style-language/schema/raw/master/csl-citation.json"} </w:instrText>
      </w:r>
      <w:r w:rsidRPr="00662E51">
        <w:rPr>
          <w:szCs w:val="24"/>
        </w:rPr>
        <w:fldChar w:fldCharType="separate"/>
      </w:r>
      <w:r w:rsidRPr="00662E51">
        <w:t>(Ormerod 2021, 8)</w:t>
      </w:r>
      <w:r w:rsidRPr="00662E51">
        <w:rPr>
          <w:szCs w:val="24"/>
        </w:rPr>
        <w:fldChar w:fldCharType="end"/>
      </w:r>
      <w:r w:rsidRPr="00662E51">
        <w:rPr>
          <w:szCs w:val="24"/>
        </w:rPr>
        <w:t xml:space="preserve">. Nevertheless, this relation is shaky: the very act of depoliticising local decision-making is itself a contestable political act. Indeed, the depoliticising of resident associations that existed outside of the Labour Party worked to reinforce the idea that the only acceptable form of politics was through electoral processes </w:t>
      </w:r>
      <w:r w:rsidRPr="00662E51">
        <w:rPr>
          <w:szCs w:val="24"/>
        </w:rPr>
        <w:fldChar w:fldCharType="begin"/>
      </w:r>
      <w:r w:rsidRPr="00662E51">
        <w:rPr>
          <w:szCs w:val="24"/>
        </w:rPr>
        <w:instrText xml:space="preserve"> ADDIN ZOTERO_ITEM CSL_CITATION {"citationID":"bzftbE3w","properties":{"formattedCitation":"(Ormerod and MacLeod 2019)","plainCitation":"(Ormerod and MacLeod 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Pr="00662E51">
        <w:t>(Ormerod and MacLeod 2019)</w:t>
      </w:r>
      <w:r w:rsidRPr="00662E51">
        <w:rPr>
          <w:szCs w:val="24"/>
        </w:rPr>
        <w:fldChar w:fldCharType="end"/>
      </w:r>
      <w:r w:rsidRPr="00662E51">
        <w:rPr>
          <w:szCs w:val="24"/>
        </w:rPr>
        <w:t xml:space="preserve">. </w:t>
      </w:r>
    </w:p>
    <w:p w14:paraId="40E754D6" w14:textId="77777777" w:rsidR="000808C7" w:rsidRPr="00662E51" w:rsidRDefault="000808C7" w:rsidP="000808C7">
      <w:pPr>
        <w:spacing w:line="360" w:lineRule="auto"/>
        <w:ind w:left="0" w:firstLine="720"/>
        <w:rPr>
          <w:szCs w:val="24"/>
        </w:rPr>
      </w:pPr>
    </w:p>
    <w:p w14:paraId="05AE5E20" w14:textId="77777777" w:rsidR="000808C7" w:rsidRPr="00662E51" w:rsidRDefault="000808C7" w:rsidP="000808C7">
      <w:pPr>
        <w:pStyle w:val="Heading4"/>
        <w:spacing w:before="0" w:after="0"/>
      </w:pPr>
      <w:bookmarkStart w:id="161" w:name="_Toc221184317"/>
      <w:r w:rsidRPr="00662E51">
        <w:t>The State-Party Nexus in Detail:</w:t>
      </w:r>
      <w:bookmarkEnd w:id="161"/>
    </w:p>
    <w:p w14:paraId="0D5DB6F0" w14:textId="52B59730" w:rsidR="000808C7" w:rsidRDefault="000808C7" w:rsidP="000808C7">
      <w:pPr>
        <w:spacing w:line="360" w:lineRule="auto"/>
        <w:ind w:left="0" w:firstLine="720"/>
        <w:rPr>
          <w:szCs w:val="24"/>
        </w:rPr>
      </w:pPr>
      <w:r w:rsidRPr="00662E51">
        <w:rPr>
          <w:szCs w:val="24"/>
        </w:rPr>
        <w:t>Before finally moving to discussing the relationship between the local scales and authoritarian neoliberalism, I link this aside regarding the Labour Party back to the</w:t>
      </w:r>
      <w:r w:rsidR="00514735">
        <w:rPr>
          <w:szCs w:val="24"/>
        </w:rPr>
        <w:t xml:space="preserve"> (multiscalar)</w:t>
      </w:r>
      <w:r w:rsidRPr="00662E51">
        <w:rPr>
          <w:szCs w:val="24"/>
        </w:rPr>
        <w:t xml:space="preserve"> state-party nexus. Jessop </w:t>
      </w:r>
      <w:r w:rsidRPr="00662E51">
        <w:rPr>
          <w:szCs w:val="24"/>
        </w:rPr>
        <w:fldChar w:fldCharType="begin"/>
      </w:r>
      <w:r w:rsidRPr="00662E51">
        <w:rPr>
          <w:szCs w:val="24"/>
        </w:rPr>
        <w:instrText xml:space="preserve"> ADDIN ZOTERO_ITEM CSL_CITATION {"citationID":"EJ14EwU6","properties":{"formattedCitation":"(2016, 76)","plainCitation":"(2016, 76)","noteIndex":0},"citationItems":[{"id":6781,"uris":["http://zotero.org/users/8977980/items/6VKLXRIF"],"itemData":{"id":6781,"type":"book","abstract":"Intro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state","author":[{"family":"Jessop","given":"Bob"}],"issued":{"date-parts":[["2016"]]}},"locator":"76","label":"page","suppress-author":true}],"schema":"https://github.com/citation-style-language/schema/raw/master/csl-citation.json"} </w:instrText>
      </w:r>
      <w:r w:rsidRPr="00662E51">
        <w:rPr>
          <w:szCs w:val="24"/>
        </w:rPr>
        <w:fldChar w:fldCharType="separate"/>
      </w:r>
      <w:r w:rsidRPr="00662E51">
        <w:t>(2016, 76)</w:t>
      </w:r>
      <w:r w:rsidRPr="00662E51">
        <w:rPr>
          <w:szCs w:val="24"/>
        </w:rPr>
        <w:fldChar w:fldCharType="end"/>
      </w:r>
      <w:r w:rsidRPr="00662E51">
        <w:rPr>
          <w:szCs w:val="24"/>
        </w:rPr>
        <w:t xml:space="preserve"> writes, an analysis of the “party form… would encompass all aspects of state,” indicating the interrelatedness of both state and party. Since local states that are dominated by one</w:t>
      </w:r>
      <w:r w:rsidR="004D284F">
        <w:rPr>
          <w:szCs w:val="24"/>
        </w:rPr>
        <w:t xml:space="preserve"> </w:t>
      </w:r>
      <w:r w:rsidRPr="00662E51">
        <w:rPr>
          <w:szCs w:val="24"/>
        </w:rPr>
        <w:t xml:space="preserve">party rely on that party for direction, the state’s entire political life revolves the party. As evidenced across a wide range and timeframe of research, one-party local governments funnel what is seen as acceptable politics through the party, bracketing out other spaces of contestation </w:t>
      </w:r>
      <w:r w:rsidRPr="00662E51">
        <w:rPr>
          <w:szCs w:val="24"/>
        </w:rPr>
        <w:fldChar w:fldCharType="begin"/>
      </w:r>
      <w:r w:rsidR="00F15CF8">
        <w:rPr>
          <w:szCs w:val="24"/>
        </w:rPr>
        <w:instrText xml:space="preserve"> ADDIN ZOTERO_ITEM CSL_CITATION {"citationID":"jwRjvnpD","properties":{"formattedCitation":"(Cockburn 1980; Green [1981] 2013; Ormerod 2017, 2021; Ormerod and MacLeod 2019)","plainCitation":"(Cockburn 1980; Green [1981] 2013; Ormerod 2017, 2021; Ormerod and MacLeod 2019)","noteIndex":0},"citationItems":[{"id":5811,"uris":["http://zotero.org/users/8977980/items/U5ZYVUT5"],"itemData":{"id":5811,"type":"book","edition":"Repr","ISBN":"978-0-904383-48-5","language":"eng","number-of-pages":"207","publisher":"Pluto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state","author":[{"family":"Cockburn","given":"Cynthia"}],"issued":{"date-parts":[["1980"]]}}},{"id":6887,"uris":["http://zotero.org/users/8977980/items/UHBB9PXX"],"itemData":{"id":6887,"type":"book","abstract":"Power and Party in an English City provides an account of how decisions are taken by the state at the level of locality. More specifically, it is an account of the private policy-making activities of a ruling Labour group of councillors in the major English city of Newcastle-Upon-Tyne. Despite the fact that local government in most of the towns and cities of England is one-party government, very little is known abotu the private behaviour of ruling party groups. In this book David Green provides a penetrating empirical study of the realities of local government.\nThe author seeks to examine and analyse the importance of party discipline, the relationship between the Labour group of councillors and the party outside the council, the power of the committee chairmen, the role of local patronage and the openness of the local policy-making process. The government of Newcastle is perhaps the most closely association in the public mind with T. Dan Smith, the corrupt local politician. In fact, Smith had left local politics in Newcastle in teh mid-1960s. How was the city being run a decade or so later?\nThis study is however much more than an inside view of the affairs of a single authority. The last part of the book is devoted to a discussion of aspects of some traditional and modern theories of democracy and specifically to what author sees as the inadequate advocacy of participatory democracy in recent years. Green makes a major contribution to our thinking about the kind of democracy that is possible in modern large-scale societies, explores weaknesses of moder theories and puts forward some original modifications to modern democratic theory, in the light of a theory of knowledge which is seen as more appropriate for modern natural and social scientific activity.\nThis book was first published in 1981.","DOI":"10.4324/9780203716182","ISBN":"978-0-203-71618-2","number-of-pages":"248","publisher":"Routledge","publisher-place":"London","title":"Power and Party in an English City: An account of single-party rule","title-short":"Power and Party in an English City","author":[{"family":"Green","given":"David G."}],"issued":{"date-parts":[["2013",6,17]]},"original-date":{"date-parts":[["1981"]]}}},{"id":6579,"uris":["http://zotero.org/users/8977980/items/UYJQMU9X"],"itemData":{"id":6579,"type":"thesis","abstract":"Housing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00F15CF8" w:rsidRPr="00F15CF8">
        <w:t>(Cockburn 1980; Green [1981] 2013; Ormerod 2017, 2021; Ormerod and MacLeod 2019)</w:t>
      </w:r>
      <w:r w:rsidRPr="00662E51">
        <w:rPr>
          <w:szCs w:val="24"/>
        </w:rPr>
        <w:fldChar w:fldCharType="end"/>
      </w:r>
      <w:r w:rsidRPr="00662E51">
        <w:rPr>
          <w:szCs w:val="24"/>
        </w:rPr>
        <w:t xml:space="preserve">. In Haringey, the council’s </w:t>
      </w:r>
      <w:r w:rsidRPr="00662E51">
        <w:rPr>
          <w:szCs w:val="24"/>
        </w:rPr>
        <w:lastRenderedPageBreak/>
        <w:t xml:space="preserve">policy direction has historically come from within the local Labour Party. Indeed, as Dillon and Fanning </w:t>
      </w:r>
      <w:r w:rsidRPr="00662E51">
        <w:rPr>
          <w:szCs w:val="24"/>
        </w:rPr>
        <w:fldChar w:fldCharType="begin"/>
      </w:r>
      <w:r w:rsidRPr="00662E51">
        <w:rPr>
          <w:szCs w:val="24"/>
        </w:rPr>
        <w:instrText xml:space="preserve"> ADDIN ZOTERO_ITEM CSL_CITATION {"citationID":"ul80dfvh","properties":{"formattedCitation":"(2011)","plainCitation":"(2011)","noteIndex":0},"citationItems":[{"id":254,"uris":["http://zotero.org/users/8977980/items/4A2LKAH2"],"itemData":{"id":254,"type":"book","collection-title":"Urban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uppress-author":true}],"schema":"https://github.com/citation-style-language/schema/raw/master/csl-citation.json"} </w:instrText>
      </w:r>
      <w:r w:rsidRPr="00662E51">
        <w:rPr>
          <w:szCs w:val="24"/>
        </w:rPr>
        <w:fldChar w:fldCharType="separate"/>
      </w:r>
      <w:r w:rsidRPr="00662E51">
        <w:t>(2011)</w:t>
      </w:r>
      <w:r w:rsidRPr="00662E51">
        <w:rPr>
          <w:szCs w:val="24"/>
        </w:rPr>
        <w:fldChar w:fldCharType="end"/>
      </w:r>
      <w:r w:rsidRPr="00662E51">
        <w:rPr>
          <w:szCs w:val="24"/>
        </w:rPr>
        <w:t xml:space="preserve"> recount, factional disputes within the party have meant varying policy outcomes. At the highest level of policymaking, struggles over local party leadership cause changes in policy direction. One instance is Bernie Grant’s rise to leader in 1985. During his leadership, issues of racial equality increased in </w:t>
      </w:r>
      <w:r w:rsidR="00E45E93">
        <w:rPr>
          <w:szCs w:val="24"/>
        </w:rPr>
        <w:t>relevanc</w:t>
      </w:r>
      <w:r w:rsidR="006B66B6">
        <w:rPr>
          <w:szCs w:val="24"/>
        </w:rPr>
        <w:t>e</w:t>
      </w:r>
      <w:r w:rsidRPr="00662E51">
        <w:rPr>
          <w:szCs w:val="24"/>
        </w:rPr>
        <w:t>. As such, the way the state has interacted with Haringey’s racialised minorities reflected the state-party nexus as I described in Section 1.</w:t>
      </w:r>
      <w:r w:rsidR="00F512AE">
        <w:rPr>
          <w:szCs w:val="24"/>
        </w:rPr>
        <w:t>3</w:t>
      </w:r>
      <w:r w:rsidRPr="00662E51">
        <w:rPr>
          <w:szCs w:val="24"/>
        </w:rPr>
        <w:t xml:space="preserve">.1. During times of more radical leadership (1970s to 1990s), more assistance and funding was funnelled to community groups who assisted racialised minorities </w:t>
      </w:r>
      <w:r w:rsidRPr="00662E51">
        <w:rPr>
          <w:szCs w:val="24"/>
        </w:rPr>
        <w:fldChar w:fldCharType="begin"/>
      </w:r>
      <w:r w:rsidRPr="00662E51">
        <w:rPr>
          <w:szCs w:val="24"/>
        </w:rPr>
        <w:instrText xml:space="preserve"> ADDIN ZOTERO_ITEM CSL_CITATION {"citationID":"3XM2lp6q","properties":{"formattedCitation":"(Dillon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Pr="00662E51">
        <w:t>(Dillon and Fanning 2011)</w:t>
      </w:r>
      <w:r w:rsidRPr="00662E51">
        <w:rPr>
          <w:szCs w:val="24"/>
        </w:rPr>
        <w:fldChar w:fldCharType="end"/>
      </w:r>
      <w:r w:rsidRPr="00662E51">
        <w:rPr>
          <w:szCs w:val="24"/>
        </w:rPr>
        <w:t xml:space="preserve">. During New Labour, Haringey’s focus shifted to regeneration and displacement of ethnic minority groups; the dominance of the Labour Party mean that it was apathetic to consultation outside of the party </w:t>
      </w:r>
      <w:r w:rsidRPr="00662E51">
        <w:rPr>
          <w:szCs w:val="24"/>
        </w:rPr>
        <w:fldChar w:fldCharType="begin"/>
      </w:r>
      <w:r w:rsidRPr="00662E51">
        <w:rPr>
          <w:szCs w:val="24"/>
        </w:rPr>
        <w:instrText xml:space="preserve"> ADDIN ZOTERO_ITEM CSL_CITATION {"citationID":"MZAwPRpp","properties":{"formattedCitation":"(Dillon and Fanning 2013)","plainCitation":"(Dillon and Fanning 2013)","noteIndex":0},"citationItems":[{"id":3124,"uris":["http://zotero.org/users/8977980/items/R7TSFJH9"],"itemData":{"id":3124,"type":"article-journal","container-title":"Community Development Journal","DOI":"10.1093/cdj/bss056","ISSN":"0010-3802, 1468-2656","issue":"4","journalAbbreviation":"Community Development Journal","language":"en","page":"571-586","source":"DOI.org (Crossref)","title":"The Tottenham riots: the Big Society and the recurring neglect of community participation","title-short":"The Tottenham riots","volume":"48","author":[{"family":"Dillon","given":"Denis"},{"family":"Fanning","given":"Bryan"}],"issued":{"date-parts":[["2013",10,1]]}}}],"schema":"https://github.com/citation-style-language/schema/raw/master/csl-citation.json"} </w:instrText>
      </w:r>
      <w:r w:rsidRPr="00662E51">
        <w:rPr>
          <w:szCs w:val="24"/>
        </w:rPr>
        <w:fldChar w:fldCharType="separate"/>
      </w:r>
      <w:r w:rsidRPr="00662E51">
        <w:t>(Dillon and Fanning 2013)</w:t>
      </w:r>
      <w:r w:rsidRPr="00662E51">
        <w:rPr>
          <w:szCs w:val="24"/>
        </w:rPr>
        <w:fldChar w:fldCharType="end"/>
      </w:r>
      <w:r w:rsidRPr="00662E51">
        <w:rPr>
          <w:szCs w:val="24"/>
        </w:rPr>
        <w:t xml:space="preserve">. </w:t>
      </w:r>
      <w:r w:rsidR="000D0260">
        <w:rPr>
          <w:szCs w:val="24"/>
        </w:rPr>
        <w:t xml:space="preserve">This shift </w:t>
      </w:r>
      <w:r w:rsidR="002601D8">
        <w:rPr>
          <w:szCs w:val="24"/>
        </w:rPr>
        <w:t>was</w:t>
      </w:r>
      <w:r w:rsidR="003A475F">
        <w:rPr>
          <w:szCs w:val="24"/>
        </w:rPr>
        <w:t xml:space="preserve"> multiscalar:</w:t>
      </w:r>
      <w:r w:rsidR="002601D8">
        <w:rPr>
          <w:szCs w:val="24"/>
        </w:rPr>
        <w:t xml:space="preserve"> </w:t>
      </w:r>
      <w:r w:rsidR="003A475F">
        <w:rPr>
          <w:szCs w:val="24"/>
        </w:rPr>
        <w:t xml:space="preserve">it was </w:t>
      </w:r>
      <w:r w:rsidR="002601D8">
        <w:rPr>
          <w:szCs w:val="24"/>
        </w:rPr>
        <w:t xml:space="preserve">the result of changes at the </w:t>
      </w:r>
      <w:r w:rsidR="000D0260">
        <w:rPr>
          <w:szCs w:val="24"/>
        </w:rPr>
        <w:t>local level (in that Haringey Council itself became more right-wing)</w:t>
      </w:r>
      <w:r w:rsidR="002601D8">
        <w:rPr>
          <w:szCs w:val="24"/>
        </w:rPr>
        <w:t xml:space="preserve"> and at the national scale (with New Labour’s </w:t>
      </w:r>
      <w:r w:rsidR="003A475F">
        <w:rPr>
          <w:szCs w:val="24"/>
        </w:rPr>
        <w:t xml:space="preserve">regeneration programs). </w:t>
      </w:r>
      <w:r w:rsidRPr="00662E51">
        <w:rPr>
          <w:szCs w:val="24"/>
        </w:rPr>
        <w:t>As such, the state and the party are intimately enmeshed—i.e., a state-party nexus—even though they are ostensibly separate. The heuristic of the nexus is not meant to prioritise the party as an equal partner to the state</w:t>
      </w:r>
      <w:r w:rsidR="000D0260">
        <w:rPr>
          <w:szCs w:val="24"/>
        </w:rPr>
        <w:t xml:space="preserve"> in all cases or scales</w:t>
      </w:r>
      <w:r w:rsidR="00F15CF8">
        <w:rPr>
          <w:szCs w:val="24"/>
        </w:rPr>
        <w:t xml:space="preserve"> </w:t>
      </w:r>
      <w:r w:rsidR="00F15CF8">
        <w:rPr>
          <w:szCs w:val="24"/>
        </w:rPr>
        <w:fldChar w:fldCharType="begin"/>
      </w:r>
      <w:r w:rsidR="00F15CF8">
        <w:rPr>
          <w:szCs w:val="24"/>
        </w:rPr>
        <w:instrText xml:space="preserve"> ADDIN ZOTERO_ITEM CSL_CITATION {"citationID":"UFFMkYrS","properties":{"formattedCitation":"(Jessop 2016)","plainCitation":"(Jessop 2016)","noteIndex":0},"citationItems":[{"id":6781,"uris":["http://zotero.org/users/8977980/items/6VKLXRIF"],"itemData":{"id":6781,"type":"book","abstract":"Intro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state","author":[{"family":"Jessop","given":"Bob"}],"issued":{"date-parts":[["2016"]]}}}],"schema":"https://github.com/citation-style-language/schema/raw/master/csl-citation.json"} </w:instrText>
      </w:r>
      <w:r w:rsidR="00F15CF8">
        <w:rPr>
          <w:szCs w:val="24"/>
        </w:rPr>
        <w:fldChar w:fldCharType="separate"/>
      </w:r>
      <w:r w:rsidR="00F15CF8" w:rsidRPr="00F15CF8">
        <w:t>(Jessop 2016)</w:t>
      </w:r>
      <w:r w:rsidR="00F15CF8">
        <w:rPr>
          <w:szCs w:val="24"/>
        </w:rPr>
        <w:fldChar w:fldCharType="end"/>
      </w:r>
      <w:r w:rsidR="000D0260">
        <w:rPr>
          <w:szCs w:val="24"/>
        </w:rPr>
        <w:t>. R</w:t>
      </w:r>
      <w:r w:rsidRPr="00662E51">
        <w:rPr>
          <w:szCs w:val="24"/>
        </w:rPr>
        <w:t xml:space="preserve">ather, it is intended to underline the particular salience the party has at the local scale. This research therefore critiques viewpoints that overlook internal party contestation, instead emphasising the importance of how such contestation impacts policy outcomes. </w:t>
      </w:r>
    </w:p>
    <w:p w14:paraId="60AE6A6C" w14:textId="7342843B" w:rsidR="003A475F" w:rsidRPr="00662E51" w:rsidRDefault="003A475F" w:rsidP="000808C7">
      <w:pPr>
        <w:spacing w:line="360" w:lineRule="auto"/>
        <w:ind w:left="0" w:firstLine="720"/>
        <w:rPr>
          <w:szCs w:val="24"/>
        </w:rPr>
      </w:pPr>
      <w:r>
        <w:rPr>
          <w:szCs w:val="24"/>
        </w:rPr>
        <w:t>Having considered the local state and the local party—</w:t>
      </w:r>
      <w:r w:rsidR="00246AAF">
        <w:rPr>
          <w:szCs w:val="24"/>
        </w:rPr>
        <w:t>combined</w:t>
      </w:r>
      <w:r>
        <w:rPr>
          <w:szCs w:val="24"/>
        </w:rPr>
        <w:t xml:space="preserve"> in what I call a state-party nexus</w:t>
      </w:r>
      <w:r w:rsidR="00B03896">
        <w:rPr>
          <w:szCs w:val="24"/>
        </w:rPr>
        <w:t>, one that is multiscalar</w:t>
      </w:r>
      <w:r>
        <w:rPr>
          <w:szCs w:val="24"/>
        </w:rPr>
        <w:t>—</w:t>
      </w:r>
      <w:r w:rsidR="00637917">
        <w:rPr>
          <w:szCs w:val="24"/>
        </w:rPr>
        <w:t xml:space="preserve">I now </w:t>
      </w:r>
      <w:r w:rsidR="00B03896">
        <w:rPr>
          <w:szCs w:val="24"/>
        </w:rPr>
        <w:t xml:space="preserve">shift to detailing authoritarian neoliberalism. </w:t>
      </w:r>
    </w:p>
    <w:p w14:paraId="5F3FC956" w14:textId="77777777" w:rsidR="000808C7" w:rsidRPr="00662E51" w:rsidRDefault="000808C7" w:rsidP="000808C7">
      <w:pPr>
        <w:spacing w:line="360" w:lineRule="auto"/>
        <w:ind w:left="0" w:firstLine="720"/>
        <w:rPr>
          <w:szCs w:val="24"/>
        </w:rPr>
      </w:pPr>
    </w:p>
    <w:p w14:paraId="682326ED" w14:textId="075FE760" w:rsidR="007B4EA4" w:rsidRPr="00662E51" w:rsidRDefault="007B4EA4" w:rsidP="00F56305">
      <w:pPr>
        <w:pStyle w:val="Heading2"/>
      </w:pPr>
      <w:bookmarkStart w:id="162" w:name="_Toc213173926"/>
      <w:bookmarkStart w:id="163" w:name="_Toc216096149"/>
      <w:bookmarkStart w:id="164" w:name="_Toc221184318"/>
      <w:bookmarkStart w:id="165" w:name="_Toc231215239"/>
      <w:r w:rsidRPr="00662E51">
        <w:t>Authoritarian Neoliberalism</w:t>
      </w:r>
      <w:bookmarkEnd w:id="162"/>
      <w:bookmarkEnd w:id="163"/>
      <w:bookmarkEnd w:id="164"/>
      <w:r w:rsidR="00836748">
        <w:t>:</w:t>
      </w:r>
      <w:bookmarkEnd w:id="165"/>
    </w:p>
    <w:p w14:paraId="27993574" w14:textId="128C2C15" w:rsidR="007B4EA4" w:rsidRPr="00662E51" w:rsidRDefault="007B4EA4" w:rsidP="00F56305">
      <w:pPr>
        <w:spacing w:line="360" w:lineRule="auto"/>
        <w:ind w:left="0"/>
        <w:rPr>
          <w:szCs w:val="24"/>
        </w:rPr>
      </w:pPr>
      <w:r w:rsidRPr="00662E51">
        <w:rPr>
          <w:szCs w:val="24"/>
        </w:rPr>
        <w:t xml:space="preserve">As a core problem of the thesis is to understand local authoritarian neoliberalism and its relationship to party politics, I review the literature on AN, historically contextualise it, and then </w:t>
      </w:r>
      <w:r w:rsidR="00CE5418" w:rsidRPr="00662E51">
        <w:rPr>
          <w:szCs w:val="24"/>
        </w:rPr>
        <w:t>examine</w:t>
      </w:r>
      <w:r w:rsidRPr="00662E51">
        <w:rPr>
          <w:szCs w:val="24"/>
        </w:rPr>
        <w:t xml:space="preserve"> how it works at the local scale.</w:t>
      </w:r>
      <w:r w:rsidR="006862E1">
        <w:rPr>
          <w:szCs w:val="24"/>
        </w:rPr>
        <w:t xml:space="preserve"> Authoritarian neoliberalism </w:t>
      </w:r>
      <w:r w:rsidR="009B7BBC">
        <w:rPr>
          <w:szCs w:val="24"/>
        </w:rPr>
        <w:t xml:space="preserve">was chosen as it </w:t>
      </w:r>
      <w:r w:rsidR="00934466">
        <w:rPr>
          <w:szCs w:val="24"/>
        </w:rPr>
        <w:t xml:space="preserve">provides an analysis </w:t>
      </w:r>
      <w:r w:rsidR="009E77F3">
        <w:rPr>
          <w:szCs w:val="24"/>
        </w:rPr>
        <w:t xml:space="preserve">of </w:t>
      </w:r>
      <w:r w:rsidR="003F2C7B">
        <w:rPr>
          <w:szCs w:val="24"/>
        </w:rPr>
        <w:t>neoliberal</w:t>
      </w:r>
      <w:r w:rsidR="009E77F3">
        <w:rPr>
          <w:szCs w:val="24"/>
        </w:rPr>
        <w:t xml:space="preserve"> political economy that </w:t>
      </w:r>
      <w:r w:rsidR="00162075">
        <w:rPr>
          <w:szCs w:val="24"/>
        </w:rPr>
        <w:t>highlights the fluidity of the state</w:t>
      </w:r>
      <w:r w:rsidR="00C67463">
        <w:rPr>
          <w:szCs w:val="24"/>
        </w:rPr>
        <w:t xml:space="preserve">; the compatibility of illiberal governance </w:t>
      </w:r>
      <w:r w:rsidR="00902FD9">
        <w:rPr>
          <w:szCs w:val="24"/>
        </w:rPr>
        <w:lastRenderedPageBreak/>
        <w:t xml:space="preserve">and </w:t>
      </w:r>
      <w:r w:rsidR="00BA209B">
        <w:rPr>
          <w:szCs w:val="24"/>
        </w:rPr>
        <w:t>market-led economics</w:t>
      </w:r>
      <w:r w:rsidR="00C674D3">
        <w:rPr>
          <w:szCs w:val="24"/>
        </w:rPr>
        <w:t xml:space="preserve">; and the </w:t>
      </w:r>
      <w:r w:rsidR="009F5B65">
        <w:rPr>
          <w:szCs w:val="24"/>
        </w:rPr>
        <w:t xml:space="preserve">widespread impacts of neoliberal logics on various cultural and social elements. More specifically, </w:t>
      </w:r>
      <w:r w:rsidR="00C47B8F">
        <w:rPr>
          <w:szCs w:val="24"/>
        </w:rPr>
        <w:t xml:space="preserve">AN speaks directly to how states </w:t>
      </w:r>
      <w:r w:rsidR="004426A8">
        <w:rPr>
          <w:szCs w:val="24"/>
        </w:rPr>
        <w:t>can</w:t>
      </w:r>
      <w:r w:rsidR="00C47B8F">
        <w:rPr>
          <w:szCs w:val="24"/>
        </w:rPr>
        <w:t xml:space="preserve"> continue unpopular </w:t>
      </w:r>
      <w:r w:rsidR="004426A8">
        <w:rPr>
          <w:szCs w:val="24"/>
        </w:rPr>
        <w:t xml:space="preserve">projects, even when significant portions of the population are in opposition. </w:t>
      </w:r>
      <w:r w:rsidR="00057A5B">
        <w:rPr>
          <w:szCs w:val="24"/>
        </w:rPr>
        <w:t xml:space="preserve">As is explored below, AN’s focus </w:t>
      </w:r>
      <w:r w:rsidR="0029098F">
        <w:rPr>
          <w:szCs w:val="24"/>
        </w:rPr>
        <w:t xml:space="preserve">on legitimation, coercion, </w:t>
      </w:r>
      <w:r w:rsidR="00560C56">
        <w:rPr>
          <w:szCs w:val="24"/>
        </w:rPr>
        <w:t xml:space="preserve">and policing help explain how states succeed despite popular resistance. </w:t>
      </w:r>
    </w:p>
    <w:p w14:paraId="3BA4776F" w14:textId="015F197A" w:rsidR="007B4EA4" w:rsidRPr="00662E51" w:rsidRDefault="007B4EA4" w:rsidP="00F56305">
      <w:pPr>
        <w:spacing w:line="360" w:lineRule="auto"/>
        <w:ind w:left="0" w:firstLine="720"/>
        <w:rPr>
          <w:szCs w:val="24"/>
        </w:rPr>
      </w:pPr>
      <w:r w:rsidRPr="00662E51">
        <w:rPr>
          <w:szCs w:val="24"/>
        </w:rPr>
        <w:t xml:space="preserve">As originally conceptualised by Bruff </w:t>
      </w:r>
      <w:r w:rsidRPr="00662E51">
        <w:rPr>
          <w:szCs w:val="24"/>
        </w:rPr>
        <w:fldChar w:fldCharType="begin"/>
      </w:r>
      <w:r w:rsidRPr="00662E51">
        <w:rPr>
          <w:szCs w:val="24"/>
        </w:rPr>
        <w:instrText xml:space="preserve"> ADDIN ZOTERO_ITEM CSL_CITATION {"citationID":"8o7Vvlla","properties":{"formattedCitation":"(2014)","plainCitation":"(2014)","noteIndex":0},"citationItems":[{"id":5773,"uris":["http://zotero.org/users/8977980/items/YQRZXUST"],"itemData":{"id":5773,"type":"article-journal","container-title":"Rethinking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Neoliberalism","volume":"26","author":[{"family":"Bruff","given":"Ian"}],"issued":{"date-parts":[["2014",1,2]]}},"label":"page","suppress-author":true}],"schema":"https://github.com/citation-style-language/schema/raw/master/csl-citation.json"} </w:instrText>
      </w:r>
      <w:r w:rsidRPr="00662E51">
        <w:rPr>
          <w:szCs w:val="24"/>
        </w:rPr>
        <w:fldChar w:fldCharType="separate"/>
      </w:r>
      <w:r w:rsidR="0095662D" w:rsidRPr="00662E51">
        <w:t>(2014)</w:t>
      </w:r>
      <w:r w:rsidRPr="00662E51">
        <w:rPr>
          <w:szCs w:val="24"/>
        </w:rPr>
        <w:fldChar w:fldCharType="end"/>
      </w:r>
      <w:r w:rsidRPr="00662E51">
        <w:rPr>
          <w:szCs w:val="24"/>
        </w:rPr>
        <w:t>, authoritarian neoliberalism refers to a shift in governmental approaches since the 2008</w:t>
      </w:r>
      <w:r w:rsidR="00EF44FF" w:rsidRPr="00662E51">
        <w:rPr>
          <w:szCs w:val="24"/>
        </w:rPr>
        <w:t xml:space="preserve"> global</w:t>
      </w:r>
      <w:r w:rsidRPr="00662E51">
        <w:rPr>
          <w:szCs w:val="24"/>
        </w:rPr>
        <w:t xml:space="preserve"> financial crisis. Before examining AN, it is worth defining neoliberalism. Bruff </w:t>
      </w:r>
      <w:r w:rsidRPr="00662E51">
        <w:rPr>
          <w:szCs w:val="24"/>
        </w:rPr>
        <w:fldChar w:fldCharType="begin"/>
      </w:r>
      <w:r w:rsidRPr="00662E51">
        <w:rPr>
          <w:szCs w:val="24"/>
        </w:rPr>
        <w:instrText xml:space="preserve"> ADDIN ZOTERO_ITEM CSL_CITATION {"citationID":"Q6d4nbiq","properties":{"formattedCitation":"(2014)","plainCitation":"(2014)","noteIndex":0},"citationItems":[{"id":5773,"uris":["http://zotero.org/users/8977980/items/YQRZXUST"],"itemData":{"id":5773,"type":"article-journal","container-title":"Rethinking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Neoliberalism","volume":"26","author":[{"family":"Bruff","given":"Ian"}],"issued":{"date-parts":[["2014",1,2]]}},"label":"page","suppress-author":true}],"schema":"https://github.com/citation-style-language/schema/raw/master/csl-citation.json"} </w:instrText>
      </w:r>
      <w:r w:rsidRPr="00662E51">
        <w:rPr>
          <w:szCs w:val="24"/>
        </w:rPr>
        <w:fldChar w:fldCharType="separate"/>
      </w:r>
      <w:r w:rsidR="0095662D" w:rsidRPr="00662E51">
        <w:t>(2014)</w:t>
      </w:r>
      <w:r w:rsidRPr="00662E51">
        <w:rPr>
          <w:szCs w:val="24"/>
        </w:rPr>
        <w:fldChar w:fldCharType="end"/>
      </w:r>
      <w:r w:rsidRPr="00662E51">
        <w:rPr>
          <w:szCs w:val="24"/>
        </w:rPr>
        <w:t xml:space="preserve"> sees it as both the uprooting of the market from the state </w:t>
      </w:r>
      <w:r w:rsidRPr="00662E51">
        <w:rPr>
          <w:i/>
          <w:iCs/>
          <w:szCs w:val="24"/>
        </w:rPr>
        <w:t>and</w:t>
      </w:r>
      <w:r w:rsidRPr="00662E51">
        <w:rPr>
          <w:szCs w:val="24"/>
        </w:rPr>
        <w:t xml:space="preserve"> a shift in purpose of non-market institutions </w:t>
      </w:r>
      <w:r w:rsidR="00E532A8" w:rsidRPr="00662E51">
        <w:rPr>
          <w:szCs w:val="24"/>
        </w:rPr>
        <w:t xml:space="preserve">from </w:t>
      </w:r>
      <w:r w:rsidRPr="00662E51">
        <w:rPr>
          <w:szCs w:val="24"/>
        </w:rPr>
        <w:t xml:space="preserve">amelioration to </w:t>
      </w:r>
      <w:r w:rsidR="00E532A8" w:rsidRPr="00662E51">
        <w:rPr>
          <w:szCs w:val="24"/>
        </w:rPr>
        <w:t xml:space="preserve">support of </w:t>
      </w:r>
      <w:r w:rsidRPr="00662E51">
        <w:rPr>
          <w:szCs w:val="24"/>
        </w:rPr>
        <w:t xml:space="preserve">accumulation. Neoliberalism does not disassemble but rather “thrives upon the institutional infrastructure of the state” that is reformed in service of capital </w:t>
      </w:r>
      <w:r w:rsidRPr="00662E51">
        <w:rPr>
          <w:szCs w:val="24"/>
        </w:rPr>
        <w:fldChar w:fldCharType="begin"/>
      </w:r>
      <w:r w:rsidR="008835AB" w:rsidRPr="00662E51">
        <w:rPr>
          <w:szCs w:val="24"/>
        </w:rPr>
        <w:instrText xml:space="preserve"> ADDIN ZOTERO_ITEM CSL_CITATION {"citationID":"1zQkweG0","properties":{"formattedCitation":"(Tansel 2017, 6)","plainCitation":"(Tansel 2017, 6)","noteIndex":0},"citationItems":[{"id":5807,"uris":["http://zotero.org/users/8977980/items/KGMGBNMC"],"itemData":{"id":5807,"type":"book","abstract":"Despite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Burak"}],"issued":{"date-parts":[["2017",2,8]]}},"locator":"6"}],"schema":"https://github.com/citation-style-language/schema/raw/master/csl-citation.json"} </w:instrText>
      </w:r>
      <w:r w:rsidRPr="00662E51">
        <w:rPr>
          <w:szCs w:val="24"/>
        </w:rPr>
        <w:fldChar w:fldCharType="separate"/>
      </w:r>
      <w:r w:rsidR="0095662D" w:rsidRPr="00662E51">
        <w:t>(Tansel 2017, 6)</w:t>
      </w:r>
      <w:r w:rsidRPr="00662E51">
        <w:rPr>
          <w:szCs w:val="24"/>
        </w:rPr>
        <w:fldChar w:fldCharType="end"/>
      </w:r>
      <w:r w:rsidRPr="00662E51">
        <w:rPr>
          <w:szCs w:val="24"/>
        </w:rPr>
        <w:t xml:space="preserve">. This shift has not been without pushback: as Tansel </w:t>
      </w:r>
      <w:r w:rsidRPr="00662E51">
        <w:rPr>
          <w:szCs w:val="24"/>
        </w:rPr>
        <w:fldChar w:fldCharType="begin"/>
      </w:r>
      <w:r w:rsidR="008835AB" w:rsidRPr="00662E51">
        <w:rPr>
          <w:szCs w:val="24"/>
        </w:rPr>
        <w:instrText xml:space="preserve"> ADDIN ZOTERO_ITEM CSL_CITATION {"citationID":"h0Ua5Ypc","properties":{"formattedCitation":"(2017, 13)","plainCitation":"(2017, 13)","noteIndex":0},"citationItems":[{"id":5807,"uris":["http://zotero.org/users/8977980/items/KGMGBNMC"],"itemData":{"id":5807,"type":"book","abstract":"Despite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Burak"}],"issued":{"date-parts":[["2017",2,8]]}},"locator":"13","label":"page","suppress-author":true}],"schema":"https://github.com/citation-style-language/schema/raw/master/csl-citation.json"} </w:instrText>
      </w:r>
      <w:r w:rsidRPr="00662E51">
        <w:rPr>
          <w:szCs w:val="24"/>
        </w:rPr>
        <w:fldChar w:fldCharType="separate"/>
      </w:r>
      <w:r w:rsidR="0095662D" w:rsidRPr="00662E51">
        <w:t>(2017, 13)</w:t>
      </w:r>
      <w:r w:rsidRPr="00662E51">
        <w:rPr>
          <w:szCs w:val="24"/>
        </w:rPr>
        <w:fldChar w:fldCharType="end"/>
      </w:r>
      <w:r w:rsidRPr="00662E51">
        <w:rPr>
          <w:szCs w:val="24"/>
        </w:rPr>
        <w:t xml:space="preserve"> writes, “political parties that have stood at the forefront of neoliberal restructuring over the last three to four decades faced a continuous haemorrhaging of their voter base” that has been coupled with a rise in far right, fascist governments. The 2008 crisis spawned years of anti-globalist and anti-capitalist resistance </w:t>
      </w:r>
      <w:r w:rsidRPr="00662E51">
        <w:rPr>
          <w:szCs w:val="24"/>
        </w:rPr>
        <w:fldChar w:fldCharType="begin"/>
      </w:r>
      <w:r w:rsidR="008835AB" w:rsidRPr="00662E51">
        <w:rPr>
          <w:szCs w:val="24"/>
        </w:rPr>
        <w:instrText xml:space="preserve"> ADDIN ZOTERO_ITEM CSL_CITATION {"citationID":"t5hXI79u","properties":{"formattedCitation":"(Graeber 2014)","plainCitation":"(Graeber 2014)","noteIndex":0},"citationItems":[{"id":6604,"uris":["http://zotero.org/users/8977980/items/ZT2JZHRW"],"itemData":{"id":6604,"type":"book","abstract":"From their earliest meetings, activist David Graeber knew that the Occupy Wall Street movement was something different. From small beginnings its demonstrations spread across the world to cities like Cairo, Athens, Barcelona and London and gave a glimpse of a new way. This provocative look at the actions of the 99% asks: why was it so effective? What went right? And what can we all do now to make our world democratic once again? Both a treatise on power and protest and an energetic account of contemporary events, The Democracy Project will change the way you think about politics, and the world.","ISBN":"978-0-7181-9504-5","language":"English","number-of-pages":"352","publisher":"Penguin","publisher-place":"London","title":"The Democracy Project: A History, a Crisis, a Movement","title-short":"The Democracy Project","author":[{"family":"Graeber","given":"David"}],"issued":{"date-parts":[["2014"]]}}}],"schema":"https://github.com/citation-style-language/schema/raw/master/csl-citation.json"} </w:instrText>
      </w:r>
      <w:r w:rsidRPr="00662E51">
        <w:rPr>
          <w:szCs w:val="24"/>
        </w:rPr>
        <w:fldChar w:fldCharType="separate"/>
      </w:r>
      <w:r w:rsidR="0095662D" w:rsidRPr="00662E51">
        <w:t>(Graeber 2014)</w:t>
      </w:r>
      <w:r w:rsidRPr="00662E51">
        <w:rPr>
          <w:szCs w:val="24"/>
        </w:rPr>
        <w:fldChar w:fldCharType="end"/>
      </w:r>
      <w:r w:rsidRPr="00662E51">
        <w:rPr>
          <w:szCs w:val="24"/>
        </w:rPr>
        <w:t xml:space="preserve">. However, in spite of claims of its death </w:t>
      </w:r>
      <w:r w:rsidRPr="00662E51">
        <w:rPr>
          <w:szCs w:val="24"/>
        </w:rPr>
        <w:fldChar w:fldCharType="begin"/>
      </w:r>
      <w:r w:rsidR="008835AB" w:rsidRPr="00662E51">
        <w:rPr>
          <w:szCs w:val="24"/>
        </w:rPr>
        <w:instrText xml:space="preserve"> ADDIN ZOTERO_ITEM CSL_CITATION {"citationID":"IRlJUcFE","properties":{"formattedCitation":"(Peck 2010)","plainCitation":"(Peck 2010)","noteIndex":0},"citationItems":[{"id":6294,"uris":["http://zotero.org/users/8977980/items/GNASBDLA"],"itemData":{"id":6294,"type":"article-journal","container-title":"Theoretical Criminology","DOI":"10.1177/1362480609352784","ISSN":"1362-4806","issue":"1","language":"en","page":"104-110","publisher":"SAGE Publications Ltd","source":"SAGE Journals","title":"Zombie neoliberalism and the ambidextrous state","volume":"14","author":[{"family":"Peck","given":"Jamie"}],"issued":{"date-parts":[["2010",2,1]]}}}],"schema":"https://github.com/citation-style-language/schema/raw/master/csl-citation.json"} </w:instrText>
      </w:r>
      <w:r w:rsidRPr="00662E51">
        <w:rPr>
          <w:szCs w:val="24"/>
        </w:rPr>
        <w:fldChar w:fldCharType="separate"/>
      </w:r>
      <w:r w:rsidR="0095662D" w:rsidRPr="00662E51">
        <w:t>(Peck 2010)</w:t>
      </w:r>
      <w:r w:rsidRPr="00662E51">
        <w:rPr>
          <w:szCs w:val="24"/>
        </w:rPr>
        <w:fldChar w:fldCharType="end"/>
      </w:r>
      <w:r w:rsidRPr="00662E51">
        <w:rPr>
          <w:szCs w:val="24"/>
        </w:rPr>
        <w:t xml:space="preserve">, neoliberalism </w:t>
      </w:r>
      <w:r w:rsidR="00262717">
        <w:rPr>
          <w:szCs w:val="24"/>
        </w:rPr>
        <w:t xml:space="preserve">remains a powerful force </w:t>
      </w:r>
      <w:r w:rsidRPr="00662E51">
        <w:rPr>
          <w:szCs w:val="24"/>
        </w:rPr>
        <w:fldChar w:fldCharType="begin"/>
      </w:r>
      <w:r w:rsidR="008835AB" w:rsidRPr="00662E51">
        <w:rPr>
          <w:szCs w:val="24"/>
        </w:rPr>
        <w:instrText xml:space="preserve"> ADDIN ZOTERO_ITEM CSL_CITATION {"citationID":"3DQmIlkp","properties":{"formattedCitation":"(Bayliss et al. 2024)","plainCitation":"(Bayliss et al. 2024)","noteIndex":0},"citationItems":[{"id":6278,"uris":["http://zotero.org/users/8977980/items/9UE2KFBV"],"itemData":{"id":6278,"type":"article-journal","abstract":"Recent declarations of the end of neoliberalism in the United Kingdom, especially since the Covid-19 pandemic, are underpinned by diffuse and unstructured understandings of the neoliberal state. We argue that state intervention is both necessary and unavoidable under neoliberalism. This article shows that the ‘market-based’ reforms and the ‘rollback of the state’ that overtly characterise neoliberalism are heavily reliant upon public policy and entail an ongoing role for state intervention both over time and across economic sectors. Using sectoral case studies of housing and water from within the United Kingdom, we demonstrate, through a tight analytical framing of both financialisation and commodification, the variegated though crucial role of the neoliberal state in restructuring provision to facilitate financialised accumulation and their transformations in response to the contradictions, dysfunctions and limitations of neoliberalised social reproduction.","container-title":"European Journal of Social Theory","DOI":"10.1177/13684310241241800","ISSN":"1368-4310","issue":"4","language":"en","page":"540-560","publisher":"SAGE Publications Ltd","source":"SAGE Journals","title":"Reports of my death are greatly exaggerated: The persistence of neoliberalism in Britain","title-short":"Reports of my death are greatly exaggerated","volume":"27","author":[{"family":"Bayliss","given":"Kate"},{"family":"Fine","given":"Ben"},{"family":"Robertson","given":"Mary"},{"family":"Saad-Filho","given":"Alfredo"}],"issued":{"date-parts":[["2024",11,1]]}}}],"schema":"https://github.com/citation-style-language/schema/raw/master/csl-citation.json"} </w:instrText>
      </w:r>
      <w:r w:rsidRPr="00662E51">
        <w:rPr>
          <w:szCs w:val="24"/>
        </w:rPr>
        <w:fldChar w:fldCharType="separate"/>
      </w:r>
      <w:r w:rsidR="0095662D" w:rsidRPr="00662E51">
        <w:t>(Bayliss et al. 2024)</w:t>
      </w:r>
      <w:r w:rsidRPr="00662E51">
        <w:rPr>
          <w:szCs w:val="24"/>
        </w:rPr>
        <w:fldChar w:fldCharType="end"/>
      </w:r>
      <w:r w:rsidRPr="00662E51">
        <w:rPr>
          <w:szCs w:val="24"/>
        </w:rPr>
        <w:t xml:space="preserve">. </w:t>
      </w:r>
      <w:r w:rsidR="00262717">
        <w:rPr>
          <w:szCs w:val="24"/>
        </w:rPr>
        <w:t>It also reflects the dominant political-economic approaches that undergird regeneration in Haringey</w:t>
      </w:r>
      <w:r w:rsidR="00FE29AD">
        <w:rPr>
          <w:szCs w:val="24"/>
        </w:rPr>
        <w:t xml:space="preserve"> (discussed in Chapters 1, 2, 6, and 7) </w:t>
      </w:r>
      <w:r w:rsidR="007045D4">
        <w:rPr>
          <w:szCs w:val="24"/>
        </w:rPr>
        <w:fldChar w:fldCharType="begin"/>
      </w:r>
      <w:r w:rsidR="001B2CAA">
        <w:rPr>
          <w:szCs w:val="24"/>
        </w:rPr>
        <w:instrText xml:space="preserve"> ADDIN ZOTERO_ITEM CSL_CITATION {"citationID":"bVWPnauw","properties":{"formattedCitation":"(Hodkinson 2011; Watt 2021b)","plainCitation":"(Hodkinson 2011; Watt 2021b)","noteIndex":0},"citationItems":[{"id":7181,"uris":["http://zotero.org/users/8977980/items/4BNYZVRK"],"itemData":{"id":7181,"type":"article-journal","abstract":"Abstract:  This paper responds to recent debates in human geography about ideal-type versus contingent neoliberalism, or what Gibson-Graham conceptualises as “strong” vs “weak” theory, by offering so...","container-title":"Antipode","DOI":"10.1111/j.1467-8330.2010.00819.x","ISSN":"1467-8330","issue":"2","language":"en","page":"358-383","publisher":"John Wiley &amp; Sons, Ltd","source":"onlinelibrary.wiley.com","title":"Housing Regeneration and the Private Finance Initiative in England: Unstitching the Neoliberal Urban Straitjacket","title-short":"Housing Regeneration and the Private Finance Initiative in England","volume":"43","author":[{"family":"Hodkinson","given":"Stuart"}],"issued":{"date-parts":[["2011",3,1]]}}},{"id":"n0Saldgp/r7qNchtf","uris":["http://zotero.org/users/8977980/items/BHKUJBH9"],"itemData":{"id":"P6Tcllcn/rxgr0yo5","type":"book","abstract":"Public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007045D4">
        <w:rPr>
          <w:szCs w:val="24"/>
        </w:rPr>
        <w:fldChar w:fldCharType="separate"/>
      </w:r>
      <w:r w:rsidR="007045D4" w:rsidRPr="007045D4">
        <w:t>(Hodkinson 2011; Watt 2021b)</w:t>
      </w:r>
      <w:r w:rsidR="007045D4">
        <w:rPr>
          <w:szCs w:val="24"/>
        </w:rPr>
        <w:fldChar w:fldCharType="end"/>
      </w:r>
      <w:r w:rsidR="007045D4">
        <w:rPr>
          <w:szCs w:val="24"/>
        </w:rPr>
        <w:t xml:space="preserve">. </w:t>
      </w:r>
      <w:r w:rsidRPr="00662E51">
        <w:rPr>
          <w:szCs w:val="24"/>
        </w:rPr>
        <w:t xml:space="preserve">Bruff </w:t>
      </w:r>
      <w:r w:rsidRPr="00662E51">
        <w:rPr>
          <w:szCs w:val="24"/>
        </w:rPr>
        <w:fldChar w:fldCharType="begin"/>
      </w:r>
      <w:r w:rsidRPr="00662E51">
        <w:rPr>
          <w:szCs w:val="24"/>
        </w:rPr>
        <w:instrText xml:space="preserve"> ADDIN ZOTERO_ITEM CSL_CITATION {"citationID":"STgMypA2","properties":{"formattedCitation":"(2014)","plainCitation":"(2014)","noteIndex":0},"citationItems":[{"id":5773,"uris":["http://zotero.org/users/8977980/items/YQRZXUST"],"itemData":{"id":5773,"type":"article-journal","container-title":"Rethinking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Neoliberalism","volume":"26","author":[{"family":"Bruff","given":"Ian"}],"issued":{"date-parts":[["2014",1,2]]}},"label":"page","suppress-author":true}],"schema":"https://github.com/citation-style-language/schema/raw/master/csl-citation.json"} </w:instrText>
      </w:r>
      <w:r w:rsidRPr="00662E51">
        <w:rPr>
          <w:szCs w:val="24"/>
        </w:rPr>
        <w:fldChar w:fldCharType="separate"/>
      </w:r>
      <w:r w:rsidR="0095662D" w:rsidRPr="00662E51">
        <w:t>(2014)</w:t>
      </w:r>
      <w:r w:rsidRPr="00662E51">
        <w:rPr>
          <w:szCs w:val="24"/>
        </w:rPr>
        <w:fldChar w:fldCharType="end"/>
      </w:r>
      <w:r w:rsidRPr="00662E51">
        <w:rPr>
          <w:szCs w:val="24"/>
        </w:rPr>
        <w:t xml:space="preserve"> thus sets out to understand the specific mechanisms through which neoliberalism can sustain itself despite popular, anti-neoliberal resistance movements.</w:t>
      </w:r>
    </w:p>
    <w:p w14:paraId="2F86C46D" w14:textId="2FD88972" w:rsidR="007B4EA4" w:rsidRPr="00662E51" w:rsidRDefault="007B4EA4" w:rsidP="00F56305">
      <w:pPr>
        <w:spacing w:line="360" w:lineRule="auto"/>
        <w:ind w:left="0" w:firstLine="720"/>
        <w:rPr>
          <w:szCs w:val="24"/>
        </w:rPr>
      </w:pPr>
      <w:r w:rsidRPr="00662E51">
        <w:rPr>
          <w:szCs w:val="24"/>
        </w:rPr>
        <w:t xml:space="preserve">Authoritarian neoliberalism is Bruff’s </w:t>
      </w:r>
      <w:r w:rsidRPr="00662E51">
        <w:rPr>
          <w:szCs w:val="24"/>
        </w:rPr>
        <w:fldChar w:fldCharType="begin"/>
      </w:r>
      <w:r w:rsidRPr="00662E51">
        <w:rPr>
          <w:szCs w:val="24"/>
        </w:rPr>
        <w:instrText xml:space="preserve"> ADDIN ZOTERO_ITEM CSL_CITATION {"citationID":"eklDdDPk","properties":{"formattedCitation":"(2014)","plainCitation":"(2014)","noteIndex":0},"citationItems":[{"id":5773,"uris":["http://zotero.org/users/8977980/items/YQRZXUST"],"itemData":{"id":5773,"type":"article-journal","container-title":"Rethinking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Neoliberalism","volume":"26","author":[{"family":"Bruff","given":"Ian"}],"issued":{"date-parts":[["2014",1,2]]}},"label":"page","suppress-author":true}],"schema":"https://github.com/citation-style-language/schema/raw/master/csl-citation.json"} </w:instrText>
      </w:r>
      <w:r w:rsidRPr="00662E51">
        <w:rPr>
          <w:szCs w:val="24"/>
        </w:rPr>
        <w:fldChar w:fldCharType="separate"/>
      </w:r>
      <w:r w:rsidR="0095662D" w:rsidRPr="00662E51">
        <w:t>(2014)</w:t>
      </w:r>
      <w:r w:rsidRPr="00662E51">
        <w:rPr>
          <w:szCs w:val="24"/>
        </w:rPr>
        <w:fldChar w:fldCharType="end"/>
      </w:r>
      <w:r w:rsidRPr="00662E51">
        <w:rPr>
          <w:szCs w:val="24"/>
        </w:rPr>
        <w:t xml:space="preserve"> answer. It marks a turn in governance practices “</w:t>
      </w:r>
      <w:r w:rsidRPr="00662E51">
        <w:rPr>
          <w:i/>
          <w:iCs/>
          <w:szCs w:val="24"/>
        </w:rPr>
        <w:t>toward</w:t>
      </w:r>
      <w:r w:rsidRPr="00662E51">
        <w:rPr>
          <w:szCs w:val="24"/>
        </w:rPr>
        <w:t xml:space="preserve"> constitutional and legal mechanisms” and thus a “move </w:t>
      </w:r>
      <w:r w:rsidRPr="00662E51">
        <w:rPr>
          <w:i/>
          <w:iCs/>
          <w:szCs w:val="24"/>
        </w:rPr>
        <w:t>away</w:t>
      </w:r>
      <w:r w:rsidRPr="00662E51">
        <w:rPr>
          <w:szCs w:val="24"/>
        </w:rPr>
        <w:t xml:space="preserve"> from seeking consent” for the hegemonic project of neoliberalism </w:t>
      </w:r>
      <w:r w:rsidRPr="00662E51">
        <w:rPr>
          <w:szCs w:val="24"/>
        </w:rPr>
        <w:fldChar w:fldCharType="begin"/>
      </w:r>
      <w:r w:rsidRPr="00662E51">
        <w:rPr>
          <w:szCs w:val="24"/>
        </w:rPr>
        <w:instrText xml:space="preserve"> ADDIN ZOTERO_ITEM CSL_CITATION {"citationID":"x17wh5WN","properties":{"formattedCitation":"(Bruff 2014, 116)","plainCitation":"(Bruff 2014, 116)","noteIndex":0},"citationItems":[{"id":5773,"uris":["http://zotero.org/users/8977980/items/YQRZXUST"],"itemData":{"id":5773,"type":"article-journal","container-title":"Rethinking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Neoliberalism","volume":"26","author":[{"family":"Bruff","given":"Ian"}],"issued":{"date-parts":[["2014",1,2]]}},"locator":"116"}],"schema":"https://github.com/citation-style-language/schema/raw/master/csl-citation.json"} </w:instrText>
      </w:r>
      <w:r w:rsidRPr="00662E51">
        <w:rPr>
          <w:szCs w:val="24"/>
        </w:rPr>
        <w:fldChar w:fldCharType="separate"/>
      </w:r>
      <w:r w:rsidR="0095662D" w:rsidRPr="00662E51">
        <w:t>(Bruff 2014, 116)</w:t>
      </w:r>
      <w:r w:rsidRPr="00662E51">
        <w:rPr>
          <w:szCs w:val="24"/>
        </w:rPr>
        <w:fldChar w:fldCharType="end"/>
      </w:r>
      <w:r w:rsidRPr="00662E51">
        <w:rPr>
          <w:szCs w:val="24"/>
        </w:rPr>
        <w:t>. That is, AN describes the state’s reaction to capitalist crunches</w:t>
      </w:r>
      <w:r w:rsidR="007E6565">
        <w:rPr>
          <w:szCs w:val="24"/>
        </w:rPr>
        <w:t>,</w:t>
      </w:r>
      <w:r w:rsidRPr="00662E51">
        <w:rPr>
          <w:szCs w:val="24"/>
        </w:rPr>
        <w:t xml:space="preserve"> in particular the 2008 global financial crisis and its subsequent austerity. As Tansel </w:t>
      </w:r>
      <w:r w:rsidRPr="00662E51">
        <w:rPr>
          <w:szCs w:val="24"/>
        </w:rPr>
        <w:fldChar w:fldCharType="begin"/>
      </w:r>
      <w:r w:rsidR="008835AB" w:rsidRPr="00662E51">
        <w:rPr>
          <w:szCs w:val="24"/>
        </w:rPr>
        <w:instrText xml:space="preserve"> ADDIN ZOTERO_ITEM CSL_CITATION {"citationID":"gN2h4VO1","properties":{"formattedCitation":"(2017, 15\\uc0\\u8211{}16)","plainCitation":"(2017, 15–16)","noteIndex":0},"citationItems":[{"id":5807,"uris":["http://zotero.org/users/8977980/items/KGMGBNMC"],"itemData":{"id":5807,"type":"book","abstract":"Despite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Burak"}],"issued":{"date-parts":[["2017",2,8]]}},"locator":"15-6","label":"page","suppress-author":true}],"schema":"https://github.com/citation-style-language/schema/raw/master/csl-citation.json"} </w:instrText>
      </w:r>
      <w:r w:rsidRPr="00662E51">
        <w:rPr>
          <w:szCs w:val="24"/>
        </w:rPr>
        <w:fldChar w:fldCharType="separate"/>
      </w:r>
      <w:r w:rsidR="0095662D" w:rsidRPr="00662E51">
        <w:rPr>
          <w:rFonts w:cs="Times New Roman"/>
          <w:kern w:val="0"/>
        </w:rPr>
        <w:t>(2017, 15–16)</w:t>
      </w:r>
      <w:r w:rsidRPr="00662E51">
        <w:rPr>
          <w:szCs w:val="24"/>
        </w:rPr>
        <w:fldChar w:fldCharType="end"/>
      </w:r>
      <w:r w:rsidRPr="00662E51">
        <w:rPr>
          <w:szCs w:val="24"/>
        </w:rPr>
        <w:t xml:space="preserve"> further explains, authoritarian neoliberalism “operates through a </w:t>
      </w:r>
      <w:r w:rsidR="0045314B" w:rsidRPr="00662E51">
        <w:rPr>
          <w:szCs w:val="24"/>
        </w:rPr>
        <w:t>pre-emptive</w:t>
      </w:r>
      <w:r w:rsidRPr="00662E51">
        <w:rPr>
          <w:szCs w:val="24"/>
        </w:rPr>
        <w:t xml:space="preserve"> discipline which simultaneously insulates neoliberal policies through a set of administrative, legal and coercive mechanisms and limits the spaces of popular resistance,” and is simultaneously characterised by a </w:t>
      </w:r>
      <w:r w:rsidRPr="00662E51">
        <w:rPr>
          <w:szCs w:val="24"/>
        </w:rPr>
        <w:lastRenderedPageBreak/>
        <w:t xml:space="preserve">“significant escalation in the state’s propensity to employ coercion and legal/extra-legal intimidation.” As such, AN </w:t>
      </w:r>
      <w:r w:rsidR="00114156" w:rsidRPr="00662E51">
        <w:rPr>
          <w:szCs w:val="24"/>
        </w:rPr>
        <w:t xml:space="preserve">is </w:t>
      </w:r>
      <w:r w:rsidRPr="00662E51">
        <w:rPr>
          <w:szCs w:val="24"/>
        </w:rPr>
        <w:t>understood as a reactive shift in governmental approaches away from consent</w:t>
      </w:r>
      <w:r w:rsidR="00DD5B71" w:rsidRPr="00662E51">
        <w:rPr>
          <w:szCs w:val="24"/>
        </w:rPr>
        <w:t xml:space="preserve"> and towards </w:t>
      </w:r>
      <w:r w:rsidR="005B4E79" w:rsidRPr="00662E51">
        <w:rPr>
          <w:szCs w:val="24"/>
        </w:rPr>
        <w:t>coercion coupled with insulation.</w:t>
      </w:r>
    </w:p>
    <w:p w14:paraId="602A610A" w14:textId="24A51C8F" w:rsidR="007B4EA4" w:rsidRPr="00662E51" w:rsidRDefault="007B4EA4" w:rsidP="00F56305">
      <w:pPr>
        <w:spacing w:line="360" w:lineRule="auto"/>
        <w:ind w:left="0" w:firstLine="720"/>
        <w:rPr>
          <w:szCs w:val="24"/>
        </w:rPr>
      </w:pPr>
      <w:r w:rsidRPr="00662E51">
        <w:rPr>
          <w:szCs w:val="24"/>
        </w:rPr>
        <w:t xml:space="preserve">It is important to note that coercion is not just an increasing reliance on police powers </w:t>
      </w:r>
      <w:r w:rsidRPr="00662E51">
        <w:rPr>
          <w:szCs w:val="24"/>
        </w:rPr>
        <w:fldChar w:fldCharType="begin"/>
      </w:r>
      <w:r w:rsidR="008835AB" w:rsidRPr="00662E51">
        <w:rPr>
          <w:szCs w:val="24"/>
        </w:rPr>
        <w:instrText xml:space="preserve"> ADDIN ZOTERO_ITEM CSL_CITATION {"citationID":"Y9XzgaMC","properties":{"formattedCitation":"(though it remains a hallmark of modern neoliberalism as seen in the example of ongoing oppression of pro-Palestine activism; Reilly 2025)","plainCitation":"(though it remains a hallmark of modern neoliberalism as seen in the example of ongoing oppression of pro-Palestine activism; Reilly 2025)","noteIndex":0},"citationItems":[{"id":6640,"uris":["http://zotero.org/users/8977980/items/46UUJIYZ"],"itemData":{"id":6640,"type":"webpage","abstract":"Amnesty International UK: BANNING PALESTINE ACTION ‘A DISTURBING LEGAL OVERREACH’ BY GOVERNMENT","genre":"Press Release","language":"en","title":"UK: Banning Palestine Action 'a disturbing legal overreach' by UK Government, Amnesty International UK Chief Executive warns","title-short":"Amnesty International UK","URL":"https://www.amnesty.org.uk/press-releases/uk-banning-palestine-action-disturbing-legal-overreach-uk-government-amnesty","author":[{"family":"Reilly","given":"Rachel"}],"accessed":{"date-parts":[["2025",7,4]]},"issued":{"date-parts":[["2025",7,2]]}},"prefix":"though it remains a hallmark of modern neoliberalism as seen in the example of ongoing oppression of pro-Palestine activism; "}],"schema":"https://github.com/citation-style-language/schema/raw/master/csl-citation.json"} </w:instrText>
      </w:r>
      <w:r w:rsidRPr="00662E51">
        <w:rPr>
          <w:szCs w:val="24"/>
        </w:rPr>
        <w:fldChar w:fldCharType="separate"/>
      </w:r>
      <w:r w:rsidR="008835AB" w:rsidRPr="00662E51">
        <w:t>(though it remains a hallmark of modern neoliberalism as seen in the example of ongoing oppression of pro-Palestine activism; Reilly 2025)</w:t>
      </w:r>
      <w:r w:rsidRPr="00662E51">
        <w:rPr>
          <w:szCs w:val="24"/>
        </w:rPr>
        <w:fldChar w:fldCharType="end"/>
      </w:r>
      <w:r w:rsidRPr="00662E51">
        <w:rPr>
          <w:szCs w:val="24"/>
        </w:rPr>
        <w:t xml:space="preserve"> It also means an </w:t>
      </w:r>
      <w:r w:rsidRPr="00662E51">
        <w:rPr>
          <w:i/>
          <w:iCs/>
          <w:szCs w:val="24"/>
        </w:rPr>
        <w:t>en</w:t>
      </w:r>
      <w:r w:rsidRPr="00662E51">
        <w:rPr>
          <w:szCs w:val="24"/>
        </w:rPr>
        <w:t xml:space="preserve">trenchment of state control of individual liberties and spheres of social life despite popular depictions of neoliberalism as merely the downsizing of the state </w:t>
      </w:r>
      <w:r w:rsidRPr="00662E51">
        <w:rPr>
          <w:szCs w:val="24"/>
        </w:rPr>
        <w:fldChar w:fldCharType="begin"/>
      </w:r>
      <w:r w:rsidR="00381E31">
        <w:rPr>
          <w:szCs w:val="24"/>
        </w:rPr>
        <w:instrText xml:space="preserve"> ADDIN ZOTERO_ITEM CSL_CITATION {"citationID":"2LUGbF6i","properties":{"formattedCitation":"(Davey and Koch 2021; Wacquant 2009)","plainCitation":"(Davey and Koch 2021; Wacquant 2009)","noteIndex":0},"citationItems":[{"id":5121,"uris":["http://zotero.org/users/8977980/items/RGMNPPDQ"],"itemData":{"id":5121,"type":"article-journal","abstract":"In Britain, especially in the 2010s, neoliberal reform involved an extension of legal coercion into the domestic and community lives of marginalized citizens. On two postindustrial housing estates in Britain, working-class residents experience this “everyday authoritarianism” in areas that the liberal state typically constructs as private and purports to leave alone: the home and the intimate relations that frame it. Residents engage this legal coercion by adopting responses that range from defensive avoidance to co-opting officials to acts of vigilantism. By doing so, they negotiate the presence of an authority that is often out of sync with their own expectations for protection, and in some cases actively undermines their efforts to remain safe. Their pluralism can be framed neither in terms of an acceptance of state authority nor as a straightforward refusal to be governed. Rather, it reveals the contradictory ways in which marginalized citizens define their relationship to the state under contemporary conditions of class fragmentation. By adding detail on everyday life to meta-narratives of an authoritarian turn, this article theorizes the political potential and limits of people's daily engagements with the state for contesting the latter's authority. [class, coercion, liberal governance]","container-title":"PoLAR: Political and Legal Anthropology Review","DOI":"10.1111/plar.12422","ISSN":"1555-2934","issue":"1","language":"en","note":"_eprint: https://onlinelibrary.wiley.com/doi/pdf/10.1111/plar.12422","page":"43-59","source":"Wiley Online Library","title":"Everyday Authoritarianism: Class and Coercion on Housing Estates in Neoliberal Britain","title-short":"Everyday Authoritarianism","volume":"44","author":[{"family":"Davey","given":"Ryan"},{"family":"Koch","given":"Insa Lee"}],"issued":{"date-parts":[["2021"]]}}},{"id":2013,"uris":["http://zotero.org/groups/4816685/items/6JDI6GX2"],"itemData":{"id":2013,"type":"book","edition":"Illustrated edition","ISBN":"978-0-8223-4422-3","language":"English","number-of-pages":"400","publisher":"Duke University Press","publisher-place":"Durham NC","source":"Amazon","title":"Punishing the Poor: The Neoliberal Government of Social Insecurity","title-short":"Punishing the Poor","author":[{"family":"Wacquant","given":"Loïc"}],"issued":{"date-parts":[["2009",7,14]]}}}],"schema":"https://github.com/citation-style-language/schema/raw/master/csl-citation.json"} </w:instrText>
      </w:r>
      <w:r w:rsidRPr="00662E51">
        <w:rPr>
          <w:szCs w:val="24"/>
        </w:rPr>
        <w:fldChar w:fldCharType="separate"/>
      </w:r>
      <w:r w:rsidR="00381E31" w:rsidRPr="00381E31">
        <w:t>(Davey and Koch 2021; Wacquant 2009)</w:t>
      </w:r>
      <w:r w:rsidRPr="00662E51">
        <w:rPr>
          <w:szCs w:val="24"/>
        </w:rPr>
        <w:fldChar w:fldCharType="end"/>
      </w:r>
      <w:r w:rsidRPr="00662E51">
        <w:rPr>
          <w:szCs w:val="24"/>
        </w:rPr>
        <w:t xml:space="preserve">. State entrenchment is also found in the ‘roll-out’ neoliberalism described by Peck and Tickell </w:t>
      </w:r>
      <w:r w:rsidRPr="00662E51">
        <w:rPr>
          <w:szCs w:val="24"/>
        </w:rPr>
        <w:fldChar w:fldCharType="begin"/>
      </w:r>
      <w:r w:rsidRPr="00662E51">
        <w:rPr>
          <w:szCs w:val="24"/>
        </w:rPr>
        <w:instrText xml:space="preserve"> ADDIN ZOTERO_ITEM CSL_CITATION {"citationID":"U89LE7aK","properties":{"formattedCitation":"(2002)","plainCitation":"(2002)","noteIndex":0},"citationItems":[{"id":4963,"uris":["http://zotero.org/users/8977980/items/ZGU9BQME"],"itemData":{"id":4963,"type":"article-journal","abstract":"This paper revisits the question of the political and theoretical status of neoliberalism, making the case for a process–based analysis of “neoliberalization.” Drawing on the experience of the heartlands of neoliberal discursive production, North America and Western Europe, it is argued that the transformative and adaptive capacity of this far–reaching political–economic project has been repeatedly underestimated. Amongst other things, this calls for a close reading of the historical and geographical (re)constitution of the process of neoliberalization and of the variable ways in which different “local neoliberalisms” are embedded within wider networks and structures of neoliberalism. The paper’s contribution to this project is to establish a stylized distinction between the destructive and creative moments of the process of neoliberalism—which are characterized in terms of “roll–back” and “roll–out” neoliberalism, respectively—and then to explore some of the ways in which neoliberalism, in its changing forms, is playing a part in the reconstruction of extralocal relations, pressures, and disciplines.","container-title":"Antipode","DOI":"10.1111/1467-8330.00247","ISSN":"1467-8330","issue":"3","language":"en","license":"Editorial Board of Antipode 2002","note":"_eprint: https://onlinelibrary.wiley.com/doi/pdf/10.1111/1467-8330.00247","page":"380-404","source":"Wiley Online Library","title":"Neoliberalizing Space","volume":"34","author":[{"family":"Peck","given":"Jamie"},{"family":"Tickell","given":"Adam"}],"issued":{"date-parts":[["2002"]]}},"suppress-author":true}],"schema":"https://github.com/citation-style-language/schema/raw/master/csl-citation.json"} </w:instrText>
      </w:r>
      <w:r w:rsidRPr="00662E51">
        <w:rPr>
          <w:szCs w:val="24"/>
        </w:rPr>
        <w:fldChar w:fldCharType="separate"/>
      </w:r>
      <w:r w:rsidR="0095662D" w:rsidRPr="00662E51">
        <w:t>(2002)</w:t>
      </w:r>
      <w:r w:rsidRPr="00662E51">
        <w:rPr>
          <w:szCs w:val="24"/>
        </w:rPr>
        <w:fldChar w:fldCharType="end"/>
      </w:r>
      <w:r w:rsidRPr="00662E51">
        <w:rPr>
          <w:szCs w:val="24"/>
        </w:rPr>
        <w:t xml:space="preserve">: as economic neoliberalism has become policy ‘common sense,’ the frontiers of policymaking have shifted to the ‘social’—crime, immigration, policing, urban welfare, and so on. The sharp edge of neoliberalism hits not only the economic, but also the social. AN also involves legitimation processes, in which neoliberal states continuously attempt to transform denizens into eager neoliberal subjects—with the goal of preparing new fertile ground for accumulation and preemptively quieting dissent </w:t>
      </w:r>
      <w:r w:rsidRPr="00662E51">
        <w:rPr>
          <w:szCs w:val="24"/>
        </w:rPr>
        <w:fldChar w:fldCharType="begin"/>
      </w:r>
      <w:r w:rsidR="00213B80">
        <w:rPr>
          <w:szCs w:val="24"/>
        </w:rPr>
        <w:instrText xml:space="preserve"> ADDIN ZOTERO_ITEM CSL_CITATION {"citationID":"TQ1K3vuh","properties":{"formattedCitation":"(Kurt-\\uc0\\u214{}zman and Tasan-Kok 2025; J. Ward and Da Costa Vieira 2024)","plainCitation":"(Kurt-Özman and Tasan-Kok 2025; J. Ward and Da Costa Vieira 2024)","noteIndex":0},"citationItems":[{"id":6846,"uris":["http://zotero.org/users/8977980/items/VI6B2WWD"],"itemData":{"id":6846,"type":"article-journal","abstract":"This article explores the authoritarian entrepreneurial approach to urban governance and its transformative influence on community dynamics in Istanbul’s Fikirtepe Urban Regeneration Project. As a large-scale urban redevelopment initiative, Fikirtepe has become a contested ground of competing interests, where strict regulations coexist with flexible planning practices, forming a complex governance model that turns community actors into quasi-developers. We argue that a governance framework characterised by a fusion of authoritarian and entrepreneurial traits, through mechanisms like the Disaster Law No. 6306 and the 2/3 majority rule, embeds profit-seeking behaviours within regulatory practices and state–market alliances, sidelining local authorities, marginalising stakeholders and intensifying conflicts. Unlike typical capitalist frameworks, this model compels both developers and residents to adopt opportunistic, profit-driven strategies, a phenomenon termed ‘entrepreneurial citizenship’. This redefines the roles of urban actors and disrupts traditional planning processes. In connection with this convergence of governance extremes, negotiation-orientated approaches to planning emerge, where all stakeholders, from residents to property developers to policy networks, engage in competitive adaptation. By illustrating the distinctive challenges unique to Fikirtepe, we conclude by evidencing an imperative trend in urban governance, subject to both progressively authoritarian and entrepreneurial turns, and issue an urgent call to examine its broader implications for urban studies.","container-title":"Urban Studies","DOI":"10.1177/00420980251345701","ISSN":"0042-0980","language":"EN","page":"00420980251345701","publisher":"SAGE Publications Ltd","source":"SAGE Journals","title":"Community politics in urban regeneration under authoritarian entrepreneurial governance","author":[{"family":"Kurt-Özman","given":"Ebru"},{"family":"Tasan-Kok","given":"Tuna"}],"issued":{"date-parts":[["2025",7,23]]}}},{"id":6492,"uris":["http://zotero.org/users/8977980/items/BL9N2EIT"],"itemData":{"id":6492,"type":"article-journal","abstract":"In the face of protracted stagnation following the global financial crisis, democratic governments who remain committed to neoliberalism are still required to secure popular support for their programmes. This article evaluates how this dilemma has presaged a shift in the relationship between governmental attempts to maintain neoliberal legitimacy and the imposition of authoritarian reforms. We argue that, in the aftermath of the 2015 refugee crisis, this shift has consisted of the elevation of home affairs policy and the advance of a ‘mutated’ politics of legitimation characterised by explicit forms of ‘othering’ and hostility towards the wider political system. Drawing on the examples of the UK and France, we show how this deepening authoritarianism has manifested along two interconnected axes: (1) increased police powers and suppression of protests and civil liberties; (2) enhanced border security and restrictions on citizenship. Contributing to scholarship on authoritarian neoliberalism, we argue that this elevation of home affairs not only augurs the intensification of authoritarianism, but also reveals how governments have utilised popular resistance to authoritarian reforms to generate new forms of reactionary ‘consent’.","container-title":"Geoforum","DOI":"10.1016/j.geoforum.2024.103942","ISSN":"0016-7185","journalAbbreviation":"Geoforum","page":"103942","source":"ScienceDirect","title":"Authoritarian neoliberalism between Johnson and Jupiter: Declining legitimacy and the elevation of home affairs in post-Brexit Britain and Macron’s France","title-short":"Authoritarian neoliberalism between Johnson and Jupiter","volume":"149","author":[{"family":"Ward","given":"Joseph"},{"family":"Da Costa Vieira","given":"Thomas"}],"issued":{"date-parts":[["2024",2,1]]}}}],"schema":"https://github.com/citation-style-language/schema/raw/master/csl-citation.json"} </w:instrText>
      </w:r>
      <w:r w:rsidRPr="00662E51">
        <w:rPr>
          <w:szCs w:val="24"/>
        </w:rPr>
        <w:fldChar w:fldCharType="separate"/>
      </w:r>
      <w:r w:rsidR="00213B80" w:rsidRPr="00213B80">
        <w:rPr>
          <w:rFonts w:cs="Times New Roman"/>
          <w:kern w:val="0"/>
        </w:rPr>
        <w:t>(Kurt-Özman and Tasan-Kok 2025; J. Ward and Da Costa Vieira 2024)</w:t>
      </w:r>
      <w:r w:rsidRPr="00662E51">
        <w:rPr>
          <w:szCs w:val="24"/>
        </w:rPr>
        <w:fldChar w:fldCharType="end"/>
      </w:r>
      <w:r w:rsidRPr="00662E51">
        <w:rPr>
          <w:szCs w:val="24"/>
        </w:rPr>
        <w:t xml:space="preserve">. </w:t>
      </w:r>
      <w:r w:rsidR="00E7492A">
        <w:rPr>
          <w:szCs w:val="24"/>
        </w:rPr>
        <w:t xml:space="preserve">Although legitimation processes might seem </w:t>
      </w:r>
      <w:r w:rsidR="00EA054C">
        <w:rPr>
          <w:szCs w:val="24"/>
        </w:rPr>
        <w:t xml:space="preserve">in conflict with the coercive practices of authoritarianism, Da Costa Vieira </w:t>
      </w:r>
      <w:r w:rsidR="00243DC5">
        <w:rPr>
          <w:szCs w:val="24"/>
        </w:rPr>
        <w:fldChar w:fldCharType="begin"/>
      </w:r>
      <w:r w:rsidR="00243DC5">
        <w:rPr>
          <w:szCs w:val="24"/>
        </w:rPr>
        <w:instrText xml:space="preserve"> ADDIN ZOTERO_ITEM CSL_CITATION {"citationID":"2SnxxJyl","properties":{"formattedCitation":"(2023)","plainCitation":"(2023)","noteIndex":0},"citationItems":[{"id":5759,"uris":["http://zotero.org/users/8977980/items/QJQY2YCJ"],"itemData":{"id":5759,"type":"article-journal","abstract":"In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Vieira","given":"Thomas"}],"issued":{"date-parts":[["2023",10,1]]}},"suppress-author":true}],"schema":"https://github.com/citation-style-language/schema/raw/master/csl-citation.json"} </w:instrText>
      </w:r>
      <w:r w:rsidR="00243DC5">
        <w:rPr>
          <w:szCs w:val="24"/>
        </w:rPr>
        <w:fldChar w:fldCharType="separate"/>
      </w:r>
      <w:r w:rsidR="00243DC5" w:rsidRPr="00243DC5">
        <w:t>(2023)</w:t>
      </w:r>
      <w:r w:rsidR="00243DC5">
        <w:rPr>
          <w:szCs w:val="24"/>
        </w:rPr>
        <w:fldChar w:fldCharType="end"/>
      </w:r>
      <w:r w:rsidR="00243DC5">
        <w:rPr>
          <w:szCs w:val="24"/>
        </w:rPr>
        <w:t xml:space="preserve"> </w:t>
      </w:r>
      <w:r w:rsidR="00EA054C">
        <w:rPr>
          <w:szCs w:val="24"/>
        </w:rPr>
        <w:t xml:space="preserve">argues that </w:t>
      </w:r>
      <w:r w:rsidR="00113AC0">
        <w:rPr>
          <w:szCs w:val="24"/>
        </w:rPr>
        <w:t xml:space="preserve">coercion </w:t>
      </w:r>
      <w:r w:rsidR="00AA078B">
        <w:rPr>
          <w:szCs w:val="24"/>
        </w:rPr>
        <w:t xml:space="preserve">and the manufacturing of consent </w:t>
      </w:r>
      <w:r w:rsidR="00113AC0">
        <w:rPr>
          <w:szCs w:val="24"/>
        </w:rPr>
        <w:t>are not mutually exclusive and have been historically related</w:t>
      </w:r>
      <w:r w:rsidR="003D3831">
        <w:rPr>
          <w:szCs w:val="24"/>
        </w:rPr>
        <w:t xml:space="preserve">, </w:t>
      </w:r>
      <w:r w:rsidR="00AA078B">
        <w:rPr>
          <w:szCs w:val="24"/>
        </w:rPr>
        <w:t>dating back to the origins of neoliberalism in the</w:t>
      </w:r>
      <w:r w:rsidR="002E301A">
        <w:rPr>
          <w:szCs w:val="24"/>
        </w:rPr>
        <w:t xml:space="preserve"> mid-20</w:t>
      </w:r>
      <w:r w:rsidR="002E301A" w:rsidRPr="002E301A">
        <w:rPr>
          <w:szCs w:val="24"/>
          <w:vertAlign w:val="superscript"/>
        </w:rPr>
        <w:t>th</w:t>
      </w:r>
      <w:r w:rsidR="002E301A">
        <w:rPr>
          <w:szCs w:val="24"/>
        </w:rPr>
        <w:t xml:space="preserve"> century</w:t>
      </w:r>
      <w:r w:rsidR="00243DC5">
        <w:rPr>
          <w:szCs w:val="24"/>
        </w:rPr>
        <w:t xml:space="preserve">. </w:t>
      </w:r>
      <w:r w:rsidR="0061682E">
        <w:rPr>
          <w:szCs w:val="24"/>
        </w:rPr>
        <w:t xml:space="preserve">Indeed, legitimation </w:t>
      </w:r>
      <w:r w:rsidR="000B5BF9">
        <w:rPr>
          <w:szCs w:val="24"/>
        </w:rPr>
        <w:t>functions</w:t>
      </w:r>
      <w:r w:rsidR="00506E0E">
        <w:rPr>
          <w:szCs w:val="24"/>
        </w:rPr>
        <w:t xml:space="preserve"> as a </w:t>
      </w:r>
      <w:r w:rsidR="00506E0E" w:rsidRPr="00506E0E">
        <w:rPr>
          <w:i/>
          <w:iCs/>
          <w:szCs w:val="24"/>
        </w:rPr>
        <w:t>complementary approach</w:t>
      </w:r>
      <w:r w:rsidR="00506E0E">
        <w:rPr>
          <w:i/>
          <w:iCs/>
          <w:szCs w:val="24"/>
        </w:rPr>
        <w:t xml:space="preserve"> </w:t>
      </w:r>
      <w:r w:rsidR="00506E0E">
        <w:rPr>
          <w:szCs w:val="24"/>
        </w:rPr>
        <w:t>to coercion</w:t>
      </w:r>
      <w:r w:rsidR="00E34B32">
        <w:rPr>
          <w:szCs w:val="24"/>
        </w:rPr>
        <w:t xml:space="preserve">: </w:t>
      </w:r>
      <w:r w:rsidR="00480ECA">
        <w:rPr>
          <w:szCs w:val="24"/>
        </w:rPr>
        <w:t xml:space="preserve">a nation’s population will unevenly support neoliberal political economy. </w:t>
      </w:r>
      <w:r w:rsidR="00EE3B63">
        <w:rPr>
          <w:szCs w:val="24"/>
        </w:rPr>
        <w:t xml:space="preserve">Ultimately, these twinned processes highlight </w:t>
      </w:r>
      <w:r w:rsidR="009F1345">
        <w:rPr>
          <w:szCs w:val="24"/>
        </w:rPr>
        <w:t>the often contradictory and complicated processes of neoliberal world-building. T</w:t>
      </w:r>
      <w:r w:rsidRPr="00662E51">
        <w:rPr>
          <w:szCs w:val="24"/>
        </w:rPr>
        <w:t xml:space="preserve">his occurs mostly through moral, political, and cultural discourses and functions as a reinforcement of the neoliberal mindset. </w:t>
      </w:r>
    </w:p>
    <w:p w14:paraId="54D9957F" w14:textId="20637E14" w:rsidR="007B4EA4" w:rsidRPr="00662E51" w:rsidRDefault="007B4EA4" w:rsidP="00F56305">
      <w:pPr>
        <w:spacing w:line="360" w:lineRule="auto"/>
        <w:ind w:left="0" w:firstLine="720"/>
        <w:rPr>
          <w:szCs w:val="24"/>
        </w:rPr>
      </w:pPr>
      <w:r w:rsidRPr="00662E51">
        <w:rPr>
          <w:szCs w:val="24"/>
        </w:rPr>
        <w:t xml:space="preserve">It is also linked to theories of depoliticisation, which generally captures moments when the state offloads responsibility for political and economic policy onto external experts, thereby obfuscating the contestability of policymaking and implementation </w:t>
      </w:r>
      <w:r w:rsidRPr="00662E51">
        <w:rPr>
          <w:szCs w:val="24"/>
        </w:rPr>
        <w:fldChar w:fldCharType="begin"/>
      </w:r>
      <w:r w:rsidR="008835AB" w:rsidRPr="00662E51">
        <w:rPr>
          <w:szCs w:val="24"/>
        </w:rPr>
        <w:instrText xml:space="preserve"> ADDIN ZOTERO_ITEM CSL_CITATION {"citationID":"izLUQ50J","properties":{"formattedCitation":"(Burnham 2001; Flinders 2008; Strange 2014)","plainCitation":"(Burnham 2001; Flinders 2008; Strange 2014)","noteIndex":0},"citationItems":[{"id":6661,"uris":["http://zotero.org/users/8977980/items/YID6BF3R"],"itemData":{"id":6661,"type":"article-journal","abstract":"A number of commentators in the 1980s sought to explain the character of the Thatcher administration. By contrast, relatively little work has been produced that seeks to analyse the principles and governing strategies of the Blair government. Focusing primarily on economic management, this article offers a characterisation of statecraft under Blair in terms of the politics of depoliticisation. In summary, it argues that the Blair government has fused aspects of traditional economic management with new initiatives to create a powerful tool of governing organised on the basis of the principle of depoliticisation. Depoliticisation as a governing strategy is the process of placing at one remove the political character of decision-making. State managers retain arm's-length control over crucial economic and social processes whilst simultaneously benefiting from the distancing effects of depoliticisation. As a form of politics it seeks to change market expectations regarding the effectiveness and credibility of policy-making in addition to shielding the government from the consequences of unpopular policies.","container-title":"The British Journal of Politics &amp; International Relations","DOI":"10.1111/1467-856X.00054","ISSN":"1467-856X","issue":"2","language":"en","license":"Political Studies Association 2001","note":"_eprint: https://onlinelibrary.wiley.com/doi/pdf/10.1111/1467-856X.00054","page":"127-149","source":"Wiley Online Library","title":"New Labour and the politics of depoliticisation","volume":"3","author":[{"family":"Burnham","given":"Peter"}],"issued":{"date-parts":[["2001"]]}}},{"id":6667,"uris":["http://zotero.org/users/8977980/items/9Z8KFXUU"],"itemData":{"id":6667,"type":"book","abstract":"The delegation of functions and responsibilities to quasi-autonomous bodies operating with a significant degree of autonomy arguably empowers governments to address a wide range of social issues simultaneously without having to be involved with the minutiae of day-to-day socio-political interactions. Delegation therefore provides a structural and esoteric capacity beyond the cognitive and physical limits of politicians. There is nothing wrong with delegation as such. The problem relates to the failure to manage delegation in Britain. And yet we actually know very little about how the state beyond the core actually operates, how many bodies exist, what they do, how they are recruited, or why they were created. These gaps in our knowledge are all the more problematic in light of recent pronouncements by politicians at the national and European levels that ‘depoliticization’ is a central strand of their approach to governing. This book seeks to fill these gaps in our knowledge while at the same time cultivating a more balanced or sophisticated approach to the study of delegation. Delegated public bodies as they have been used as a tool of governance in the past should not be confused with how they might be used in the future. This book draws upon research conducted within the very core of the British political system during a Whitehall Fellowship within the Cabinet Office. It argues that the British state is ‘walking without order’ due to a general acceptance of the logic of delegation without any detailed or principled consideration of the administrative of democratic consequences of this process.","ISBN":"978-0-19-927160-3","note":"DOI: 10.1093/acprof:oso/9780199271603.001.0001","publisher":"Oxford University Press","source":"Silverchair","title":"Delegated Governance and the British State: Walking without Order","title-short":"Delegated Governance and the British State","URL":"https://doi.org/10.1093/acprof:oso/9780199271603.001.0001","author":[{"family":"Flinders","given":"Matthew"}],"accessed":{"date-parts":[["2025",7,7]]},"issued":{"date-parts":[["2008",8,1]]}}},{"id":6666,"uris":["http://zotero.org/users/8977980/items/24YW4A7U"],"itemData":{"id":6666,"type":"article-journal","abstract":"Pointing to its radical underpinnings in so-called ‘Open Marxism’ and its theory of the state (one that subsumes the state in the capital relation), this article critically scrutinises Peter Burnham's thesis of ‘depoliticisation’ as a dominant accumulation strategy and regime. The article identifies ambiguities around Burnham's depiction of New Labour in power as committed to depoliticisation. It addresses these by drawing a distinction between regime of accumulation and mode of regulation, characterising New Labour's political economy in terms of the latter as a form of depoliticised Keynesianism framed by ‘discretionary constraint’. Contra-Burnham, the article points to the continued efficacy of Keynesian and social democratic political agency in the context of a dialectic of depoliticisation and repoliticisation focused on the role and power of the state. This dialectic is symptomatic of the contested regulation of capitalism around the defence of the value of money, on the one hand, and its broader management and redistribution, on the other.","container-title":"New Political Economy","DOI":"10.1080/13563467.2013.779648","ISSN":"1356-3467","issue":"1","note":"_eprint: https://doi.org/10.1080/13563467.2013.779648","page":"138-154","publisher":"Routledge","source":"Taylor and Francis+NEJM","title":"Depoliticisation, the Management of Money and the Renewal of Social Democracy: New Labour's Keynesianism and the Political Economy of ‘Discretionary Constraint’","title-short":"Depoliticisation, the Management of Money and the Renewal of Social Democracy","volume":"19","author":[{"family":"Strange","given":"Gerard"}],"issued":{"date-parts":[["2014",1,2]]}}}],"schema":"https://github.com/citation-style-language/schema/raw/master/csl-citation.json"} </w:instrText>
      </w:r>
      <w:r w:rsidRPr="00662E51">
        <w:rPr>
          <w:szCs w:val="24"/>
        </w:rPr>
        <w:fldChar w:fldCharType="separate"/>
      </w:r>
      <w:r w:rsidR="00EB0C05" w:rsidRPr="00662E51">
        <w:t>(Burnham 2001; Flinders 2008; Strange 2014)</w:t>
      </w:r>
      <w:r w:rsidRPr="00662E51">
        <w:rPr>
          <w:szCs w:val="24"/>
        </w:rPr>
        <w:fldChar w:fldCharType="end"/>
      </w:r>
      <w:r w:rsidRPr="00662E51">
        <w:rPr>
          <w:szCs w:val="24"/>
        </w:rPr>
        <w:t xml:space="preserve">. Often but not always, depoliticisation is a process “whereby state managers may seek to place at one remove the politically contested character of governing and in so doing </w:t>
      </w:r>
      <w:r w:rsidRPr="00662E51">
        <w:rPr>
          <w:szCs w:val="24"/>
        </w:rPr>
        <w:lastRenderedPageBreak/>
        <w:t xml:space="preserve">paradoxically enhance political control” </w:t>
      </w:r>
      <w:r w:rsidRPr="00662E51">
        <w:rPr>
          <w:szCs w:val="24"/>
        </w:rPr>
        <w:fldChar w:fldCharType="begin"/>
      </w:r>
      <w:r w:rsidR="008835AB" w:rsidRPr="00662E51">
        <w:rPr>
          <w:szCs w:val="24"/>
        </w:rPr>
        <w:instrText xml:space="preserve"> ADDIN ZOTERO_ITEM CSL_CITATION {"citationID":"JM2fRMAJ","properties":{"formattedCitation":"(Burnham 2014, 189)","plainCitation":"(Burnham 2014, 189)","noteIndex":0},"citationItems":[{"id":6669,"uris":["http://zotero.org/users/8977980/items/WY3E2APN"],"itemData":{"id":6669,"type":"article-journal","abstract":"This article places the study of depoliticisation within a framework that highlights the crisis-ridden character of capitalist development. It suggests that by linking depoliticisation to the activities of state managers engaged in crisis management, the concept scores highly in terms of clarity and precision over more expansive uses that lack a cutting edge and result in the assertion that ‘depoliticisation is everywhere’. In a context characterised by the continued crisis of global capital it is argued that the politicisation of social relations threatens the basis not only of individual governments but of the liberal capitalist form of the state itself.","DOI":"10.1332/030557312X655954","language":"en","section":"Policy &amp; Politics","source":"bristoluniversitypressdigital.com","title":"Depoliticisation: economic crisis and political management","title-short":"Depoliticisation","URL":"https://bristoluniversitypressdigital.com/view/journals/pp/42/2/article-p189.xml","author":[{"family":"Burnham","given":"Peter"}],"accessed":{"date-parts":[["2025",7,7]]},"issued":{"date-parts":[["2014",4,1]]}},"locator":"189"}],"schema":"https://github.com/citation-style-language/schema/raw/master/csl-citation.json"} </w:instrText>
      </w:r>
      <w:r w:rsidRPr="00662E51">
        <w:rPr>
          <w:szCs w:val="24"/>
        </w:rPr>
        <w:fldChar w:fldCharType="separate"/>
      </w:r>
      <w:r w:rsidR="0095662D" w:rsidRPr="00662E51">
        <w:t>(Burnham 2014, 189)</w:t>
      </w:r>
      <w:r w:rsidRPr="00662E51">
        <w:rPr>
          <w:szCs w:val="24"/>
        </w:rPr>
        <w:fldChar w:fldCharType="end"/>
      </w:r>
      <w:r w:rsidRPr="00662E51">
        <w:rPr>
          <w:szCs w:val="24"/>
        </w:rPr>
        <w:t xml:space="preserve">. </w:t>
      </w:r>
      <w:r w:rsidR="00EA4170">
        <w:rPr>
          <w:szCs w:val="24"/>
        </w:rPr>
        <w:t>D</w:t>
      </w:r>
      <w:r w:rsidRPr="00662E51">
        <w:rPr>
          <w:szCs w:val="24"/>
        </w:rPr>
        <w:t xml:space="preserve">epoliticisation does not remove politics. Rather, “the arena or process through which decisions are taken is altered (i.e. the form of politics changes or the issue is subject to an altered governance structure)” </w:t>
      </w:r>
      <w:r w:rsidRPr="00662E51">
        <w:rPr>
          <w:szCs w:val="24"/>
        </w:rPr>
        <w:fldChar w:fldCharType="begin"/>
      </w:r>
      <w:r w:rsidR="008835AB" w:rsidRPr="00662E51">
        <w:rPr>
          <w:szCs w:val="24"/>
        </w:rPr>
        <w:instrText xml:space="preserve"> ADDIN ZOTERO_ITEM CSL_CITATION {"citationID":"Imnijev8","properties":{"formattedCitation":"(Flinders and Buller 2006, 296)","plainCitation":"(Flinders and Buller 2006, 296)","noteIndex":0},"citationItems":[{"id":6672,"uris":["http://zotero.org/users/8977980/items/NLRRMQGU"],"itemData":{"id":6672,"type":"article-journal","container-title":"British Politics","DOI":"10.1057/palgrave.bp.4200016","ISSN":"1746-918X, 1746-9198","issue":"3","journalAbbreviation":"Br Polit","language":"en","license":"http://www.springer.com/tdm","page":"293-318","publisher":"Springer Science and Business Media LLC","source":"Crossref","title":"Depoliticisation: Principles, Tactics and Tools","title-short":"Depoliticisation","volume":"1","author":[{"family":"Flinders","given":"Matthew"},{"family":"Buller","given":"Jim"}],"issued":{"date-parts":[["2006",11]]}},"locator":"296"}],"schema":"https://github.com/citation-style-language/schema/raw/master/csl-citation.json"} </w:instrText>
      </w:r>
      <w:r w:rsidRPr="00662E51">
        <w:rPr>
          <w:szCs w:val="24"/>
        </w:rPr>
        <w:fldChar w:fldCharType="separate"/>
      </w:r>
      <w:r w:rsidR="0095662D" w:rsidRPr="00662E51">
        <w:t>(Flinders and Buller 2006, 296)</w:t>
      </w:r>
      <w:r w:rsidRPr="00662E51">
        <w:rPr>
          <w:szCs w:val="24"/>
        </w:rPr>
        <w:fldChar w:fldCharType="end"/>
      </w:r>
      <w:r w:rsidRPr="00662E51">
        <w:rPr>
          <w:szCs w:val="24"/>
        </w:rPr>
        <w:t>. New Labour’</w:t>
      </w:r>
      <w:r w:rsidR="00A93A85" w:rsidRPr="00662E51">
        <w:rPr>
          <w:szCs w:val="24"/>
        </w:rPr>
        <w:t>s</w:t>
      </w:r>
      <w:r w:rsidRPr="00662E51">
        <w:rPr>
          <w:szCs w:val="24"/>
        </w:rPr>
        <w:t xml:space="preserve"> economic policy reflects a shift from discretion-based to rules-based management, which offloaded responsibility away from the government of the day onto allegedly non-political bodies like ‘quangos’</w:t>
      </w:r>
      <w:r w:rsidRPr="00BD17AF">
        <w:rPr>
          <w:rStyle w:val="FootnoteReference"/>
        </w:rPr>
        <w:footnoteReference w:id="38"/>
      </w:r>
      <w:r w:rsidRPr="00662E51">
        <w:rPr>
          <w:szCs w:val="24"/>
        </w:rPr>
        <w:t xml:space="preserve"> set up by New Labour </w:t>
      </w:r>
      <w:r w:rsidRPr="00662E51">
        <w:rPr>
          <w:szCs w:val="24"/>
        </w:rPr>
        <w:fldChar w:fldCharType="begin"/>
      </w:r>
      <w:r w:rsidRPr="00662E51">
        <w:rPr>
          <w:szCs w:val="24"/>
        </w:rPr>
        <w:instrText xml:space="preserve"> ADDIN ZOTERO_ITEM CSL_CITATION {"citationID":"bXsmeJlY","properties":{"formattedCitation":"(Flinders 2008)","plainCitation":"(Flinders 2008)","noteIndex":0},"citationItems":[{"id":6667,"uris":["http://zotero.org/users/8977980/items/9Z8KFXUU"],"itemData":{"id":6667,"type":"book","abstract":"The delegation of functions and responsibilities to quasi-autonomous bodies operating with a significant degree of autonomy arguably empowers governments to address a wide range of social issues simultaneously without having to be involved with the minutiae of day-to-day socio-political interactions. Delegation therefore provides a structural and esoteric capacity beyond the cognitive and physical limits of politicians. There is nothing wrong with delegation as such. The problem relates to the failure to manage delegation in Britain. And yet we actually know very little about how the state beyond the core actually operates, how many bodies exist, what they do, how they are recruited, or why they were created. These gaps in our knowledge are all the more problematic in light of recent pronouncements by politicians at the national and European levels that ‘depoliticization’ is a central strand of their approach to governing. This book seeks to fill these gaps in our knowledge while at the same time cultivating a more balanced or sophisticated approach to the study of delegation. Delegated public bodies as they have been used as a tool of governance in the past should not be confused with how they might be used in the future. This book draws upon research conducted within the very core of the British political system during a Whitehall Fellowship within the Cabinet Office. It argues that the British state is ‘walking without order’ due to a general acceptance of the logic of delegation without any detailed or principled consideration of the administrative of democratic consequences of this process.","ISBN":"978-0-19-927160-3","note":"DOI: 10.1093/acprof:oso/9780199271603.001.0001","publisher":"Oxford University Press","source":"Silverchair","title":"Delegated Governance and the British State: Walking without Order","title-short":"Delegated Governance and the British State","URL":"https://doi.org/10.1093/acprof:oso/9780199271603.001.0001","author":[{"family":"Flinders","given":"Matthew"}],"accessed":{"date-parts":[["2025",7,7]]},"issued":{"date-parts":[["2008",8,1]]}}}],"schema":"https://github.com/citation-style-language/schema/raw/master/csl-citation.json"} </w:instrText>
      </w:r>
      <w:r w:rsidRPr="00662E51">
        <w:rPr>
          <w:szCs w:val="24"/>
        </w:rPr>
        <w:fldChar w:fldCharType="separate"/>
      </w:r>
      <w:r w:rsidR="0095662D" w:rsidRPr="00662E51">
        <w:t>(Flinders 2008)</w:t>
      </w:r>
      <w:r w:rsidRPr="00662E51">
        <w:rPr>
          <w:szCs w:val="24"/>
        </w:rPr>
        <w:fldChar w:fldCharType="end"/>
      </w:r>
      <w:r w:rsidRPr="00662E51">
        <w:rPr>
          <w:szCs w:val="24"/>
        </w:rPr>
        <w:t xml:space="preserve">. Depoliticisation thus resonates with the insulating strand of AN, as it equally mirrors one of neoliberalism’s core processes: the de-democratisation of political economy </w:t>
      </w:r>
      <w:r w:rsidRPr="00662E51">
        <w:rPr>
          <w:szCs w:val="24"/>
        </w:rPr>
        <w:fldChar w:fldCharType="begin"/>
      </w:r>
      <w:r w:rsidR="008835AB" w:rsidRPr="00662E51">
        <w:rPr>
          <w:szCs w:val="24"/>
        </w:rPr>
        <w:instrText xml:space="preserve"> ADDIN ZOTERO_ITEM CSL_CITATION {"citationID":"RMv3dbgo","properties":{"formattedCitation":"(Kiely 2017)","plainCitation":"(Kiely 2017)","noteIndex":0},"citationItems":[{"id":6660,"uris":["http://zotero.org/users/8977980/items/4GKA3NTB"],"itemData":{"id":6660,"type":"article-journal","abstract":"Neoliberalism is often sharply contrasted with collectivist ideologies, including conservatism and fascism as well as socialism. This paper challenges such a characterization as too one-sided, focusing on neoliberalism in the context of ‘crises’ of liberal modernity, highlighting significant areas of overlap with authoritarian conservative and neo-fascist critiques of the rise of ‘mass democracy’ in the 1930s, and the common project to resist the politicization of the market economy and constitutional order. This project was applied and adapted in the post-1945 context, and specifically the second crisis of liberal modernity in the 1960s and 1970s, which turned to insights from the Chicago School to support economic technocracy over democracy. It was in this context that neoliberals developed either a more explicit authoritarianism in order to resist the demands of democracy, or the reconstruction of governance according to market principles, both designed to ‘de-democratize’ the liberal democratic political order.","container-title":"Critical Sociology","DOI":"10.1177/0896920516668386","ISSN":"0896-9205","issue":"4-5","language":"EN","page":"725-745","publisher":"SAGE Publications Ltd","source":"SAGE Journals","title":"From Authoritarian Liberalism to Economic Technocracy: Neoliberalism, Politics and ‘De-democratization’","title-short":"From Authoritarian Liberalism to Economic Technocracy","volume":"43","author":[{"family":"Kiely","given":"Ray"}],"issued":{"date-parts":[["2017",7,1]]}}}],"schema":"https://github.com/citation-style-language/schema/raw/master/csl-citation.json"} </w:instrText>
      </w:r>
      <w:r w:rsidRPr="00662E51">
        <w:rPr>
          <w:szCs w:val="24"/>
        </w:rPr>
        <w:fldChar w:fldCharType="separate"/>
      </w:r>
      <w:r w:rsidR="0095662D" w:rsidRPr="00662E51">
        <w:t>(Kiely 2017)</w:t>
      </w:r>
      <w:r w:rsidRPr="00662E51">
        <w:rPr>
          <w:szCs w:val="24"/>
        </w:rPr>
        <w:fldChar w:fldCharType="end"/>
      </w:r>
      <w:r w:rsidRPr="00662E51">
        <w:rPr>
          <w:szCs w:val="24"/>
        </w:rPr>
        <w:t>. Moments of crisis</w:t>
      </w:r>
      <w:r w:rsidR="00B1005F">
        <w:rPr>
          <w:szCs w:val="24"/>
        </w:rPr>
        <w:t xml:space="preserve"> </w:t>
      </w:r>
      <w:r w:rsidRPr="00662E51">
        <w:rPr>
          <w:szCs w:val="24"/>
        </w:rPr>
        <w:t xml:space="preserve">exacerbate these processes, as governments look to simultaneously centralise and depoliticise policymaking in response </w:t>
      </w:r>
      <w:r w:rsidRPr="00662E51">
        <w:rPr>
          <w:szCs w:val="24"/>
        </w:rPr>
        <w:fldChar w:fldCharType="begin"/>
      </w:r>
      <w:r w:rsidRPr="00662E51">
        <w:rPr>
          <w:szCs w:val="24"/>
        </w:rPr>
        <w:instrText xml:space="preserve"> ADDIN ZOTERO_ITEM CSL_CITATION {"citationID":"0jJh0FHB","properties":{"formattedCitation":"(Nardis 2025)","plainCitation":"(Nardis 2025)","noteIndex":0},"citationItems":[{"id":6673,"uris":["http://zotero.org/users/8977980/items/IUKVEUIS"],"itemData":{"id":6673,"type":"chapter","abstract":"In this chapter, the author reflects on the crisis of the democratic process in the West, starting from the decision-making practices that, in an era of constant emergency politics, tend to concentrate in the hands of governments, skipping the places of interest representation (parliaments). In this sense, the democratic crisis is connected to the dynamics of the centralization of power in an era of permanent emergency. The author uses the example of government decision-making in the COVID-19 era to reinforce his argument. Such decision-making practices indicate a process of gradual de-democratization, which the author also connects to the dynamics of de-politicization understood as the ways in which institutional politics works in an era of neoliberalism. At the same time, the reflection of decision-making is accompanied by a strengthening of state capacity and a reduction of the space for democratic participation and confrontation. From this point of view, the author finds useful the now-prolific literature that introduced the concept of authoritarian neoliberalism.","container-title":"Democracies on the Move","ISBN":"978-1-032-72252-8","note":"number-of-pages: 17","publisher":"Routledge","title":"Emergency politics and de-democratization in the age of authoritarian neoliberalism","author":[{"family":"Nardis","given":"Fabio","dropping-particle":"de"}],"issued":{"date-parts":[["2025"]]}}}],"schema":"https://github.com/citation-style-language/schema/raw/master/csl-citation.json"} </w:instrText>
      </w:r>
      <w:r w:rsidRPr="00662E51">
        <w:rPr>
          <w:szCs w:val="24"/>
        </w:rPr>
        <w:fldChar w:fldCharType="separate"/>
      </w:r>
      <w:r w:rsidR="0095662D" w:rsidRPr="00662E51">
        <w:t>(Nardis 2025)</w:t>
      </w:r>
      <w:r w:rsidRPr="00662E51">
        <w:rPr>
          <w:szCs w:val="24"/>
        </w:rPr>
        <w:fldChar w:fldCharType="end"/>
      </w:r>
      <w:r w:rsidRPr="00662E51">
        <w:rPr>
          <w:szCs w:val="24"/>
        </w:rPr>
        <w:t xml:space="preserve">. Nonetheless, the relationship between depoliticisation and its counterpart is contested. As Diamond </w:t>
      </w:r>
      <w:r w:rsidRPr="00662E51">
        <w:rPr>
          <w:szCs w:val="24"/>
        </w:rPr>
        <w:fldChar w:fldCharType="begin"/>
      </w:r>
      <w:r w:rsidRPr="00662E51">
        <w:rPr>
          <w:szCs w:val="24"/>
        </w:rPr>
        <w:instrText xml:space="preserve"> ADDIN ZOTERO_ITEM CSL_CITATION {"citationID":"ZNJCr5Ki","properties":{"formattedCitation":"(2015)","plainCitation":"(2015)","noteIndex":0},"citationItems":[{"id":6663,"uris":["http://zotero.org/users/8977980/items/US2ZKQ8M"],"itemData":{"id":6663,"type":"article-journal","abstract":"There is a considerable scholarly literature that interrogates why politicians are transferring powers to non-elected experts and limiting their policy discretion through ‘external rules’. While New Labour adopted a model of depoliticised state management in reforming UK public services, equally prominent was the politicised approach more usually associated with the Westminster model. This article’s core argument is that any shift towards depoliticisation is countered by structural trends reinforcing a politicised model of state management in British governance. In the Westminster system, political actors are rarely prepared to forego governing capacity, recognising the limitations of ‘blame avoidance’. Governing in the British polity necessitates elements of both politicisation and depoliticisation, evidenced by the hybrid statecraft of Blair and New Labour. Our analytical focus should be explaining relative changes over time, rather than positing a linear shift from politicised to depoliticised state management. Moreover, it is necessary to conceptualise the governing pathologies and unintended consequences that arise from the dual processes of politicisation and depoliticisation in the British state.","container-title":"British Politics","DOI":"10.1057/bp.2015.10","ISSN":"1746-9198","issue":"4","journalAbbreviation":"Br Polit","language":"en","page":"429-453","source":"Springer Link","title":"New Labour, politicisation and depoliticisation: The delivery agenda in public services 1997–2007","title-short":"New Labour, politicisation and depoliticisation","volume":"10","author":[{"family":"Diamond","given":"Patrick"}],"issued":{"date-parts":[["2015",12,1]]}},"label":"page","suppress-author":true}],"schema":"https://github.com/citation-style-language/schema/raw/master/csl-citation.json"} </w:instrText>
      </w:r>
      <w:r w:rsidRPr="00662E51">
        <w:rPr>
          <w:szCs w:val="24"/>
        </w:rPr>
        <w:fldChar w:fldCharType="separate"/>
      </w:r>
      <w:r w:rsidR="0095662D" w:rsidRPr="00662E51">
        <w:t>(2015)</w:t>
      </w:r>
      <w:r w:rsidRPr="00662E51">
        <w:rPr>
          <w:szCs w:val="24"/>
        </w:rPr>
        <w:fldChar w:fldCharType="end"/>
      </w:r>
      <w:r w:rsidRPr="00662E51">
        <w:rPr>
          <w:szCs w:val="24"/>
        </w:rPr>
        <w:t xml:space="preserve"> demonstrates in an examination of public service delivery during the Blair government, politicisation and its counterpart exist in a dialectical relationship. Consequently, while depoliticisation seems like a powerful and unstoppable process, its internal contradictions are exploitable and render contingent the depoliticisation process. AN is therefore a frame that describes two ongoing governance practices that sustain neoliberal political economy: insulation and coercion. </w:t>
      </w:r>
    </w:p>
    <w:p w14:paraId="730148B4" w14:textId="6295985E" w:rsidR="00856CF6" w:rsidRPr="00A1496D" w:rsidRDefault="007B4EA4" w:rsidP="00F56305">
      <w:pPr>
        <w:spacing w:line="360" w:lineRule="auto"/>
        <w:ind w:left="0" w:firstLine="720"/>
        <w:rPr>
          <w:szCs w:val="24"/>
        </w:rPr>
      </w:pPr>
      <w:r w:rsidRPr="00662E51">
        <w:rPr>
          <w:szCs w:val="24"/>
        </w:rPr>
        <w:t xml:space="preserve">Authoritarian neoliberalism sits within a lineage of different conceptual frames that have tried to understand modern economic restructuring and its effects </w:t>
      </w:r>
      <w:r w:rsidRPr="00662E51">
        <w:rPr>
          <w:szCs w:val="24"/>
        </w:rPr>
        <w:fldChar w:fldCharType="begin"/>
      </w:r>
      <w:r w:rsidR="00213B80">
        <w:rPr>
          <w:szCs w:val="24"/>
        </w:rPr>
        <w:instrText xml:space="preserve"> ADDIN ZOTERO_ITEM CSL_CITATION {"citationID":"NQjXouhV","properties":{"formattedCitation":"(e.g., Mark Goodwin and Painter 1996; S. Hall 1985; Peck and Tickell 2002; Poulantzas [1978] 2014; Wacquant 2009)","plainCitation":"(e.g., Mark Goodwin and Painter 1996; S. Hall 1985; Peck and Tickell 2002; Poulantzas [1978] 2014; Wacquant 2009)","noteIndex":0},"citationItems":[{"id":5564,"uris":["http://zotero.org/users/8977980/items/Q2KXCR9I"],"itemData":{"id":5564,"type":"article-journal","abstract":"During the last fifteen years the local government system in Britain has been transformed into one of local governance in which a multitude of unelected agencies (public, private and voluntary) have become involved in attempting to influence the fortunes of local areas. In this paper, we locate the roots of this shift in the crisis of the Fordist mode of regulation and political responses to it, suggest that a reworked regulation theory can provide a useful perspective from which to interpret current changes and outline the research framework that such a perspective involves. Although a key role for local government in Fordist processes of regulation may be identified, it is doubtful that new forms of local governance are contributing to the emergence of stable regulation in the 1990s. One reason for this is the geographical differentiation of contemporary regulatory processes.","container-title":"Transactions of the Institute of British Geographers","DOI":"10.2307/622391","ISSN":"0020-2754","issue":"4","page":"635-648","publisher":"[Royal Geographical Society (with the Institute of British Geographers), Wiley]","source":"JSTOR","title":"Local Governance, the Crises of Fordism and the Changing Geographies of Regulation","volume":"21","author":[{"family":"Goodwin","given":"Mark"},{"family":"Painter","given":"Joe"}],"issued":{"date-parts":[["1996"]]}},"prefix":"e.g., "},{"id":5795,"uris":["http://zotero.org/users/8977980/items/NRTYHPYC"],"itemData":{"id":5795,"type":"article-journal","container-title":"New Left Review","issue":"I/151","language":"en","page":"115-123","source":"Zotero","title":"Authoritarian Populism: A Reply to Jessop et al","author":[{"family":"Hall","given":"Stuart"}],"issued":{"date-parts":[["1985",6]]}}},{"id":4963,"uris":["http://zotero.org/users/8977980/items/ZGU9BQME"],"itemData":{"id":4963,"type":"article-journal","abstract":"This paper revisits the question of the political and theoretical status of neoliberalism, making the case for a process–based analysis of “neoliberalization.” Drawing on the experience of the heartlands of neoliberal discursive production, North America and Western Europe, it is argued that the transformative and adaptive capacity of this far–reaching political–economic project has been repeatedly underestimated. Amongst other things, this calls for a close reading of the historical and geographical (re)constitution of the process of neoliberalization and of the variable ways in which different “local neoliberalisms” are embedded within wider networks and structures of neoliberalism. The paper’s contribution to this project is to establish a stylized distinction between the destructive and creative moments of the process of neoliberalism—which are characterized in terms of “roll–back” and “roll–out” neoliberalism, respectively—and then to explore some of the ways in which neoliberalism, in its changing forms, is playing a part in the reconstruction of extralocal relations, pressures, and disciplines.","container-title":"Antipode","DOI":"10.1111/1467-8330.00247","ISSN":"1467-8330","issue":"3","language":"en","license":"Editorial Board of Antipode 2002","note":"_eprint: https://onlinelibrary.wiley.com/doi/pdf/10.1111/1467-8330.00247","page":"380-404","source":"Wiley Online Library","title":"Neoliberalizing Space","volume":"34","author":[{"family":"Peck","given":"Jamie"},{"family":"Tickell","given":"Adam"}],"issued":{"date-parts":[["2002"]]}}},{"id":6442,"uris":["http://zotero.org/users/8977980/items/DDJCGAMH"],"itemData":{"id":6442,"type":"book","collection-title":"Radical thinkers","ISBN":"978-1-78168-148-0","language":"eng","number-of-pages":"269","publisher":"Verso","publisher-place":"London","source":"K10plus ISBN","title":"State, Power, Socialism","author":[{"family":"Poulantzas","given":"Nikos A."}],"translator":[{"family":"Camiller","given":"Patrick"}],"issued":{"date-parts":[["2014"]]},"original-date":{"date-parts":[["1978"]]}}},{"id":2013,"uris":["http://zotero.org/groups/4816685/items/6JDI6GX2"],"itemData":{"id":2013,"type":"book","edition":"Illustrated edition","ISBN":"978-0-8223-4422-3","language":"English","number-of-pages":"400","publisher":"Duke University Press","publisher-place":"Durham NC","source":"Amazon","title":"Punishing the Poor: The Neoliberal Government of Social Insecurity","title-short":"Punishing the Poor","author":[{"family":"Wacquant","given":"Loïc"}],"issued":{"date-parts":[["2009",7,14]]}}}],"schema":"https://github.com/citation-style-language/schema/raw/master/csl-citation.json"} </w:instrText>
      </w:r>
      <w:r w:rsidRPr="00662E51">
        <w:rPr>
          <w:szCs w:val="24"/>
        </w:rPr>
        <w:fldChar w:fldCharType="separate"/>
      </w:r>
      <w:r w:rsidR="00213B80" w:rsidRPr="00213B80">
        <w:t>(e.g., Mark Goodwin and Painter 1996; S. Hall 1985; Peck and Tickell 2002; Poulantzas [1978] 2014; Wacquant 2009)</w:t>
      </w:r>
      <w:r w:rsidRPr="00662E51">
        <w:rPr>
          <w:szCs w:val="24"/>
        </w:rPr>
        <w:fldChar w:fldCharType="end"/>
      </w:r>
      <w:r w:rsidRPr="00662E51">
        <w:rPr>
          <w:szCs w:val="24"/>
        </w:rPr>
        <w:t xml:space="preserve">. The particular utility of AN is in its emphasis on both the </w:t>
      </w:r>
      <w:r w:rsidRPr="00662E51">
        <w:rPr>
          <w:i/>
          <w:iCs/>
          <w:szCs w:val="24"/>
        </w:rPr>
        <w:t xml:space="preserve">authoritarian </w:t>
      </w:r>
      <w:r w:rsidRPr="00662E51">
        <w:rPr>
          <w:szCs w:val="24"/>
        </w:rPr>
        <w:t xml:space="preserve">quality of neoliberalism—in particular, its connection to theories of depoliticisation—and its explanation of how unpopular neoliberal schemes persist even against significant resistance. Many studies of neoliberalism have explored its authoritarian bent </w:t>
      </w:r>
      <w:r w:rsidRPr="00662E51">
        <w:rPr>
          <w:szCs w:val="24"/>
        </w:rPr>
        <w:fldChar w:fldCharType="begin"/>
      </w:r>
      <w:r w:rsidR="003340FA" w:rsidRPr="00662E51">
        <w:rPr>
          <w:szCs w:val="24"/>
        </w:rPr>
        <w:instrText xml:space="preserve"> ADDIN ZOTERO_ITEM CSL_CITATION {"citationID":"Tt7Kcobt","properties":{"formattedCitation":"(e.g., Peck and Theodore 2019)","plainCitation":"(e.g., Peck and Theodore 2019)","noteIndex":0},"citationItems":[{"id":6622,"uris":["http://zotero.org/users/8977980/items/EZTGGSET"],"itemData":{"id":6622,"type":"article-journal","container-title":"South Atlantic Quarterly","DOI":"10.1215/00382876-7381122","ISSN":"0038-2876","issue":"2","journalAbbreviation":"South Atlantic Quarterly","page":"245-265","source":"Silverchair","title":"Still Neoliberalism?","volume":"118","author":[{"family":"Peck","given":"Jamie"},{"family":"Theodore","given":"Nik"}],"issued":{"date-parts":[["2019",4,1]]}},"prefix":"e.g., "}],"schema":"https://github.com/citation-style-language/schema/raw/master/csl-citation.json"} </w:instrText>
      </w:r>
      <w:r w:rsidRPr="00662E51">
        <w:rPr>
          <w:szCs w:val="24"/>
        </w:rPr>
        <w:fldChar w:fldCharType="separate"/>
      </w:r>
      <w:r w:rsidR="003340FA" w:rsidRPr="00662E51">
        <w:t>(e.g., Peck and Theodore 2019)</w:t>
      </w:r>
      <w:r w:rsidRPr="00662E51">
        <w:rPr>
          <w:szCs w:val="24"/>
        </w:rPr>
        <w:fldChar w:fldCharType="end"/>
      </w:r>
      <w:r w:rsidRPr="00662E51">
        <w:rPr>
          <w:szCs w:val="24"/>
        </w:rPr>
        <w:t xml:space="preserve">, but AN's description of coercion </w:t>
      </w:r>
      <w:r w:rsidRPr="00662E51">
        <w:rPr>
          <w:i/>
          <w:iCs/>
          <w:szCs w:val="24"/>
        </w:rPr>
        <w:t>and</w:t>
      </w:r>
      <w:r w:rsidRPr="00662E51">
        <w:rPr>
          <w:szCs w:val="24"/>
        </w:rPr>
        <w:t xml:space="preserve"> insulation more accurately describe how non-market institutions now frequently engage in upholding neoliberalism.</w:t>
      </w:r>
      <w:r w:rsidR="00856CF6">
        <w:rPr>
          <w:szCs w:val="24"/>
        </w:rPr>
        <w:t xml:space="preserve"> Additionally, </w:t>
      </w:r>
      <w:r w:rsidR="00A50AB6">
        <w:rPr>
          <w:szCs w:val="24"/>
        </w:rPr>
        <w:t xml:space="preserve">the conceptual framing of authoritarian neoliberalism emphasises </w:t>
      </w:r>
      <w:r w:rsidR="0090223E">
        <w:rPr>
          <w:szCs w:val="24"/>
        </w:rPr>
        <w:lastRenderedPageBreak/>
        <w:t xml:space="preserve">two key contradictions: first, </w:t>
      </w:r>
      <w:r w:rsidR="00B958E0">
        <w:rPr>
          <w:szCs w:val="24"/>
        </w:rPr>
        <w:t xml:space="preserve">neoliberalism’s internal </w:t>
      </w:r>
      <w:r w:rsidR="00A813D3">
        <w:rPr>
          <w:szCs w:val="24"/>
        </w:rPr>
        <w:t>complexity and inconsistencies</w:t>
      </w:r>
      <w:r w:rsidR="00882216">
        <w:rPr>
          <w:szCs w:val="24"/>
        </w:rPr>
        <w:t xml:space="preserve">, in that neoliberalism is not a monolithic or </w:t>
      </w:r>
      <w:r w:rsidR="00A1496D">
        <w:rPr>
          <w:szCs w:val="24"/>
        </w:rPr>
        <w:t>complete process</w:t>
      </w:r>
      <w:r w:rsidR="00A813D3">
        <w:rPr>
          <w:szCs w:val="24"/>
        </w:rPr>
        <w:t xml:space="preserve">; second, </w:t>
      </w:r>
      <w:r w:rsidR="00A1496D">
        <w:rPr>
          <w:szCs w:val="24"/>
        </w:rPr>
        <w:t xml:space="preserve">how </w:t>
      </w:r>
      <w:r w:rsidR="00232B68">
        <w:rPr>
          <w:szCs w:val="24"/>
        </w:rPr>
        <w:t>ostensibly conflicting approaches (like legitimation and coercion) in fact complement each other.</w:t>
      </w:r>
    </w:p>
    <w:p w14:paraId="3A491350" w14:textId="64FE0A19" w:rsidR="007B4EA4" w:rsidRPr="00662E51" w:rsidRDefault="007B4EA4" w:rsidP="00F56305">
      <w:pPr>
        <w:spacing w:line="360" w:lineRule="auto"/>
        <w:ind w:left="0" w:firstLine="720"/>
        <w:rPr>
          <w:szCs w:val="24"/>
        </w:rPr>
      </w:pPr>
      <w:r w:rsidRPr="00662E51">
        <w:rPr>
          <w:szCs w:val="24"/>
        </w:rPr>
        <w:t xml:space="preserve"> Simultaneously, as is discussed throughout this thesis, surprisingly little is said about how the innerworkings of political parties assist in maintaining neoliberal political economy. Although </w:t>
      </w:r>
      <w:r w:rsidR="00856CF6">
        <w:rPr>
          <w:szCs w:val="24"/>
        </w:rPr>
        <w:t xml:space="preserve">theories of pluralism </w:t>
      </w:r>
      <w:r w:rsidRPr="00662E51">
        <w:rPr>
          <w:szCs w:val="24"/>
        </w:rPr>
        <w:t xml:space="preserve">do consider a party’s internal contestation </w:t>
      </w:r>
      <w:r w:rsidRPr="00662E51">
        <w:rPr>
          <w:szCs w:val="24"/>
        </w:rPr>
        <w:fldChar w:fldCharType="begin"/>
      </w:r>
      <w:r w:rsidR="008835AB" w:rsidRPr="00662E51">
        <w:rPr>
          <w:szCs w:val="24"/>
        </w:rPr>
        <w:instrText xml:space="preserve"> ADDIN ZOTERO_ITEM CSL_CITATION {"citationID":"XkY8tSov","properties":{"formattedCitation":"(e.g., Dahl [1961] 2005; Stone 1989)","plainCitation":"(e.g., Dahl [1961] 2005; Stone 1989)","noteIndex":0},"citationItems":[{"id":7053,"uris":["http://zotero.org/users/8977980/items/KLKL67KL"],"itemData":{"id":7053,"type":"book","edition":"2. ed","ISBN":"978-0-300-10392-2","language":"eng","number-of-pages":"355","publisher":"Yale University Press","publisher-place":"New Haven, Conn. London","source":"K10plus ISBN","title":"Who governs? democracy and power in an American city","title-short":"Who governs?","author":[{"family":"Dahl","given":"Robert Alan"}],"issued":{"date-parts":[["2005"]]},"original-date":{"date-parts":[["1961"]]}},"prefix":"e.g., "},{"id":7060,"uris":["http://zotero.org/users/8977980/items/2ICRBEJB"],"itemData":{"id":7060,"type":"book","call-number":"F294.A857 S76 1989","collection-title":"Studies in government and public policy","ISBN":"978-0-7006-0415-9","language":"eng","number-of-pages":"xiv+314","publisher":"University Press of Kansas","publisher-place":"Lawrence, Kan. ;","source":"ucl.primo.exlibrisgroup.com","title":"Regime politics: governing Atlanta, 1946-1988","title-short":"Regime politics","author":[{"family":"Stone","given":"Clarence N."}],"issued":{"date-parts":[["1989"]]}}}],"schema":"https://github.com/citation-style-language/schema/raw/master/csl-citation.json"} </w:instrText>
      </w:r>
      <w:r w:rsidRPr="00662E51">
        <w:rPr>
          <w:szCs w:val="24"/>
        </w:rPr>
        <w:fldChar w:fldCharType="separate"/>
      </w:r>
      <w:r w:rsidR="0095662D" w:rsidRPr="00662E51">
        <w:t>(e.g., Dahl [1961] 2005; Stone 1989)</w:t>
      </w:r>
      <w:r w:rsidRPr="00662E51">
        <w:rPr>
          <w:szCs w:val="24"/>
        </w:rPr>
        <w:fldChar w:fldCharType="end"/>
      </w:r>
      <w:r w:rsidRPr="00662E51">
        <w:rPr>
          <w:szCs w:val="24"/>
        </w:rPr>
        <w:t xml:space="preserve">, the link between such contestation and neoliberalism is infrequently made. Where this connection is evaluated, the analysis tends to primarily represent political parties as unified and uniform, and concentrate on the national scale </w:t>
      </w:r>
      <w:r w:rsidRPr="00662E51">
        <w:rPr>
          <w:szCs w:val="24"/>
        </w:rPr>
        <w:fldChar w:fldCharType="begin"/>
      </w:r>
      <w:r w:rsidR="00213B80">
        <w:rPr>
          <w:szCs w:val="24"/>
        </w:rPr>
        <w:instrText xml:space="preserve"> ADDIN ZOTERO_ITEM CSL_CITATION {"citationID":"wQL1lRvP","properties":{"formattedCitation":"(Alt\\uc0\\u305{}n\\uc0\\u246{}rs and Ak\\uc0\\u231{}ay 2022; \\uc0\\u214{}zden et al. 2017; J. Ward and Ward 2023)","plainCitation":"(Altınörs and Akçay 2022; Özden et al. 2017; J. Ward and Ward 2023)","noteIndex":0},"citationItems":[{"id":6618,"uris":["http://zotero.org/users/8977980/items/778WE4EM"],"itemData":{"id":6618,"type":"article-journal","abstract":"The aim of this article is to analyze Turkey's recent authoritarian transformation from a critical political economy perspective and to examine the main determinants of, what we call, the ‘authoritarian consolidation attempt' of the Justice and Development Party (AKP). For that purpose, first, we sought answers to the following question: why did the AKP engage in a more authoritarian political agenda in the 2010s? We critically review the literature on the contemporary dynamics of authoritarianism, particularly focusing on two explanatory frameworks, competitive authoritarianism, and authoritarian neoliberalism. We argue that the crisis of authoritarian neoliberalism did not end up with democratization in Turkey in the 2010s, rather the power bloc initiated a strategy of the authoritarian fix as a reaction to the multiple crises that were a combination of the state crisis and the crisis of capital accumulation regime. Second, we analyzed how authoritarianism in Turkey is en route to consolidation in the aftermath of the transition to the Turkish presidential system in 2018, and what the fundamental factors of this consolidation are. We investigated the main features of Turkish presidentialism following the three-dimensional framework of authoritarian consolidation, including infrastructural, despotic, and discursive power analyses. As a result, we suggest a critical political economy account to unfold contemporary dynamics of authoritarianism based on the Turkish case.","container-title":"Globalizations","DOI":"10.1080/14747731.2021.2025290","ISSN":"1474-7731","issue":"7","note":"_eprint: https://doi.org/10.1080/14747731.2021.2025290","page":"1029-1053","publisher":"Routledge","source":"Taylor and Francis+NEJM","title":"Authoritarian neoliberalism, crisis, and consolidation: the political economy of regime change in Turkey","title-short":"Authoritarian neoliberalism, crisis, and consolidation","volume":"19","author":[{"family":"Altınörs","given":"Görkem"},{"family":"Akçay","given":"Ümit"}],"issued":{"date-parts":[["2022",10,3]]}}},{"id":6480,"uris":["http://zotero.org/users/8977980/items/XU857UJW"],"itemData":{"id":6480,"type":"chapter","abstract":"Authoritarian neoliberalism : towards a new research agenda / Cemal Burak Tansel -- Authoritarian neoliberalism and the disciplining of labour / Mònica Clua-Losada and Olatz Ribera-Almandoz -- Commodified pacification : police, commercial security and the state / Kendra Briken and Volker Eick -- Bodies in resistance : conversations on gender, body politics and authoritarian neoliberalism / Wendy Harcourt -- The right to starve : hunger, discipline and labour market restructuring under authoritarian neoliberalism / Sébastien Rioux -- Urban transformation under authoritarian neoliberalism / Annalena di Giovanni -- From Mare Nostrum to Triton : humanitarian emergencies and neoliberal migration management in the Mediterranean / Luca Manunza -- Cease to exist? : the European \"social\" model and the hardening of \"soft\" EU law / Ian Bruff -- The authoritarian and disciplinary mechanism of reduced sovereignty in the EU : the case of Greece / Panagiotis Sotiris -- Antinomies of authoritarian neoliberalism in Turkey : the Justice and Development Party era / Baris Alp Özden, Ismet Akça and Ahmet Bekmen -- Resistance and passive revolution in Egypt and Morocco / Brecht De Smet and Koenraad Bogaert -- Klepto-neoliberalism : authoritarianism and patronage in Cambodia / Simon Springer -- Variegated neoliberalization as a function and outcome of neo-authoritarianism in China / Kean Fan Lim -- Postscript / Cynthia Enloe","collection-title":"Transforming capitalism","container-title":"States of discipline: authoritarian neoliberalism and the contested reproduction of capitalist order","ISBN":"978-1-78348-620-5","language":"eng","publisher":"Rowman &amp; Littlefield International","publisher-place":"London","title":"Antinomies of Authoritarian Neoliberalism in Turkey: The Justice and Development Party Era","editor":[{"family":"Tansel","given":"Cemal Burak"}],"author":[{"family":"Özden","given":"Barış Alp"},{"family":"Akça","given":"İsmet"},{"family":"Bekmen","given":"Ahmet"}],"issued":{"date-parts":[["2017"]]}}},{"id":7101,"uris":["http://zotero.org/users/8977980/items/4CPII9LX"],"itemData":{"id":7101,"type":"article-journal","abstract":"Many commentators have suggested that the first 18 months of the Johnson government were characterised by a propensity to centralise power. However, few accounts have situated the administration in the historical context of the British state or systematically examined these centralising tendencies. This article attempts to address these omissions. First, through a critical assessment of the literature on authoritarian neoliberalism, the concept of ‘executive centralisation’ is developed within the context of the British state. Second, the article applies this revised framework to the early stages of the Johnson government. While a dominant executive is a long-standing feature of the British political system, it is argued that Johnson has pursued a multifaceted centralisation strategy facilitated by the context of Brexit and COVID-19. In identifying the role of consent in this process, the article augments scholarship on ‘authoritarian neoliberalism’ as a moment in neoliberal governance characterised by the ascendance of coercive governing strategies.","container-title":"Political Studies","DOI":"10.1177/00323217211063730","ISSN":"0032-3217","issue":"4","language":"EN","page":"1171-1189","publisher":"SAGE Publications Ltd","source":"SAGE Journals","title":"From Brexit to COVID-19: The Johnson Government, Executive Centralisation and Authoritarian Populism","title-short":"From Brexit to COVID-19","volume":"71","author":[{"family":"Ward","given":"Joseph"},{"family":"Ward","given":"Bradley"}],"issued":{"date-parts":[["2023",11,1]]}}}],"schema":"https://github.com/citation-style-language/schema/raw/master/csl-citation.json"} </w:instrText>
      </w:r>
      <w:r w:rsidRPr="00662E51">
        <w:rPr>
          <w:szCs w:val="24"/>
        </w:rPr>
        <w:fldChar w:fldCharType="separate"/>
      </w:r>
      <w:r w:rsidR="00213B80" w:rsidRPr="00213B80">
        <w:rPr>
          <w:rFonts w:cs="Times New Roman"/>
          <w:kern w:val="0"/>
        </w:rPr>
        <w:t>(Altınörs and Akçay 2022; Özden et al. 2017; J. Ward and Ward 2023)</w:t>
      </w:r>
      <w:r w:rsidRPr="00662E51">
        <w:rPr>
          <w:szCs w:val="24"/>
        </w:rPr>
        <w:fldChar w:fldCharType="end"/>
      </w:r>
      <w:r w:rsidRPr="00662E51">
        <w:rPr>
          <w:szCs w:val="24"/>
        </w:rPr>
        <w:t xml:space="preserve">. Consequently, this thesis argues for both scaled understandings of AN as well as reinterpreting political parties as a key non-market institution that is mobilised in service of neoliberal capitalism. </w:t>
      </w:r>
    </w:p>
    <w:p w14:paraId="2076A64D" w14:textId="77777777" w:rsidR="007B4EA4" w:rsidRPr="00662E51" w:rsidRDefault="007B4EA4" w:rsidP="00F56305">
      <w:pPr>
        <w:spacing w:line="360" w:lineRule="auto"/>
        <w:ind w:left="0"/>
        <w:rPr>
          <w:szCs w:val="24"/>
        </w:rPr>
      </w:pPr>
    </w:p>
    <w:p w14:paraId="02D6A155" w14:textId="053C0E16" w:rsidR="007B4EA4" w:rsidRPr="00662E51" w:rsidRDefault="007B4EA4" w:rsidP="00F56305">
      <w:pPr>
        <w:pStyle w:val="Heading3"/>
      </w:pPr>
      <w:bookmarkStart w:id="166" w:name="_Toc213173927"/>
      <w:bookmarkStart w:id="167" w:name="_Toc221184319"/>
      <w:bookmarkStart w:id="168" w:name="_Toc231215240"/>
      <w:r w:rsidRPr="00662E51">
        <w:t>Histories and Types of Authoritarian Neoliberalism</w:t>
      </w:r>
      <w:bookmarkEnd w:id="166"/>
      <w:bookmarkEnd w:id="167"/>
      <w:r w:rsidR="00836748">
        <w:t>:</w:t>
      </w:r>
      <w:bookmarkEnd w:id="168"/>
    </w:p>
    <w:p w14:paraId="7EF7E6AF" w14:textId="03188F2A" w:rsidR="007B4EA4" w:rsidRDefault="007B4EA4" w:rsidP="00F56305">
      <w:pPr>
        <w:spacing w:line="360" w:lineRule="auto"/>
        <w:ind w:left="0"/>
        <w:rPr>
          <w:szCs w:val="24"/>
        </w:rPr>
      </w:pPr>
      <w:r w:rsidRPr="00662E51">
        <w:rPr>
          <w:szCs w:val="24"/>
        </w:rPr>
        <w:tab/>
        <w:t xml:space="preserve">Since its conception, AN has been used to examine a diverse range of nations, both contemporary and historical. Here, I contextualise authoritarian neoliberalism in the UK during the Thatcher years and its current iteration. Debates around Thatcherism’s use of authoritarian approaches is a long standing feature of British political scholarship </w:t>
      </w:r>
      <w:r w:rsidRPr="00662E51">
        <w:rPr>
          <w:szCs w:val="24"/>
        </w:rPr>
        <w:fldChar w:fldCharType="begin"/>
      </w:r>
      <w:r w:rsidR="00213B80">
        <w:rPr>
          <w:szCs w:val="24"/>
        </w:rPr>
        <w:instrText xml:space="preserve"> ADDIN ZOTERO_ITEM CSL_CITATION {"citationID":"3150j33A","properties":{"formattedCitation":"(K. Bonnett et al. 1984; S. Hall 1985; Poulantzas [1978] 2014)","plainCitation":"(K. Bonnett et al. 1984; S. Hall 1985; Poulantzas [1978] 2014)","noteIndex":0},"citationItems":[{"id":6609,"uris":["http://zotero.org/users/8977980/items/SD87QVZW"],"itemData":{"id":6609,"type":"article-journal","abstract":"Faced with the devastating electoral and political successes of Thatcherism in the past five years, the British Left responded in various ways. Some activists anticipated the imminent collapse of Thatcherism due to a sudden upsurge of union militancy, popular disturbances, or urban riots; or due to a Conservative . . .","container-title":"New Left Review","issue":"I/147","journalAbbreviation":"New Left Rev","page":"32-60","source":"New Left Review","title":"Authoritarian Populism, Two Nations, and Thatcherism","author":[{"family":"Bonnett","given":"Kevin"},{"family":"Bromley","given":"Simon"},{"family":"Jessop","given":"Bob"},{"family":"Ling","given":"Tom"}],"issued":{"date-parts":[["1984",10,1]]}}},{"id":5795,"uris":["http://zotero.org/users/8977980/items/NRTYHPYC"],"itemData":{"id":5795,"type":"article-journal","container-title":"New Left Review","issue":"I/151","language":"en","page":"115-123","source":"Zotero","title":"Authoritarian Populism: A Reply to Jessop et al","author":[{"family":"Hall","given":"Stuart"}],"issued":{"date-parts":[["1985",6]]}}},{"id":6442,"uris":["http://zotero.org/users/8977980/items/DDJCGAMH"],"itemData":{"id":6442,"type":"book","collection-title":"Radical thinkers","ISBN":"978-1-78168-148-0","language":"eng","number-of-pages":"269","publisher":"Verso","publisher-place":"London","source":"K10plus ISBN","title":"State, Power, Socialism","author":[{"family":"Poulantzas","given":"Nikos A."}],"translator":[{"family":"Camiller","given":"Patrick"}],"issued":{"date-parts":[["2014"]]},"original-date":{"date-parts":[["1978"]]}}}],"schema":"https://github.com/citation-style-language/schema/raw/master/csl-citation.json"} </w:instrText>
      </w:r>
      <w:r w:rsidRPr="00662E51">
        <w:rPr>
          <w:szCs w:val="24"/>
        </w:rPr>
        <w:fldChar w:fldCharType="separate"/>
      </w:r>
      <w:r w:rsidR="00213B80" w:rsidRPr="00213B80">
        <w:t>(K. Bonnett et al. 1984; S. Hall 1985; Poulantzas [1978] 2014)</w:t>
      </w:r>
      <w:r w:rsidRPr="00662E51">
        <w:rPr>
          <w:szCs w:val="24"/>
        </w:rPr>
        <w:fldChar w:fldCharType="end"/>
      </w:r>
      <w:r w:rsidRPr="00662E51">
        <w:rPr>
          <w:szCs w:val="24"/>
        </w:rPr>
        <w:t xml:space="preserve">. Yet, AN’s original formulation ignores this period, which saw other significant authoritarian moments like Pinochet’s Chile </w:t>
      </w:r>
      <w:r w:rsidRPr="00662E51">
        <w:rPr>
          <w:szCs w:val="24"/>
        </w:rPr>
        <w:fldChar w:fldCharType="begin"/>
      </w:r>
      <w:r w:rsidRPr="00662E51">
        <w:rPr>
          <w:szCs w:val="24"/>
        </w:rPr>
        <w:instrText xml:space="preserve"> ADDIN ZOTERO_ITEM CSL_CITATION {"citationID":"iiPEfTUX","properties":{"formattedCitation":"(Peck and Theodore 2019)","plainCitation":"(Peck and Theodore 2019)","noteIndex":0},"citationItems":[{"id":6622,"uris":["http://zotero.org/users/8977980/items/EZTGGSET"],"itemData":{"id":6622,"type":"article-journal","container-title":"South Atlantic Quarterly","DOI":"10.1215/00382876-7381122","ISSN":"0038-2876","issue":"2","journalAbbreviation":"South Atlantic Quarterly","page":"245-265","source":"Silverchair","title":"Still Neoliberalism?","volume":"118","author":[{"family":"Peck","given":"Jamie"},{"family":"Theodore","given":"Nik"}],"issued":{"date-parts":[["2019",4,1]]}}}],"schema":"https://github.com/citation-style-language/schema/raw/master/csl-citation.json"} </w:instrText>
      </w:r>
      <w:r w:rsidRPr="00662E51">
        <w:rPr>
          <w:szCs w:val="24"/>
        </w:rPr>
        <w:fldChar w:fldCharType="separate"/>
      </w:r>
      <w:r w:rsidR="0095662D" w:rsidRPr="00662E51">
        <w:t>(Peck and Theodore 2019)</w:t>
      </w:r>
      <w:r w:rsidRPr="00662E51">
        <w:rPr>
          <w:szCs w:val="24"/>
        </w:rPr>
        <w:fldChar w:fldCharType="end"/>
      </w:r>
      <w:r w:rsidRPr="00662E51">
        <w:rPr>
          <w:szCs w:val="24"/>
        </w:rPr>
        <w:t xml:space="preserve">. Thus, </w:t>
      </w:r>
      <w:r w:rsidR="00381E31">
        <w:rPr>
          <w:szCs w:val="24"/>
        </w:rPr>
        <w:t>M.</w:t>
      </w:r>
      <w:r w:rsidR="00C1795D">
        <w:rPr>
          <w:szCs w:val="24"/>
        </w:rPr>
        <w:t xml:space="preserve"> </w:t>
      </w:r>
      <w:r w:rsidR="00381E31">
        <w:rPr>
          <w:szCs w:val="24"/>
        </w:rPr>
        <w:t>D.</w:t>
      </w:r>
      <w:r w:rsidR="00C1795D">
        <w:rPr>
          <w:szCs w:val="24"/>
        </w:rPr>
        <w:t xml:space="preserve"> </w:t>
      </w:r>
      <w:r w:rsidR="00381E31">
        <w:rPr>
          <w:szCs w:val="24"/>
        </w:rPr>
        <w:t xml:space="preserve">J. </w:t>
      </w:r>
      <w:r w:rsidRPr="00662E51">
        <w:rPr>
          <w:szCs w:val="24"/>
        </w:rPr>
        <w:t xml:space="preserve">Ryan critiques AN by arguing that Margaret Thatcher’s government made extensive use of authoritarian neoliberal approaches during her tenure from 1979 to 1990: for instance, </w:t>
      </w:r>
    </w:p>
    <w:p w14:paraId="382D3128" w14:textId="77777777" w:rsidR="00DC3E0C" w:rsidRPr="00662E51" w:rsidRDefault="00DC3E0C" w:rsidP="00DC3E0C">
      <w:pPr>
        <w:ind w:left="0"/>
        <w:rPr>
          <w:szCs w:val="24"/>
        </w:rPr>
      </w:pPr>
    </w:p>
    <w:p w14:paraId="0759B93F" w14:textId="3FF6B0D9" w:rsidR="007B4EA4" w:rsidRDefault="007B4EA4" w:rsidP="00DC3E0C">
      <w:pPr>
        <w:ind w:left="720"/>
        <w:rPr>
          <w:szCs w:val="24"/>
        </w:rPr>
      </w:pPr>
      <w:r w:rsidRPr="00662E51">
        <w:rPr>
          <w:szCs w:val="24"/>
        </w:rPr>
        <w:t>…under Thatcher’s government, many decisions which were previously made by cabinet bypassed this arena. Her sidelining of cabinet was institutionally supported, and had the effect of taking power out of the hands of elected ministers, granting it instead to an inner circle of unelected advisers.</w:t>
      </w:r>
      <w:r w:rsidR="00381E31">
        <w:rPr>
          <w:szCs w:val="24"/>
        </w:rPr>
        <w:t xml:space="preserve"> </w:t>
      </w:r>
      <w:r w:rsidR="00381E31" w:rsidRPr="00662E51">
        <w:rPr>
          <w:szCs w:val="24"/>
        </w:rPr>
        <w:fldChar w:fldCharType="begin"/>
      </w:r>
      <w:r w:rsidR="00381E31">
        <w:rPr>
          <w:szCs w:val="24"/>
        </w:rPr>
        <w:instrText xml:space="preserve"> ADDIN ZOTERO_ITEM CSL_CITATION {"citationID":"DcWrh3SZ","properties":{"formattedCitation":"(M. D. J. Ryan 2019, 124)","plainCitation":"(M. D. J. Ryan 2019, 124)","noteIndex":0},"citationItems":[{"id":5778,"uris":["http://zotero.org/users/8977980/items/KAAG23WN"],"itemData":{"id":5778,"type":"article-journal","abstract":"From the legislated 'embedding' of neoliberalism as seen with constitutional debt ceilings, through sweeping free trade agreements, to the direct, violent suppression of political freedoms; democracy today seems to be under siege from all sides. In response to these troubling developments, Ian Bruff (2014) recently introduced the concept of 'authoritarian neoliberalism' to understand increasingly undemocratic forms of state and state action in the current conjuncture. This article argues that although 'authoritarian neoliberalism' presents a useful development in our understanding of these processes, the concept faces several challenges - in particular, that of obscuring a broader history of authoritarianism and its contradictions, by separating neoliberalism into distinct phases. This article considers two moments of authoritarianism within the history of neoliberalism: the United Kingdom under Margaret Thatcher, and the Greek experience of mandated austerity within the strictures of the European Monetary Union (EMU). Through these examples, the article will engage with claims that the 'authoritarian neoliberalism' of the post-2007 context is somehow 'qualitatively distinct' from earlier forms. It is argued that an enforced separation between these two cases is unhelpful, and that more fruitful directions for this emerging research agenda lie not in a conceptual separation of the past, but rather a consideration of the durability of authoritarian state forms.","container-title":"Competition &amp; Change","DOI":"10.1177/1024529418797867","ISSN":"1024-5294, 1477-2221","issue":"2","journalAbbreviation":"Compet. Chang.","language":"English","note":"number-of-pages: 22\npublisher-place: London\nWeb of Science ID: WOS:000462050600002","page":"116-137","publisher":"SAGE Publications Ltd","source":"Clarivate Analytics Web of Science","title":"Interrogating 'authoritarian neoliberalism': The problem of periodization","title-short":"Interrogating 'authoritarian neoliberalism'","volume":"23","author":[{"family":"Ryan","given":"Matthew D. J."}],"issued":{"date-parts":[["2019",4]]}},"locator":"124","label":"page"}],"schema":"https://github.com/citation-style-language/schema/raw/master/csl-citation.json"} </w:instrText>
      </w:r>
      <w:r w:rsidR="00381E31" w:rsidRPr="00662E51">
        <w:rPr>
          <w:szCs w:val="24"/>
        </w:rPr>
        <w:fldChar w:fldCharType="separate"/>
      </w:r>
      <w:r w:rsidR="00381E31" w:rsidRPr="00381E31">
        <w:t>(M. D. J. Ryan 2019, 124)</w:t>
      </w:r>
      <w:r w:rsidR="00381E31" w:rsidRPr="00662E51">
        <w:rPr>
          <w:szCs w:val="24"/>
        </w:rPr>
        <w:fldChar w:fldCharType="end"/>
      </w:r>
    </w:p>
    <w:p w14:paraId="44EB3C57" w14:textId="77777777" w:rsidR="00DC3E0C" w:rsidRPr="00662E51" w:rsidRDefault="00DC3E0C" w:rsidP="00DC3E0C">
      <w:pPr>
        <w:ind w:left="720"/>
        <w:rPr>
          <w:szCs w:val="24"/>
        </w:rPr>
      </w:pPr>
    </w:p>
    <w:p w14:paraId="06139E6D" w14:textId="309C0A38" w:rsidR="009627BF" w:rsidRDefault="007B4EA4" w:rsidP="00F56305">
      <w:pPr>
        <w:spacing w:line="360" w:lineRule="auto"/>
        <w:ind w:left="0"/>
        <w:rPr>
          <w:szCs w:val="24"/>
        </w:rPr>
      </w:pPr>
      <w:r w:rsidRPr="00662E51">
        <w:rPr>
          <w:szCs w:val="24"/>
        </w:rPr>
        <w:lastRenderedPageBreak/>
        <w:t xml:space="preserve">The shifting of decision-making power away from democratically chosen officials to handpicked party loyalists is a salient moment of insulation. Similarly, Thatcher’s use of centralised development corporations indicates a governance style that bypasses local consent altogether </w:t>
      </w:r>
      <w:r w:rsidRPr="00662E51">
        <w:rPr>
          <w:szCs w:val="24"/>
        </w:rPr>
        <w:fldChar w:fldCharType="begin"/>
      </w:r>
      <w:r w:rsidR="008835AB" w:rsidRPr="00662E51">
        <w:rPr>
          <w:szCs w:val="24"/>
        </w:rPr>
        <w:instrText xml:space="preserve"> ADDIN ZOTERO_ITEM CSL_CITATION {"citationID":"TLAEAaAB","properties":{"formattedCitation":"(Pile 1995; Wetherell 2025)","plainCitation":"(Pile 1995; Wetherell 2025)","noteIndex":0},"citationItems":[{"id":2065,"uris":["http://zotero.org/users/8977980/items/CL8ULHA8"],"itemData":{"id":2065,"type":"article-journal","abstract":"Globalisation has changed the formation of contemporary citizenship. At the same time as undermining the role of the nation state in the construction of political participation, new arenas of citizenship are suggestive of an emergent ‘global citizenship’. Analysis of participation in politics at the scale of the global has suggested that civil society associations are strongly implicated in this process. This paper explores the role played by such institutions in the configuration of global citizenship. Through a case study of international development NGOs in the UK, and the relationship they build with the public, the paper suggests that international non-governmental organisations (INGOs) offer a version of global citizenship, which is highly circumscribed by their professional and institutional imperatives. Concerns with the continuing ability of organisations to deliver a professionally determined development agenda means that the role envisioned for the public by INGOs does not necessarily accord with that presented by advocates of the role of global civil society in citizenship. The paper concludes by exploring the implications of these findings for further research on the formation of global citizenship.","collection-title":"Spaces of citizenship","container-title":"Political Geography","DOI":"10.1016/0962-6298(95)91666-R","ISSN":"0962-6298","issue":"2","journalAbbreviation":"Political Geography","language":"en","page":"199-208","source":"ScienceDirect","title":"‘What we are asking for is decent human life’: SPLASH, neighbourhood demands and citizenship in London's docklands","title-short":"‘What we are asking for is decent human life’","volume":"14","author":[{"family":"Pile","given":"Steve"}],"issued":{"date-parts":[["1995",2,1]]}}},{"id":6494,"uris":["http://zotero.org/users/8977980/items/JDTFD4IU"],"itemData":{"id":6494,"type":"book","abstract":"The city is equally notorious for its poverty, its ethnic and racial divides and, above all, its decline. For Liverpool was once a major port, growing rich on slavery, on trade with the Americas and the British Empire's outposts in Africa and Asia. In the 1980s, it was described as 'obsolete'. Yet the city fights on. This is the epic history of Liverpool since the Second World War. It is a story of vast docklands shrinking and eventually vanishing when corporations discovered they could shift goods in containers and dispense with human workers, of industries like car manufacturing mushrooming and disappearing, of huge new suburbs being built and neglected. It is a moving and horrifying narrative of casual racism - Chinese sailors deported en masse in the aftermath of the war, systematic discrimination against the city's Black population - and of resistance, culminating in the Toxteth riots in 1981. It is the story of a city fighting against a descent into obsolescence. Liverpool also becomes a prism through which recent British history is brought into a new focus. It is the fascinating history of a single, iconic city. But it is also a warning of what the future may hold for many more communities","ISBN":"978-1-80110-888-1","language":"eng","number-of-pages":"438","publisher":"Apollo","publisher-place":"London","source":"K10plus ISBN","title":"Liverpool and the Unmaking of Britain","title-short":"Liverpool","author":[{"family":"Wetherell","given":"Sam"}],"issued":{"date-parts":[["2025"]]}}}],"schema":"https://github.com/citation-style-language/schema/raw/master/csl-citation.json"} </w:instrText>
      </w:r>
      <w:r w:rsidRPr="00662E51">
        <w:rPr>
          <w:szCs w:val="24"/>
        </w:rPr>
        <w:fldChar w:fldCharType="separate"/>
      </w:r>
      <w:r w:rsidR="0095662D" w:rsidRPr="00662E51">
        <w:t>(Pile 1995; Wetherell 2025)</w:t>
      </w:r>
      <w:r w:rsidRPr="00662E51">
        <w:rPr>
          <w:szCs w:val="24"/>
        </w:rPr>
        <w:fldChar w:fldCharType="end"/>
      </w:r>
      <w:r w:rsidRPr="00662E51">
        <w:rPr>
          <w:szCs w:val="24"/>
        </w:rPr>
        <w:t xml:space="preserve">. Her government also engaged in initiatives to restrict the independence of public service departments, locking in austerity without a truly democratic process </w:t>
      </w:r>
      <w:r w:rsidRPr="00662E51">
        <w:rPr>
          <w:szCs w:val="24"/>
        </w:rPr>
        <w:fldChar w:fldCharType="begin"/>
      </w:r>
      <w:r w:rsidR="00213B80">
        <w:rPr>
          <w:szCs w:val="24"/>
        </w:rPr>
        <w:instrText xml:space="preserve"> ADDIN ZOTERO_ITEM CSL_CITATION {"citationID":"owD1CdQf","properties":{"formattedCitation":"(M. D. J. Ryan 2019)","plainCitation":"(M. D. J. Ryan 2019)","noteIndex":0},"citationItems":[{"id":5778,"uris":["http://zotero.org/users/8977980/items/KAAG23WN"],"itemData":{"id":5778,"type":"article-journal","abstract":"From the legislated 'embedding' of neoliberalism as seen with constitutional debt ceilings, through sweeping free trade agreements, to the direct, violent suppression of political freedoms; democracy today seems to be under siege from all sides. In response to these troubling developments, Ian Bruff (2014) recently introduced the concept of 'authoritarian neoliberalism' to understand increasingly undemocratic forms of state and state action in the current conjuncture. This article argues that although 'authoritarian neoliberalism' presents a useful development in our understanding of these processes, the concept faces several challenges - in particular, that of obscuring a broader history of authoritarianism and its contradictions, by separating neoliberalism into distinct phases. This article considers two moments of authoritarianism within the history of neoliberalism: the United Kingdom under Margaret Thatcher, and the Greek experience of mandated austerity within the strictures of the European Monetary Union (EMU). Through these examples, the article will engage with claims that the 'authoritarian neoliberalism' of the post-2007 context is somehow 'qualitatively distinct' from earlier forms. It is argued that an enforced separation between these two cases is unhelpful, and that more fruitful directions for this emerging research agenda lie not in a conceptual separation of the past, but rather a consideration of the durability of authoritarian state forms.","container-title":"Competition &amp; Change","DOI":"10.1177/1024529418797867","ISSN":"1024-5294, 1477-2221","issue":"2","journalAbbreviation":"Compet. Chang.","language":"English","note":"number-of-pages: 22\npublisher-place: London\nWeb of Science ID: WOS:000462050600002","page":"116-137","publisher":"SAGE Publications Ltd","source":"Clarivate Analytics Web of Science","title":"Interrogating 'authoritarian neoliberalism': The problem of periodization","title-short":"Interrogating 'authoritarian neoliberalism'","volume":"23","author":[{"family":"Ryan","given":"Matthew D. J."}],"issued":{"date-parts":[["2019",4]]}}}],"schema":"https://github.com/citation-style-language/schema/raw/master/csl-citation.json"} </w:instrText>
      </w:r>
      <w:r w:rsidRPr="00662E51">
        <w:rPr>
          <w:szCs w:val="24"/>
        </w:rPr>
        <w:fldChar w:fldCharType="separate"/>
      </w:r>
      <w:r w:rsidR="00213B80" w:rsidRPr="00213B80">
        <w:t>(M. D. J. Ryan 2019)</w:t>
      </w:r>
      <w:r w:rsidRPr="00662E51">
        <w:rPr>
          <w:szCs w:val="24"/>
        </w:rPr>
        <w:fldChar w:fldCharType="end"/>
      </w:r>
      <w:r w:rsidRPr="00662E51">
        <w:rPr>
          <w:szCs w:val="24"/>
        </w:rPr>
        <w:t xml:space="preserve">. Insulation is a helpful thread to track, as it demonstrates Thatcherism’s innate illiberalism—that is, a resistance to democratic oversight. On the other hand, Thatcher’s breaking of the miners’ strike in 1985 is an authoritarian move of the coercive kind, in that it enrolled “legal mechanisms in legitimizing” the clearly “violent state actions” of the police </w:t>
      </w:r>
      <w:r w:rsidRPr="00662E51">
        <w:rPr>
          <w:szCs w:val="24"/>
        </w:rPr>
        <w:fldChar w:fldCharType="begin"/>
      </w:r>
      <w:r w:rsidR="00213B80">
        <w:rPr>
          <w:szCs w:val="24"/>
        </w:rPr>
        <w:instrText xml:space="preserve"> ADDIN ZOTERO_ITEM CSL_CITATION {"citationID":"P7qBPPjF","properties":{"formattedCitation":"(M. D. J. Ryan 2019, 126)","plainCitation":"(M. D. J. Ryan 2019, 126)","noteIndex":0},"citationItems":[{"id":5778,"uris":["http://zotero.org/users/8977980/items/KAAG23WN"],"itemData":{"id":5778,"type":"article-journal","abstract":"From the legislated 'embedding' of neoliberalism as seen with constitutional debt ceilings, through sweeping free trade agreements, to the direct, violent suppression of political freedoms; democracy today seems to be under siege from all sides. In response to these troubling developments, Ian Bruff (2014) recently introduced the concept of 'authoritarian neoliberalism' to understand increasingly undemocratic forms of state and state action in the current conjuncture. This article argues that although 'authoritarian neoliberalism' presents a useful development in our understanding of these processes, the concept faces several challenges - in particular, that of obscuring a broader history of authoritarianism and its contradictions, by separating neoliberalism into distinct phases. This article considers two moments of authoritarianism within the history of neoliberalism: the United Kingdom under Margaret Thatcher, and the Greek experience of mandated austerity within the strictures of the European Monetary Union (EMU). Through these examples, the article will engage with claims that the 'authoritarian neoliberalism' of the post-2007 context is somehow 'qualitatively distinct' from earlier forms. It is argued that an enforced separation between these two cases is unhelpful, and that more fruitful directions for this emerging research agenda lie not in a conceptual separation of the past, but rather a consideration of the durability of authoritarian state forms.","container-title":"Competition &amp; Change","DOI":"10.1177/1024529418797867","ISSN":"1024-5294, 1477-2221","issue":"2","journalAbbreviation":"Compet. Chang.","language":"English","note":"number-of-pages: 22\npublisher-place: London\nWeb of Science ID: WOS:000462050600002","page":"116-137","publisher":"SAGE Publications Ltd","source":"Clarivate Analytics Web of Science","title":"Interrogating 'authoritarian neoliberalism': The problem of periodization","title-short":"Interrogating 'authoritarian neoliberalism'","volume":"23","author":[{"family":"Ryan","given":"Matthew D. J."}],"issued":{"date-parts":[["2019",4]]}},"locator":"126"}],"schema":"https://github.com/citation-style-language/schema/raw/master/csl-citation.json"} </w:instrText>
      </w:r>
      <w:r w:rsidRPr="00662E51">
        <w:rPr>
          <w:szCs w:val="24"/>
        </w:rPr>
        <w:fldChar w:fldCharType="separate"/>
      </w:r>
      <w:r w:rsidR="00213B80" w:rsidRPr="00213B80">
        <w:t>(M. D. J. Ryan 2019, 126)</w:t>
      </w:r>
      <w:r w:rsidRPr="00662E51">
        <w:rPr>
          <w:szCs w:val="24"/>
        </w:rPr>
        <w:fldChar w:fldCharType="end"/>
      </w:r>
      <w:r w:rsidRPr="00662E51">
        <w:rPr>
          <w:szCs w:val="24"/>
        </w:rPr>
        <w:t xml:space="preserve">. Likewise, the rise of ‘law-and-order’ politics, as captured by Stuart Hall and collaborators </w:t>
      </w:r>
      <w:r w:rsidRPr="00662E51">
        <w:rPr>
          <w:szCs w:val="24"/>
        </w:rPr>
        <w:fldChar w:fldCharType="begin"/>
      </w:r>
      <w:r w:rsidR="008835AB" w:rsidRPr="00662E51">
        <w:rPr>
          <w:szCs w:val="24"/>
        </w:rPr>
        <w:instrText xml:space="preserve"> ADDIN ZOTERO_ITEM CSL_CITATION {"citationID":"FWvg0uTy","properties":{"formattedCitation":"([1978] 2019)","plainCitation":"([1978] 2019)","noteIndex":0},"citationItems":[{"id":5777,"uris":["http://zotero.org/users/8977980/items/3K89WG2H"],"itemData":{"id":5777,"type":"book","edition":"2nd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label":"page","suppress-author":true}],"schema":"https://github.com/citation-style-language/schema/raw/master/csl-citation.json"} </w:instrText>
      </w:r>
      <w:r w:rsidRPr="00662E51">
        <w:rPr>
          <w:szCs w:val="24"/>
        </w:rPr>
        <w:fldChar w:fldCharType="separate"/>
      </w:r>
      <w:r w:rsidR="0095662D" w:rsidRPr="00662E51">
        <w:t>([1978] 2019)</w:t>
      </w:r>
      <w:r w:rsidRPr="00662E51">
        <w:rPr>
          <w:szCs w:val="24"/>
        </w:rPr>
        <w:fldChar w:fldCharType="end"/>
      </w:r>
      <w:r w:rsidRPr="00662E51">
        <w:rPr>
          <w:szCs w:val="24"/>
        </w:rPr>
        <w:t xml:space="preserve">, reflected the Thatcher government’s problematising of dissent as threats to public order—rather than as expressions of democratic engagement. In turn, the government began to rely heavily on police powers to discipline unruly populations. Gamble </w:t>
      </w:r>
      <w:r w:rsidRPr="00662E51">
        <w:rPr>
          <w:szCs w:val="24"/>
        </w:rPr>
        <w:fldChar w:fldCharType="begin"/>
      </w:r>
      <w:r w:rsidR="008835AB" w:rsidRPr="00662E51">
        <w:rPr>
          <w:szCs w:val="24"/>
        </w:rPr>
        <w:instrText xml:space="preserve"> ADDIN ZOTERO_ITEM CSL_CITATION {"citationID":"ApQyj8NV","properties":{"formattedCitation":"(1989, 107)","plainCitation":"(1989, 107)","noteIndex":0},"citationItems":[{"id":3,"uris":["http://zotero.org/users/8977980/items/U4XCFRW8"],"itemData":{"id":3,"type":"book","ISBN":"978-1-349-19438-4","publisher":"Palgrave Macmillan UK","publisher-place":"London","title":"The Free Economy and the Strong State: The Politics of Thatcherism","author":[{"family":"Gamble","given":"Andrew"}],"issued":{"date-parts":[["1989"]]}},"locator":"107","label":"page","suppress-author":true}],"schema":"https://github.com/citation-style-language/schema/raw/master/csl-citation.json"} </w:instrText>
      </w:r>
      <w:r w:rsidRPr="00662E51">
        <w:rPr>
          <w:szCs w:val="24"/>
        </w:rPr>
        <w:fldChar w:fldCharType="separate"/>
      </w:r>
      <w:r w:rsidR="0095662D" w:rsidRPr="00662E51">
        <w:t>(1989, 107)</w:t>
      </w:r>
      <w:r w:rsidRPr="00662E51">
        <w:rPr>
          <w:szCs w:val="24"/>
        </w:rPr>
        <w:fldChar w:fldCharType="end"/>
      </w:r>
      <w:r w:rsidRPr="00662E51">
        <w:rPr>
          <w:szCs w:val="24"/>
        </w:rPr>
        <w:t xml:space="preserve"> writes, Thatcher’s government “did not neglect to strengthen the capacity of the state to repress disorder,” as uprisings in the 1980s and the Troubles</w:t>
      </w:r>
      <w:r w:rsidR="009C01B8">
        <w:rPr>
          <w:rStyle w:val="FootnoteReference"/>
          <w:szCs w:val="24"/>
        </w:rPr>
        <w:footnoteReference w:id="39"/>
      </w:r>
      <w:r w:rsidRPr="00662E51">
        <w:rPr>
          <w:szCs w:val="24"/>
        </w:rPr>
        <w:t xml:space="preserve"> “helped justify a big increase in the range of police equipment and changes in police training.” Her government also ensured that police were given new investigative, arrest, interrogation, and crowd-management powers—and it continued to “arm itself to repress violent protest [and] breaches of public order” </w:t>
      </w:r>
      <w:r w:rsidRPr="00662E51">
        <w:rPr>
          <w:szCs w:val="24"/>
        </w:rPr>
        <w:fldChar w:fldCharType="begin"/>
      </w:r>
      <w:r w:rsidR="008835AB" w:rsidRPr="00662E51">
        <w:rPr>
          <w:szCs w:val="24"/>
        </w:rPr>
        <w:instrText xml:space="preserve"> ADDIN ZOTERO_ITEM CSL_CITATION {"citationID":"gBVFcQsd","properties":{"formattedCitation":"(Gamble 1989, 117)","plainCitation":"(Gamble 1989, 117)","noteIndex":0},"citationItems":[{"id":3,"uris":["http://zotero.org/users/8977980/items/U4XCFRW8"],"itemData":{"id":3,"type":"book","ISBN":"978-1-349-19438-4","publisher":"Palgrave Macmillan UK","publisher-place":"London","title":"The Free Economy and the Strong State: The Politics of Thatcherism","author":[{"family":"Gamble","given":"Andrew"}],"issued":{"date-parts":[["1989"]]}},"locator":"117","label":"page"}],"schema":"https://github.com/citation-style-language/schema/raw/master/csl-citation.json"} </w:instrText>
      </w:r>
      <w:r w:rsidRPr="00662E51">
        <w:rPr>
          <w:szCs w:val="24"/>
        </w:rPr>
        <w:fldChar w:fldCharType="separate"/>
      </w:r>
      <w:r w:rsidR="0095662D" w:rsidRPr="00662E51">
        <w:t>(Gamble 1989, 117)</w:t>
      </w:r>
      <w:r w:rsidRPr="00662E51">
        <w:rPr>
          <w:szCs w:val="24"/>
        </w:rPr>
        <w:fldChar w:fldCharType="end"/>
      </w:r>
      <w:r w:rsidRPr="00662E51">
        <w:rPr>
          <w:szCs w:val="24"/>
        </w:rPr>
        <w:t xml:space="preserve">. Policing during Thatcherism </w:t>
      </w:r>
      <w:r w:rsidRPr="00662E51">
        <w:rPr>
          <w:szCs w:val="24"/>
        </w:rPr>
        <w:fldChar w:fldCharType="begin"/>
      </w:r>
      <w:r w:rsidR="008835AB" w:rsidRPr="00662E51">
        <w:rPr>
          <w:szCs w:val="24"/>
        </w:rPr>
        <w:instrText xml:space="preserve"> ADDIN ZOTERO_ITEM CSL_CITATION {"citationID":"Tuc7G1x9","properties":{"formattedCitation":"(and since; Elliott-Cooper 2021)","plainCitation":"(and since; 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policing","URL":"https://www.manchesterhive.com/view/9781526143945/9781526143945.xml","author":[{"family":"Elliott-Cooper","given":"Adam"}],"accessed":{"date-parts":[["2024",2,1]]},"issued":{"date-parts":[["2021",5,1]]}},"prefix":"and since;"}],"schema":"https://github.com/citation-style-language/schema/raw/master/csl-citation.json"} </w:instrText>
      </w:r>
      <w:r w:rsidRPr="00662E51">
        <w:rPr>
          <w:szCs w:val="24"/>
        </w:rPr>
        <w:fldChar w:fldCharType="separate"/>
      </w:r>
      <w:r w:rsidR="0095662D" w:rsidRPr="00662E51">
        <w:t>(and since; Elliott-Cooper 2021)</w:t>
      </w:r>
      <w:r w:rsidRPr="00662E51">
        <w:rPr>
          <w:szCs w:val="24"/>
        </w:rPr>
        <w:fldChar w:fldCharType="end"/>
      </w:r>
      <w:r w:rsidRPr="00662E51">
        <w:rPr>
          <w:szCs w:val="24"/>
        </w:rPr>
        <w:t xml:space="preserve"> was explicitly racial and often exercised through everyday procedures that amount to a deep oppression</w:t>
      </w:r>
      <w:r w:rsidR="00DE449B" w:rsidRPr="00662E51">
        <w:rPr>
          <w:szCs w:val="24"/>
        </w:rPr>
        <w:t xml:space="preserve"> </w:t>
      </w:r>
      <w:r w:rsidR="003D2F19" w:rsidRPr="00662E51">
        <w:rPr>
          <w:szCs w:val="24"/>
        </w:rPr>
        <w:fldChar w:fldCharType="begin"/>
      </w:r>
      <w:r w:rsidR="00213B80">
        <w:rPr>
          <w:szCs w:val="24"/>
        </w:rPr>
        <w:instrText xml:space="preserve"> ADDIN ZOTERO_ITEM CSL_CITATION {"citationID":"HXuZH9uh","properties":{"formattedCitation":"(S. Hall et al. [1978] 2019)","plainCitation":"(S. Hall et al. [1978] 2019)","noteIndex":0},"citationItems":[{"id":5777,"uris":["http://zotero.org/users/8977980/items/3K89WG2H"],"itemData":{"id":5777,"type":"book","edition":"2nd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schema":"https://github.com/citation-style-language/schema/raw/master/csl-citation.json"} </w:instrText>
      </w:r>
      <w:r w:rsidR="003D2F19" w:rsidRPr="00662E51">
        <w:rPr>
          <w:szCs w:val="24"/>
        </w:rPr>
        <w:fldChar w:fldCharType="separate"/>
      </w:r>
      <w:r w:rsidR="00213B80" w:rsidRPr="00213B80">
        <w:t>(S. Hall et al. [1978] 2019)</w:t>
      </w:r>
      <w:r w:rsidR="003D2F19" w:rsidRPr="00662E51">
        <w:rPr>
          <w:szCs w:val="24"/>
        </w:rPr>
        <w:fldChar w:fldCharType="end"/>
      </w:r>
      <w:r w:rsidRPr="00662E51">
        <w:rPr>
          <w:szCs w:val="24"/>
        </w:rPr>
        <w:t xml:space="preserve">. The cumulative effect is that the Thatcher years were “deﬁned by both violence, and legal foreclosure of protest” </w:t>
      </w:r>
      <w:r w:rsidRPr="00662E51">
        <w:rPr>
          <w:szCs w:val="24"/>
        </w:rPr>
        <w:fldChar w:fldCharType="begin"/>
      </w:r>
      <w:r w:rsidR="00213B80">
        <w:rPr>
          <w:szCs w:val="24"/>
        </w:rPr>
        <w:instrText xml:space="preserve"> ADDIN ZOTERO_ITEM CSL_CITATION {"citationID":"S5p31qhz","properties":{"formattedCitation":"(M. D. J. Ryan 2019, 126)","plainCitation":"(M. D. J. Ryan 2019, 126)","noteIndex":0},"citationItems":[{"id":5778,"uris":["http://zotero.org/users/8977980/items/KAAG23WN"],"itemData":{"id":5778,"type":"article-journal","abstract":"From the legislated 'embedding' of neoliberalism as seen with constitutional debt ceilings, through sweeping free trade agreements, to the direct, violent suppression of political freedoms; democracy today seems to be under siege from all sides. In response to these troubling developments, Ian Bruff (2014) recently introduced the concept of 'authoritarian neoliberalism' to understand increasingly undemocratic forms of state and state action in the current conjuncture. This article argues that although 'authoritarian neoliberalism' presents a useful development in our understanding of these processes, the concept faces several challenges - in particular, that of obscuring a broader history of authoritarianism and its contradictions, by separating neoliberalism into distinct phases. This article considers two moments of authoritarianism within the history of neoliberalism: the United Kingdom under Margaret Thatcher, and the Greek experience of mandated austerity within the strictures of the European Monetary Union (EMU). Through these examples, the article will engage with claims that the 'authoritarian neoliberalism' of the post-2007 context is somehow 'qualitatively distinct' from earlier forms. It is argued that an enforced separation between these two cases is unhelpful, and that more fruitful directions for this emerging research agenda lie not in a conceptual separation of the past, but rather a consideration of the durability of authoritarian state forms.","container-title":"Competition &amp; Change","DOI":"10.1177/1024529418797867","ISSN":"1024-5294, 1477-2221","issue":"2","journalAbbreviation":"Compet. Chang.","language":"English","note":"number-of-pages: 22\npublisher-place: London\nWeb of Science ID: WOS:000462050600002","page":"116-137","publisher":"SAGE Publications Ltd","source":"Clarivate Analytics Web of Science","title":"Interrogating 'authoritarian neoliberalism': The problem of periodization","title-short":"Interrogating 'authoritarian neoliberalism'","volume":"23","author":[{"family":"Ryan","given":"Matthew D. J."}],"issued":{"date-parts":[["2019",4]]}},"locator":"126"}],"schema":"https://github.com/citation-style-language/schema/raw/master/csl-citation.json"} </w:instrText>
      </w:r>
      <w:r w:rsidRPr="00662E51">
        <w:rPr>
          <w:szCs w:val="24"/>
        </w:rPr>
        <w:fldChar w:fldCharType="separate"/>
      </w:r>
      <w:r w:rsidR="00213B80" w:rsidRPr="00213B80">
        <w:t>(M. D. J. Ryan 2019, 126)</w:t>
      </w:r>
      <w:r w:rsidRPr="00662E51">
        <w:rPr>
          <w:szCs w:val="24"/>
        </w:rPr>
        <w:fldChar w:fldCharType="end"/>
      </w:r>
      <w:r w:rsidRPr="00662E51">
        <w:rPr>
          <w:szCs w:val="24"/>
        </w:rPr>
        <w:t xml:space="preserve">. Indeed, Gamble’s </w:t>
      </w:r>
      <w:r w:rsidRPr="00662E51">
        <w:rPr>
          <w:szCs w:val="24"/>
        </w:rPr>
        <w:fldChar w:fldCharType="begin"/>
      </w:r>
      <w:r w:rsidR="008835AB" w:rsidRPr="00662E51">
        <w:rPr>
          <w:szCs w:val="24"/>
        </w:rPr>
        <w:instrText xml:space="preserve"> ADDIN ZOTERO_ITEM CSL_CITATION {"citationID":"bv4IRUur","properties":{"formattedCitation":"(1989)","plainCitation":"(1989)","noteIndex":0},"citationItems":[{"id":3,"uris":["http://zotero.org/users/8977980/items/U4XCFRW8"],"itemData":{"id":3,"type":"book","ISBN":"978-1-349-19438-4","publisher":"Palgrave Macmillan UK","publisher-place":"London","title":"The Free Economy and the Strong State: The Politics of Thatcherism","author":[{"family":"Gamble","given":"Andrew"}],"issued":{"date-parts":[["1989"]]}},"label":"page","suppress-author":true}],"schema":"https://github.com/citation-style-language/schema/raw/master/csl-citation.json"} </w:instrText>
      </w:r>
      <w:r w:rsidRPr="00662E51">
        <w:rPr>
          <w:szCs w:val="24"/>
        </w:rPr>
        <w:fldChar w:fldCharType="separate"/>
      </w:r>
      <w:r w:rsidR="0095662D" w:rsidRPr="00662E51">
        <w:t>(1989)</w:t>
      </w:r>
      <w:r w:rsidRPr="00662E51">
        <w:rPr>
          <w:szCs w:val="24"/>
        </w:rPr>
        <w:fldChar w:fldCharType="end"/>
      </w:r>
      <w:r w:rsidRPr="00662E51">
        <w:rPr>
          <w:szCs w:val="24"/>
        </w:rPr>
        <w:t xml:space="preserve"> </w:t>
      </w:r>
      <w:r w:rsidR="00991A98">
        <w:rPr>
          <w:szCs w:val="24"/>
        </w:rPr>
        <w:t>description</w:t>
      </w:r>
      <w:r w:rsidRPr="00662E51">
        <w:rPr>
          <w:szCs w:val="24"/>
        </w:rPr>
        <w:t xml:space="preserve"> of ‘free economy, strong state’ comprehensively echoes the government approach of Thatcher. Authoritarian neoliberalism was not confined to Conservative governments either. As discussed above, New Labour engaged in significant insulation and depoliticisation of economic policy and public service </w:t>
      </w:r>
      <w:r w:rsidRPr="00662E51">
        <w:rPr>
          <w:szCs w:val="24"/>
        </w:rPr>
        <w:lastRenderedPageBreak/>
        <w:t xml:space="preserve">delivery </w:t>
      </w:r>
      <w:r w:rsidRPr="00662E51">
        <w:rPr>
          <w:szCs w:val="24"/>
        </w:rPr>
        <w:fldChar w:fldCharType="begin"/>
      </w:r>
      <w:r w:rsidR="00F15CF8">
        <w:rPr>
          <w:szCs w:val="24"/>
        </w:rPr>
        <w:instrText xml:space="preserve"> ADDIN ZOTERO_ITEM CSL_CITATION {"citationID":"CRhXTSjF","properties":{"formattedCitation":"(Burnham 2001, 2014; Diamond 2015; Flinders 2008; Strange 2014)","plainCitation":"(Burnham 2001, 2014; Diamond 2015; Flinders 2008; Strange 2014)","noteIndex":0},"citationItems":[{"id":6661,"uris":["http://zotero.org/users/8977980/items/YID6BF3R"],"itemData":{"id":6661,"type":"article-journal","abstract":"A number of commentators in the 1980s sought to explain the character of the Thatcher administration. By contrast, relatively little work has been produced that seeks to analyse the principles and governing strategies of the Blair government. Focusing primarily on economic management, this article offers a characterisation of statecraft under Blair in terms of the politics of depoliticisation. In summary, it argues that the Blair government has fused aspects of traditional economic management with new initiatives to create a powerful tool of governing organised on the basis of the principle of depoliticisation. Depoliticisation as a governing strategy is the process of placing at one remove the political character of decision-making. State managers retain arm's-length control over crucial economic and social processes whilst simultaneously benefiting from the distancing effects of depoliticisation. As a form of politics it seeks to change market expectations regarding the effectiveness and credibility of policy-making in addition to shielding the government from the consequences of unpopular policies.","container-title":"The British Journal of Politics &amp; International Relations","DOI":"10.1111/1467-856X.00054","ISSN":"1467-856X","issue":"2","language":"en","license":"Political Studies Association 2001","note":"_eprint: https://onlinelibrary.wiley.com/doi/pdf/10.1111/1467-856X.00054","page":"127-149","source":"Wiley Online Library","title":"New Labour and the politics of depoliticisation","volume":"3","author":[{"family":"Burnham","given":"Peter"}],"issued":{"date-parts":[["2001"]]}}},{"id":6669,"uris":["http://zotero.org/users/8977980/items/WY3E2APN"],"itemData":{"id":6669,"type":"article-journal","abstract":"This article places the study of depoliticisation within a framework that highlights the crisis-ridden character of capitalist development. It suggests that by linking depoliticisation to the activities of state managers engaged in crisis management, the concept scores highly in terms of clarity and precision over more expansive uses that lack a cutting edge and result in the assertion that ‘depoliticisation is everywhere’. In a context characterised by the continued crisis of global capital it is argued that the politicisation of social relations threatens the basis not only of individual governments but of the liberal capitalist form of the state itself.","DOI":"10.1332/030557312X655954","language":"en","section":"Policy &amp; Politics","source":"bristoluniversitypressdigital.com","title":"Depoliticisation: economic crisis and political management","title-short":"Depoliticisation","URL":"https://bristoluniversitypressdigital.com/view/journals/pp/42/2/article-p189.xml","author":[{"family":"Burnham","given":"Peter"}],"accessed":{"date-parts":[["2025",7,7]]},"issued":{"date-parts":[["2014",4,1]]}}},{"id":6663,"uris":["http://zotero.org/users/8977980/items/US2ZKQ8M"],"itemData":{"id":6663,"type":"article-journal","abstract":"There is a considerable scholarly literature that interrogates why politicians are transferring powers to non-elected experts and limiting their policy discretion through ‘external rules’. While New Labour adopted a model of depoliticised state management in reforming UK public services, equally prominent was the politicised approach more usually associated with the Westminster model. This article’s core argument is that any shift towards depoliticisation is countered by structural trends reinforcing a politicised model of state management in British governance. In the Westminster system, political actors are rarely prepared to forego governing capacity, recognising the limitations of ‘blame avoidance’. Governing in the British polity necessitates elements of both politicisation and depoliticisation, evidenced by the hybrid statecraft of Blair and New Labour. Our analytical focus should be explaining relative changes over time, rather than positing a linear shift from politicised to depoliticised state management. Moreover, it is necessary to conceptualise the governing pathologies and unintended consequences that arise from the dual processes of politicisation and depoliticisation in the British state.","container-title":"British Politics","DOI":"10.1057/bp.2015.10","ISSN":"1746-9198","issue":"4","journalAbbreviation":"Br Polit","language":"en","page":"429-453","source":"Springer Link","title":"New Labour, politicisation and depoliticisation: The delivery agenda in public services 1997–2007","title-short":"New Labour, politicisation and depoliticisation","volume":"10","author":[{"family":"Diamond","given":"Patrick"}],"issued":{"date-parts":[["2015",12,1]]}}},{"id":6667,"uris":["http://zotero.org/users/8977980/items/9Z8KFXUU"],"itemData":{"id":6667,"type":"book","abstract":"The delegation of functions and responsibilities to quasi-autonomous bodies operating with a significant degree of autonomy arguably empowers governments to address a wide range of social issues simultaneously without having to be involved with the minutiae of day-to-day socio-political interactions. Delegation therefore provides a structural and esoteric capacity beyond the cognitive and physical limits of politicians. There is nothing wrong with delegation as such. The problem relates to the failure to manage delegation in Britain. And yet we actually know very little about how the state beyond the core actually operates, how many bodies exist, what they do, how they are recruited, or why they were created. These gaps in our knowledge are all the more problematic in light of recent pronouncements by politicians at the national and European levels that ‘depoliticization’ is a central strand of their approach to governing. This book seeks to fill these gaps in our knowledge while at the same time cultivating a more balanced or sophisticated approach to the study of delegation. Delegated public bodies as they have been used as a tool of governance in the past should not be confused with how they might be used in the future. This book draws upon research conducted within the very core of the British political system during a Whitehall Fellowship within the Cabinet Office. It argues that the British state is ‘walking without order’ due to a general acceptance of the logic of delegation without any detailed or principled consideration of the administrative of democratic consequences of this process.","ISBN":"978-0-19-927160-3","note":"DOI: 10.1093/acprof:oso/9780199271603.001.0001","publisher":"Oxford University Press","source":"Silverchair","title":"Delegated Governance and the British State: Walking without Order","title-short":"Delegated Governance and the British State","URL":"https://doi.org/10.1093/acprof:oso/9780199271603.001.0001","author":[{"family":"Flinders","given":"Matthew"}],"accessed":{"date-parts":[["2025",7,7]]},"issued":{"date-parts":[["2008",8,1]]}}},{"id":6666,"uris":["http://zotero.org/users/8977980/items/24YW4A7U"],"itemData":{"id":6666,"type":"article-journal","abstract":"Pointing to its radical underpinnings in so-called ‘Open Marxism’ and its theory of the state (one that subsumes the state in the capital relation), this article critically scrutinises Peter Burnham's thesis of ‘depoliticisation’ as a dominant accumulation strategy and regime. The article identifies ambiguities around Burnham's depiction of New Labour in power as committed to depoliticisation. It addresses these by drawing a distinction between regime of accumulation and mode of regulation, characterising New Labour's political economy in terms of the latter as a form of depoliticised Keynesianism framed by ‘discretionary constraint’. Contra-Burnham, the article points to the continued efficacy of Keynesian and social democratic political agency in the context of a dialectic of depoliticisation and repoliticisation focused on the role and power of the state. This dialectic is symptomatic of the contested regulation of capitalism around the defence of the value of money, on the one hand, and its broader management and redistribution, on the other.","container-title":"New Political Economy","DOI":"10.1080/13563467.2013.779648","ISSN":"1356-3467","issue":"1","note":"_eprint: https://doi.org/10.1080/13563467.2013.779648","page":"138-154","publisher":"Routledge","source":"Taylor and Francis+NEJM","title":"Depoliticisation, the Management of Money and the Renewal of Social Democracy: New Labour's Keynesianism and the Political Economy of ‘Discretionary Constraint’","title-short":"Depoliticisation, the Management of Money and the Renewal of Social Democracy","volume":"19","author":[{"family":"Strange","given":"Gerard"}],"issued":{"date-parts":[["2014",1,2]]}}}],"schema":"https://github.com/citation-style-language/schema/raw/master/csl-citation.json"} </w:instrText>
      </w:r>
      <w:r w:rsidRPr="00662E51">
        <w:rPr>
          <w:szCs w:val="24"/>
        </w:rPr>
        <w:fldChar w:fldCharType="separate"/>
      </w:r>
      <w:r w:rsidR="00F15CF8" w:rsidRPr="00F15CF8">
        <w:t>(Burnham 2001, 2014; Diamond 2015; Flinders 2008; Strange 2014)</w:t>
      </w:r>
      <w:r w:rsidRPr="00662E51">
        <w:rPr>
          <w:szCs w:val="24"/>
        </w:rPr>
        <w:fldChar w:fldCharType="end"/>
      </w:r>
      <w:r w:rsidRPr="00662E51">
        <w:rPr>
          <w:szCs w:val="24"/>
        </w:rPr>
        <w:t>. Authoritarian neoliberalism is thus not new. Instead, it is a reshaping of an existing nexus of authoritarianism and neoliberalism throughout British history</w:t>
      </w:r>
      <w:r w:rsidR="0085689F" w:rsidRPr="00662E51">
        <w:rPr>
          <w:szCs w:val="24"/>
        </w:rPr>
        <w:t xml:space="preserve"> since the 1970s</w:t>
      </w:r>
      <w:r w:rsidRPr="00662E51">
        <w:rPr>
          <w:szCs w:val="24"/>
        </w:rPr>
        <w:t>.</w:t>
      </w:r>
      <w:r w:rsidR="003122AC">
        <w:rPr>
          <w:szCs w:val="24"/>
        </w:rPr>
        <w:t xml:space="preserve"> </w:t>
      </w:r>
      <w:r w:rsidR="001A0EA4">
        <w:rPr>
          <w:szCs w:val="24"/>
        </w:rPr>
        <w:t>R</w:t>
      </w:r>
      <w:r w:rsidR="003122AC">
        <w:rPr>
          <w:szCs w:val="24"/>
        </w:rPr>
        <w:t>ecognising AN’s histor</w:t>
      </w:r>
      <w:r w:rsidR="00953D62">
        <w:rPr>
          <w:szCs w:val="24"/>
        </w:rPr>
        <w:t xml:space="preserve">ical range </w:t>
      </w:r>
      <w:r w:rsidR="001A0EA4">
        <w:rPr>
          <w:szCs w:val="24"/>
        </w:rPr>
        <w:t xml:space="preserve">does not overstretch the concept. Rather, it highlights </w:t>
      </w:r>
      <w:r w:rsidR="004C0DA3">
        <w:rPr>
          <w:szCs w:val="24"/>
        </w:rPr>
        <w:t xml:space="preserve">the interdependence between neoliberalism and authoritarianism; the complex, contradictory, and variegated nature of neoliberal political economy; and </w:t>
      </w:r>
      <w:r w:rsidR="00E90D83">
        <w:rPr>
          <w:szCs w:val="24"/>
        </w:rPr>
        <w:t xml:space="preserve">the </w:t>
      </w:r>
      <w:r w:rsidR="009627BF">
        <w:rPr>
          <w:szCs w:val="24"/>
        </w:rPr>
        <w:t>contingency of the state.</w:t>
      </w:r>
    </w:p>
    <w:p w14:paraId="465F8CA1" w14:textId="5FA6B9A5" w:rsidR="007B4EA4" w:rsidRPr="00662E51" w:rsidRDefault="007B4EA4" w:rsidP="009627BF">
      <w:pPr>
        <w:spacing w:line="360" w:lineRule="auto"/>
        <w:ind w:left="0" w:firstLine="720"/>
        <w:rPr>
          <w:szCs w:val="24"/>
        </w:rPr>
      </w:pPr>
      <w:r w:rsidRPr="00662E51">
        <w:rPr>
          <w:szCs w:val="24"/>
        </w:rPr>
        <w:t xml:space="preserve">Just as neoliberalism exists in many different forms and across historical periods </w:t>
      </w:r>
      <w:r w:rsidRPr="00662E51">
        <w:rPr>
          <w:szCs w:val="24"/>
        </w:rPr>
        <w:fldChar w:fldCharType="begin"/>
      </w:r>
      <w:r w:rsidRPr="00662E51">
        <w:rPr>
          <w:szCs w:val="24"/>
        </w:rPr>
        <w:instrText xml:space="preserve"> ADDIN ZOTERO_ITEM CSL_CITATION {"citationID":"XfGJFdHf","properties":{"formattedCitation":"(Peck and Theodore 2019)","plainCitation":"(Peck and Theodore 2019)","noteIndex":0},"citationItems":[{"id":6622,"uris":["http://zotero.org/users/8977980/items/EZTGGSET"],"itemData":{"id":6622,"type":"article-journal","container-title":"South Atlantic Quarterly","DOI":"10.1215/00382876-7381122","ISSN":"0038-2876","issue":"2","journalAbbreviation":"South Atlantic Quarterly","page":"245-265","source":"Silverchair","title":"Still Neoliberalism?","volume":"118","author":[{"family":"Peck","given":"Jamie"},{"family":"Theodore","given":"Nik"}],"issued":{"date-parts":[["2019",4,1]]}}}],"schema":"https://github.com/citation-style-language/schema/raw/master/csl-citation.json"} </w:instrText>
      </w:r>
      <w:r w:rsidRPr="00662E51">
        <w:rPr>
          <w:szCs w:val="24"/>
        </w:rPr>
        <w:fldChar w:fldCharType="separate"/>
      </w:r>
      <w:r w:rsidR="0095662D" w:rsidRPr="00662E51">
        <w:t>(Peck and Theodore 2019)</w:t>
      </w:r>
      <w:r w:rsidRPr="00662E51">
        <w:rPr>
          <w:szCs w:val="24"/>
        </w:rPr>
        <w:fldChar w:fldCharType="end"/>
      </w:r>
      <w:r w:rsidRPr="00662E51">
        <w:rPr>
          <w:szCs w:val="24"/>
        </w:rPr>
        <w:t xml:space="preserve">, authoritarian neoliberalism is multifaceted </w:t>
      </w:r>
      <w:r w:rsidRPr="00662E51">
        <w:rPr>
          <w:szCs w:val="24"/>
        </w:rPr>
        <w:fldChar w:fldCharType="begin"/>
      </w:r>
      <w:r w:rsidR="008835AB" w:rsidRPr="00662E51">
        <w:rPr>
          <w:szCs w:val="24"/>
        </w:rPr>
        <w:instrText xml:space="preserve"> ADDIN ZOTERO_ITEM CSL_CITATION {"citationID":"MUx5Ejao","properties":{"formattedCitation":"(Bruff and Tansel 2021; Tansel 2017)","plainCitation":"(Bruff and Tansel 2021; Tansel 2017)","noteIndex":0},"citationItems":[{"id":6610,"uris":["http://zotero.org/users/8977980/items/2E9XNATW"],"itemData":{"id":6610,"type":"book","collection-title":"Rethinking globalizations","ISBN":"978-1-032-08802-0","language":"eng","number-of-pages":"141","publisher":"Routledge, Taylor &amp; Francis Group","publisher-place":"London New York","source":"K10plus ISBN","title":"Authoritarian neoliberalism: philosophies, practices, contestations","title-short":"Authoritarian neoliberalism","editor":[{"family":"Bruff","given":"Ian"},{"family":"Tansel","given":"Cemal Burak"}],"issued":{"date-parts":[["2021"]]}}},{"id":5807,"uris":["http://zotero.org/users/8977980/items/KGMGBNMC"],"itemData":{"id":5807,"type":"book","abstract":"Despite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Burak"}],"issued":{"date-parts":[["2017",2,8]]}}}],"schema":"https://github.com/citation-style-language/schema/raw/master/csl-citation.json"} </w:instrText>
      </w:r>
      <w:r w:rsidRPr="00662E51">
        <w:rPr>
          <w:szCs w:val="24"/>
        </w:rPr>
        <w:fldChar w:fldCharType="separate"/>
      </w:r>
      <w:r w:rsidR="0095662D" w:rsidRPr="00662E51">
        <w:t>(Bruff and Tansel 2021; Tansel 2017)</w:t>
      </w:r>
      <w:r w:rsidRPr="00662E51">
        <w:rPr>
          <w:szCs w:val="24"/>
        </w:rPr>
        <w:fldChar w:fldCharType="end"/>
      </w:r>
      <w:r w:rsidRPr="00662E51">
        <w:rPr>
          <w:szCs w:val="24"/>
        </w:rPr>
        <w:t xml:space="preserve">. Gallo </w:t>
      </w:r>
      <w:r w:rsidRPr="00662E51">
        <w:rPr>
          <w:szCs w:val="24"/>
        </w:rPr>
        <w:fldChar w:fldCharType="begin"/>
      </w:r>
      <w:r w:rsidR="008835AB" w:rsidRPr="00662E51">
        <w:rPr>
          <w:szCs w:val="24"/>
        </w:rPr>
        <w:instrText xml:space="preserve"> ADDIN ZOTERO_ITEM CSL_CITATION {"citationID":"cxEJ2PEJ","properties":{"formattedCitation":"(2022)","plainCitation":"(2022)","noteIndex":0},"citationItems":[{"id":6612,"uris":["http://zotero.org/users/8977980/items/PCZC7PHP"],"itemData":{"id":6612,"type":"article-journal","abstract":"Neoliberalism and authoritarianism are intimately connected, as is demonstrated by the existence of a growing body of literature on ‘authoritarian neoliberalism’. This article provides a taxonomy of authoritarian neoliberalism and claims that it appears in three varieties – technocracy, populist nationalism, and traditional authoritarianism. Also, it proposes both an overview of the varieties and an analysis of three states as case studies. States are investigated as actors which strongly contribute to the neoliberal project amidst a more complex process of multilocalized and variegated neoliberalizations, which have to be incorporated into the comparative research. First, Italy is studied as a consolidated Western democracy which has been often governed by technocrats, independent, non-party professionals who have recurrently been in power since the 1990s, and within the frame of an increasingly technocratic European Union. Second, the paper concentrates on Hungary, a semi-peripheral Central European country which has become an epitome of a populist nationalism with increasingly authoritarian traits. Third, the paper focuses on Kazakhstan, a former Soviet Union republic with no significant experience of liberal democracy before independence, and a key example of the ‘traditional authoritarian’ variety. The three varieties, however, are sometimes combined and coexisting, and their evolution will be decisive for the future of capitalism and liberal democracy.","container-title":"Competition &amp; Change","DOI":"10.1177/10245294211038425","ISSN":"1024-5294","issue":"5","language":"EN","page":"554-574","publisher":"SAGE Publications Ltd","source":"SAGE Journals","title":"Three varieties of Authoritarian Neoliberalism: Rule by the experts, the people, the leader","title-short":"Three varieties of Authoritarian Neoliberalism","volume":"26","author":[{"family":"Gallo","given":"Ernesto"}],"issued":{"date-parts":[["2022",10,1]]}},"label":"page","suppress-author":true}],"schema":"https://github.com/citation-style-language/schema/raw/master/csl-citation.json"} </w:instrText>
      </w:r>
      <w:r w:rsidRPr="00662E51">
        <w:rPr>
          <w:szCs w:val="24"/>
        </w:rPr>
        <w:fldChar w:fldCharType="separate"/>
      </w:r>
      <w:r w:rsidR="0095662D" w:rsidRPr="00662E51">
        <w:t>(2022)</w:t>
      </w:r>
      <w:r w:rsidRPr="00662E51">
        <w:rPr>
          <w:szCs w:val="24"/>
        </w:rPr>
        <w:fldChar w:fldCharType="end"/>
      </w:r>
      <w:r w:rsidRPr="00662E51">
        <w:rPr>
          <w:szCs w:val="24"/>
        </w:rPr>
        <w:t xml:space="preserve"> provides a typology: ‘rule by the experts, the people, the leader.’ That is, AN as deployed by technocrats, populism, and an autocrat. These types are not fixed; each case holds elements of the other. For the purposes of this thesis, I chiefly consider technocratic forms of AN. The UK is not a traditional authoritarian state and, though there has been a rise in nationalism post-Brexit </w:t>
      </w:r>
      <w:r w:rsidRPr="00662E51">
        <w:rPr>
          <w:szCs w:val="24"/>
        </w:rPr>
        <w:fldChar w:fldCharType="begin"/>
      </w:r>
      <w:r w:rsidR="00213B80">
        <w:rPr>
          <w:szCs w:val="24"/>
        </w:rPr>
        <w:instrText xml:space="preserve"> ADDIN ZOTERO_ITEM CSL_CITATION {"citationID":"XnoNVFhR","properties":{"formattedCitation":"(Anderson and Secor 2025; A. Bonnett and Hopkins 2025)","plainCitation":"(Anderson and Secor 2025; A. Bonnett and Hopkins 2025)","noteIndex":0},"citationItems":[{"id":7203,"uris":["http://zotero.org/users/8977980/items/KP3AAPS7"],"itemData":{"id":7203,"type":"book","abstract":"How today's dominant political forms--right-wing populism, progressivism, and liberalism--offer differentiated responses to shared conditions of uncertainty.The Politics of Feeling argues that politics has become a matter of political feelings in an age of uncertainty. The uncertainties of the post-2008 period have transformed the political arena","collection-title":"Goldsmiths Press / PERC Papers","ISBN":"978-1-915983-29-9","language":"eng","number-of-pages":"1","publisher":"Goldsmiths Press","publisher-place":"London","source":"K10plus ISBN","title":"The politics of feeling: populism, progressivism, liberalism","title-short":"The politics of feeling","author":[{"family":"Anderson","given":"Ben"},{"family":"Secor","given":"Anna J."}],"issued":{"date-parts":[["2025"]]}}},{"id":7200,"uris":["http://zotero.org/users/8977980/items/PTQX56JI"],"itemData":{"id":7200,"type":"article-journal","abstract":"To introduce this Special Section, we reflect on the riots that took place in the United Kingdom in late July and early August 2024 and the questions, issues and challenges that this raises for geography as a discipline and for our practice as geographers. We challenge the silences and absences that have prevailed since the riots took place and raise questions about several issues that remain under-explored. We address the ways in which far-right ideas have become increasingly mainstream and consider the role that Islamophobia and anti-Muslim sentiment played in catalysing the situation. We conclude by considering the importance of these issues for geography and suggest avenues for further research.","container-title":"The Geographical Journal","DOI":"10.1111/geoj.70047","ISSN":"1475-4959","issue":"n/a","language":"en","license":"© 2025 The Author(s). The Geographical Journal published by John Wiley &amp; Sons Ltd on behalf of Royal Geographical Society (with the Institute of British Geographers).","note":"_eprint: https://rgs-ibg.onlinelibrary.wiley.com/doi/pdf/10.1111/geoj.70047","page":"e70047","source":"Wiley Online Library","title":"Understanding the 2024 UK riots","volume":"n/a","author":[{"family":"Bonnett","given":"Alastair"},{"family":"Hopkins","given":"Peter"}],"issued":{"date-parts":[["2025",8,18]]}}}],"schema":"https://github.com/citation-style-language/schema/raw/master/csl-citation.json"} </w:instrText>
      </w:r>
      <w:r w:rsidRPr="00662E51">
        <w:rPr>
          <w:szCs w:val="24"/>
        </w:rPr>
        <w:fldChar w:fldCharType="separate"/>
      </w:r>
      <w:r w:rsidR="00213B80" w:rsidRPr="00213B80">
        <w:t>(Anderson and Secor 2025; A. Bonnett and Hopkins 2025)</w:t>
      </w:r>
      <w:r w:rsidRPr="00662E51">
        <w:rPr>
          <w:szCs w:val="24"/>
        </w:rPr>
        <w:fldChar w:fldCharType="end"/>
      </w:r>
      <w:r w:rsidRPr="00662E51">
        <w:rPr>
          <w:szCs w:val="24"/>
        </w:rPr>
        <w:t xml:space="preserve">, it has not yet fallen into out-and-out nationalist populism. Rather, my thesis speaks to British urban planning during an era of technocratic approaches to urban development </w:t>
      </w:r>
      <w:r w:rsidRPr="00662E51">
        <w:rPr>
          <w:szCs w:val="24"/>
        </w:rPr>
        <w:fldChar w:fldCharType="begin"/>
      </w:r>
      <w:r w:rsidR="008835AB" w:rsidRPr="00662E51">
        <w:rPr>
          <w:szCs w:val="24"/>
        </w:rPr>
        <w:instrText xml:space="preserve"> ADDIN ZOTERO_ITEM CSL_CITATION {"citationID":"0oUdpXsg","properties":{"formattedCitation":"(Raco and Savini 2019)","plainCitation":"(Raco and Savini 2019)","noteIndex":0},"citationItems":[{"id":6606,"uris":["http://zotero.org/users/8977980/items/CURL8BG2"],"itemData":{"id":6606,"type":"book","abstract":"This book uses an international perspective to look at the sources of conflict and cooperation between the different landscapes of knowledge driving contemporary urban change, and the rise of new technocracy in urban governance","ISBN":"978-1-4473-4525-1","language":"eng","number-of-pages":"1","publisher":"Policy Press","publisher-place":"Bristol, UK ; Chicago, IL, USA","source":"K10plus ISBN","title":"Planning and knowledge: how new forms of technocracy are shaping contemporary cities","title-short":"Planning and knowledge","editor":[{"family":"Raco","given":"Mike"},{"family":"Savini","given":"Federico"}],"issued":{"date-parts":[["2019"]]}}}],"schema":"https://github.com/citation-style-language/schema/raw/master/csl-citation.json"} </w:instrText>
      </w:r>
      <w:r w:rsidRPr="00662E51">
        <w:rPr>
          <w:szCs w:val="24"/>
        </w:rPr>
        <w:fldChar w:fldCharType="separate"/>
      </w:r>
      <w:r w:rsidR="0095662D" w:rsidRPr="00662E51">
        <w:t>(Raco and Savini 2019)</w:t>
      </w:r>
      <w:r w:rsidRPr="00662E51">
        <w:rPr>
          <w:szCs w:val="24"/>
        </w:rPr>
        <w:fldChar w:fldCharType="end"/>
      </w:r>
      <w:r w:rsidRPr="00662E51">
        <w:rPr>
          <w:szCs w:val="24"/>
        </w:rPr>
        <w:t xml:space="preserve">. Although Gallo </w:t>
      </w:r>
      <w:r w:rsidRPr="00662E51">
        <w:rPr>
          <w:szCs w:val="24"/>
        </w:rPr>
        <w:fldChar w:fldCharType="begin"/>
      </w:r>
      <w:r w:rsidR="008835AB" w:rsidRPr="00662E51">
        <w:rPr>
          <w:szCs w:val="24"/>
        </w:rPr>
        <w:instrText xml:space="preserve"> ADDIN ZOTERO_ITEM CSL_CITATION {"citationID":"DVfZqFIB","properties":{"formattedCitation":"(2022)","plainCitation":"(2022)","noteIndex":0},"citationItems":[{"id":6612,"uris":["http://zotero.org/users/8977980/items/PCZC7PHP"],"itemData":{"id":6612,"type":"article-journal","abstract":"Neoliberalism and authoritarianism are intimately connected, as is demonstrated by the existence of a growing body of literature on ‘authoritarian neoliberalism’. This article provides a taxonomy of authoritarian neoliberalism and claims that it appears in three varieties – technocracy, populist nationalism, and traditional authoritarianism. Also, it proposes both an overview of the varieties and an analysis of three states as case studies. States are investigated as actors which strongly contribute to the neoliberal project amidst a more complex process of multilocalized and variegated neoliberalizations, which have to be incorporated into the comparative research. First, Italy is studied as a consolidated Western democracy which has been often governed by technocrats, independent, non-party professionals who have recurrently been in power since the 1990s, and within the frame of an increasingly technocratic European Union. Second, the paper concentrates on Hungary, a semi-peripheral Central European country which has become an epitome of a populist nationalism with increasingly authoritarian traits. Third, the paper focuses on Kazakhstan, a former Soviet Union republic with no significant experience of liberal democracy before independence, and a key example of the ‘traditional authoritarian’ variety. The three varieties, however, are sometimes combined and coexisting, and their evolution will be decisive for the future of capitalism and liberal democracy.","container-title":"Competition &amp; Change","DOI":"10.1177/10245294211038425","ISSN":"1024-5294","issue":"5","language":"EN","page":"554-574","publisher":"SAGE Publications Ltd","source":"SAGE Journals","title":"Three varieties of Authoritarian Neoliberalism: Rule by the experts, the people, the leader","title-short":"Three varieties of Authoritarian Neoliberalism","volume":"26","author":[{"family":"Gallo","given":"Ernesto"}],"issued":{"date-parts":[["2022",10,1]]}},"label":"page","suppress-author":true}],"schema":"https://github.com/citation-style-language/schema/raw/master/csl-citation.json"} </w:instrText>
      </w:r>
      <w:r w:rsidRPr="00662E51">
        <w:rPr>
          <w:szCs w:val="24"/>
        </w:rPr>
        <w:fldChar w:fldCharType="separate"/>
      </w:r>
      <w:r w:rsidR="0095662D" w:rsidRPr="00662E51">
        <w:t>(2022)</w:t>
      </w:r>
      <w:r w:rsidRPr="00662E51">
        <w:rPr>
          <w:szCs w:val="24"/>
        </w:rPr>
        <w:fldChar w:fldCharType="end"/>
      </w:r>
      <w:r w:rsidRPr="00662E51">
        <w:rPr>
          <w:szCs w:val="24"/>
        </w:rPr>
        <w:t xml:space="preserve"> conceives of expert technocrats as agents attached to international institutions like the European Union, town planning in Britain is rife with both traditional council technocrat planners </w:t>
      </w:r>
      <w:r w:rsidRPr="00662E51">
        <w:rPr>
          <w:szCs w:val="24"/>
        </w:rPr>
        <w:fldChar w:fldCharType="begin"/>
      </w:r>
      <w:r w:rsidR="008835AB" w:rsidRPr="00662E51">
        <w:rPr>
          <w:szCs w:val="24"/>
        </w:rPr>
        <w:instrText xml:space="preserve"> ADDIN ZOTERO_ITEM CSL_CITATION {"citationID":"Kcy5ovqU","properties":{"formattedCitation":"(Ormerod and MacLeod 2019)","plainCitation":"(Ormerod and MacLeod 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0095662D" w:rsidRPr="00662E51">
        <w:t>(Ormerod and MacLeod 2019)</w:t>
      </w:r>
      <w:r w:rsidRPr="00662E51">
        <w:rPr>
          <w:szCs w:val="24"/>
        </w:rPr>
        <w:fldChar w:fldCharType="end"/>
      </w:r>
      <w:r w:rsidRPr="00662E51">
        <w:rPr>
          <w:szCs w:val="24"/>
        </w:rPr>
        <w:t xml:space="preserve"> and private, external consultants who function very much like technocrats </w:t>
      </w:r>
      <w:r w:rsidRPr="00662E51">
        <w:rPr>
          <w:szCs w:val="24"/>
        </w:rPr>
        <w:fldChar w:fldCharType="begin"/>
      </w:r>
      <w:r w:rsidR="008835AB" w:rsidRPr="00662E51">
        <w:rPr>
          <w:szCs w:val="24"/>
        </w:rPr>
        <w:instrText xml:space="preserve"> ADDIN ZOTERO_ITEM CSL_CITATION {"citationID":"k77twVML","properties":{"formattedCitation":"(Wargent et al. 2020)","plainCitation":"(Wargent et al. 2020)","noteIndex":0},"citationItems":[{"id":6617,"uris":["http://zotero.org/users/8977980/items/K7JGWRCT"],"itemData":{"id":6617,"type":"article-journal","abstract":"Despite intermittent recognition of the input of private planning consultants in the UK planning system, there remains a paucity of empirical studies into their roles and influence in contemporary practice. Drawing on interviews with both public and private planners in England, this paper explores the nature of the public-private entanglements that increasingly define local planning practice. These include the heterogeneity of the consultant market, the rationales employed to justify consultant use, the nature of the expertise being deployed, and the asymmetrical nature of public/private relationships. The paper argues that the demands made on the public planning system and the planners that operate it are driving teleological explanations of the use of private expertise, displaying an ambivalence to the fact that Local Planning Authorities are in a position of critical dependency with private sector consultants. In concluding, it is argued that the knowledges that underpin planning practices are increasingly shaped by the market, with the potential to undermine planning’s public interest purpose.","container-title":"European Planning Studies","DOI":"10.1080/09654313.2019.1677565","ISSN":"0965-4313","issue":"1","note":"_eprint: https://doi.org/10.1080/09654313.2019.1677565","page":"192-210","publisher":"Routledge","source":"Taylor and Francis+NEJM","title":"Public-private entanglements: consultant use by local planning authorities in England","title-short":"Public-private entanglements","volume":"28","author":[{"family":"Wargent","given":"Matthew"},{"family":"Parker","given":"Gavin"},{"family":"Street","given":"Emma"}],"issued":{"date-parts":[["2020",1,2]]}}}],"schema":"https://github.com/citation-style-language/schema/raw/master/csl-citation.json"} </w:instrText>
      </w:r>
      <w:r w:rsidRPr="00662E51">
        <w:rPr>
          <w:szCs w:val="24"/>
        </w:rPr>
        <w:fldChar w:fldCharType="separate"/>
      </w:r>
      <w:r w:rsidR="0095662D" w:rsidRPr="00662E51">
        <w:t>(Wargent et al. 2020)</w:t>
      </w:r>
      <w:r w:rsidRPr="00662E51">
        <w:rPr>
          <w:szCs w:val="24"/>
        </w:rPr>
        <w:fldChar w:fldCharType="end"/>
      </w:r>
      <w:r w:rsidRPr="00662E51">
        <w:rPr>
          <w:szCs w:val="24"/>
        </w:rPr>
        <w:t>. Furthermore, as I discuss below and in subsequent chapters (</w:t>
      </w:r>
      <w:r w:rsidR="00114AE9" w:rsidRPr="00662E51">
        <w:rPr>
          <w:szCs w:val="24"/>
        </w:rPr>
        <w:t>6, 7</w:t>
      </w:r>
      <w:r w:rsidRPr="00662E51">
        <w:rPr>
          <w:szCs w:val="24"/>
        </w:rPr>
        <w:t xml:space="preserve">), the multi-scalar nature of AN </w:t>
      </w:r>
      <w:r w:rsidRPr="00662E51">
        <w:rPr>
          <w:szCs w:val="24"/>
        </w:rPr>
        <w:fldChar w:fldCharType="begin"/>
      </w:r>
      <w:r w:rsidRPr="00662E51">
        <w:rPr>
          <w:szCs w:val="24"/>
        </w:rPr>
        <w:instrText xml:space="preserve"> ADDIN ZOTERO_ITEM CSL_CITATION {"citationID":"2l32mK4D","properties":{"formattedCitation":"(Pileti\\uc0\\u263{} 2022)","plainCitation":"(Piletić 2022)","noteIndex":0},"citationItems":[{"id":5764,"uris":["http://zotero.org/users/8977980/items/NAKP7URT"],"itemData":{"id":5764,"type":"article-journal","container-title":"Globalizations","DOI":"10.1080/14747731.2021.1882817","ISSN":"1474-7731, 1474-774X","issue":"2","journalAbbreviation":"Globalizations","language":"en","page":"285-300","source":"DOI.org (Crossref)","title":"The role of the urban scale in anchoring authoritarian neoliberalism: a look at post-2012 neoliberalization in Belgrade, Serbia","title-short":"The role of the urban scale in anchoring authoritarian neoliberalism","volume":"19","author":[{"family":"Piletić","given":"Aleksandra"}],"issued":{"date-parts":[["2022",2,17]]}}}],"schema":"https://github.com/citation-style-language/schema/raw/master/csl-citation.json"} </w:instrText>
      </w:r>
      <w:r w:rsidRPr="00662E51">
        <w:rPr>
          <w:szCs w:val="24"/>
        </w:rPr>
        <w:fldChar w:fldCharType="separate"/>
      </w:r>
      <w:r w:rsidR="0095662D" w:rsidRPr="00662E51">
        <w:rPr>
          <w:rFonts w:cs="Times New Roman"/>
          <w:kern w:val="0"/>
        </w:rPr>
        <w:t>(Piletić 2022)</w:t>
      </w:r>
      <w:r w:rsidRPr="00662E51">
        <w:rPr>
          <w:szCs w:val="24"/>
        </w:rPr>
        <w:fldChar w:fldCharType="end"/>
      </w:r>
      <w:r w:rsidRPr="00662E51">
        <w:rPr>
          <w:szCs w:val="24"/>
        </w:rPr>
        <w:t xml:space="preserve"> mean that technocratic AN has purchase when used to analyse local urban transformation. While the framework of planning in the UK is unstable </w:t>
      </w:r>
      <w:r w:rsidRPr="00662E51">
        <w:rPr>
          <w:szCs w:val="24"/>
        </w:rPr>
        <w:fldChar w:fldCharType="begin"/>
      </w:r>
      <w:r w:rsidR="00F15CF8">
        <w:rPr>
          <w:szCs w:val="24"/>
        </w:rPr>
        <w:instrText xml:space="preserve"> ADDIN ZOTERO_ITEM CSL_CITATION {"citationID":"FPsrdHrC","properties":{"formattedCitation":"(Fearn 2024, 2025)","plainCitation":"(Fearn 2024, 2025)","noteIndex":0},"citationItems":[{"id":6433,"uris":["http://zotero.org/users/8977980/items/2XKUHD7L"],"itemData":{"id":6433,"type":"article-journal","abstract":"Neoliberalisation, particularly since the financial crisis, has been associated with significant housing crises. Rising prices and rents have benefitted asset owners, whilst squeezing younger generations out of the ‘property owning democracy’. As the tensions between these two groups grow, states are seeking further reforms to urban planning to deliver greater levels of private house-building, as a policy fix which also serves the interests of capital. To deliver further neoliberal reforms, though, states are increasingly turning towards more authoritarian practices to manage growing dissent to neoliberal rule. Drawing on Gramsci and theoretical insights from the major crises of the 1970s, this paper analyses how authoritarian practices, statist and populist, are derived from the administrative and legitimation crises that followed the financial crash of 2007/8. It focuses on a particular administrative crisis – housing in England – to show how increasingly coercive urban planning practices were advocated for at national level, which in turn revealed tensions within the ‘historical bloc’ of the neoliberal order. In the English case the government has struggled to cohere the consent of capital and civil society, with key class fractions of the historical bloc divided over planning reform. I argue that the contestations have nonetheless shifted political common sense towards reducing deliberative and democratic practices, shifting accountability from those with structural power to those with much more marginal power.","container-title":"Urban Studies","DOI":"10.1177/00420980241254925","ISSN":"0042-0980","language":"EN","page":"00420980241254925","publisher":"SAGE Publications Ltd","source":"SAGE Journals","title":"Housing the historical bloc: Civil society contestation of authoritarian neoliberalism in England","title-short":"Housing the historical bloc","author":[{"family":"Fearn","given":"Gareth"}],"issued":{"date-parts":[["2024",6,18]]}}},{"id":6616,"uris":["http://zotero.org/users/8977980/items/8ICBNH4T"],"itemData":{"id":6616,"type":"article-journal","abstract":"Planning reform is a central part of the new UK Labour government’s programme. This article shows how their proposed reforms draw upon a neoliberal problematisation of planning developed by several think tanks, where the planning system is seen as creating delay, as overly regulatory and as providing too much space for deliberation. The article shows that Labour draws on this problematisation while developing its own solutions through a series of institutional fixes as part of its turn towards ‘modern supply-side economics’. The article argues that the foregrounding of planning reform in Labour’s programme is an attempt to align the interests of rentier and finance capital with those of the new petite bourgeoisie.This article was published open access under a CC BY licence: https://creativecommons.org/licences/by/4.0.","container-title":"Town Planning Review","DOI":"10.3828/tpr.2024.59","issue":"3","page":"301-324","publisher":"Liverpool University Press","source":"liverpooluniversitypress.co.uk (Atypon)","title":"Neoliberalism’s apotheosis? Class, capital and the ideological development of the UK Labour Party’s planning reforms","title-short":"Neoliberalism’s apotheosis?","volume":"96","author":[{"family":"Fearn","given":"Gareth"}],"issued":{"date-parts":[["2025",5]]}}}],"schema":"https://github.com/citation-style-language/schema/raw/master/csl-citation.json"} </w:instrText>
      </w:r>
      <w:r w:rsidRPr="00662E51">
        <w:rPr>
          <w:szCs w:val="24"/>
        </w:rPr>
        <w:fldChar w:fldCharType="separate"/>
      </w:r>
      <w:r w:rsidR="00F15CF8" w:rsidRPr="00F15CF8">
        <w:t>(Fearn 2024, 2025)</w:t>
      </w:r>
      <w:r w:rsidRPr="00662E51">
        <w:rPr>
          <w:szCs w:val="24"/>
        </w:rPr>
        <w:fldChar w:fldCharType="end"/>
      </w:r>
      <w:r w:rsidRPr="00662E51">
        <w:rPr>
          <w:szCs w:val="24"/>
        </w:rPr>
        <w:t xml:space="preserve">, the three case studies in this document reflect a technocratic and insulated approach. </w:t>
      </w:r>
    </w:p>
    <w:p w14:paraId="5AA2CF95" w14:textId="6043164A" w:rsidR="007B4EA4" w:rsidRPr="00662E51" w:rsidRDefault="007B4EA4" w:rsidP="00F56305">
      <w:pPr>
        <w:spacing w:line="360" w:lineRule="auto"/>
        <w:ind w:left="0" w:firstLine="720"/>
        <w:rPr>
          <w:szCs w:val="24"/>
        </w:rPr>
      </w:pPr>
      <w:r w:rsidRPr="00662E51">
        <w:rPr>
          <w:szCs w:val="24"/>
        </w:rPr>
        <w:t xml:space="preserve">Scholars overwhelmingly see authoritarian neoliberalism as a national project </w:t>
      </w:r>
      <w:r w:rsidRPr="00662E51">
        <w:rPr>
          <w:szCs w:val="24"/>
        </w:rPr>
        <w:fldChar w:fldCharType="begin"/>
      </w:r>
      <w:r w:rsidR="008835AB" w:rsidRPr="00662E51">
        <w:rPr>
          <w:szCs w:val="24"/>
        </w:rPr>
        <w:instrText xml:space="preserve"> ADDIN ZOTERO_ITEM CSL_CITATION {"citationID":"hNqqXaCk","properties":{"formattedCitation":"(cf. Can et al. 2024; Jenss 2019; Pileti\\uc0\\u263{} 2022)","plainCitation":"(cf. Can et al. 2024; Jenss 2019; Piletić 2022)","noteIndex":0},"citationItems":[{"id":5762,"uris":["http://zotero.org/users/8977980/items/NKYRYKPW"],"itemData":{"id":5762,"type":"article-journal","abstract":"This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prefix":"cf. "},{"id":5770,"uris":["http://zotero.org/users/8977980/items/3XV9CB2E"],"itemData":{"id":5770,"type":"article-journal","abstract":"There is an increasing consensus that, across the globe, austerity policies have often relegated fiscal pressures from the state to the urban scale. These are sometimes discussed under the label ‘austerity urbanism’. This article explores urban authoritarian neoliberalism through an examination of spatial and scalar manifestations of neoliberal restructuring. It asks how austerity urbanism’s rescaling takes effect in spatially variegated ways in the intermediate city of Oaxaca in Southern Mexico. I argue that Oaxaca’s austerity programmes and its rescaling of security provision are two intertwined, rather than parallel, processes. The paper builds on and aims to advance the authoritarian neoliberalism literature by linking it to literatures on the postcolonial Latin American state and urban studies. The article makes two contributions: first, it identifies and carves out multi-scalar aspects of authoritarian neoliberalism (by speaking to the urban realm); second, it contributes to the authoritarian neoliberalism literature on the ‘South’. Hence, the aim is to reveal the multi-scalar aspects of authoritarian neoliberalism and to illustrate its explanatory power in the global South.","container-title":"Globalizations","DOI":"10.1080/14747731.2018.1502493","ISSN":"1474-7731","issue":"3","note":"_eprint: https://doi.org/10.1080/14747731.2018.1502493","page":"304–319","publisher":"Routledge","source":"Taylor and Francis+NEJM","title":"Authoritarian neoliberal rescaling in Latin America: urban in/security and austerity in Oaxaca","title-short":"Authoritarian neoliberal rescaling in Latin America","volume":"16","author":[{"family":"Jenss","given":"Alke"}],"issued":{"date-parts":[["2019",4,16]]}}},{"id":5764,"uris":["http://zotero.org/users/8977980/items/NAKP7URT"],"itemData":{"id":5764,"type":"article-journal","container-title":"Globalizations","DOI":"10.1080/14747731.2021.1882817","ISSN":"1474-7731, 1474-774X","issue":"2","journalAbbreviation":"Globalizations","language":"en","page":"285-300","source":"DOI.org (Crossref)","title":"The role of the urban scale in anchoring authoritarian neoliberalism: a look at post-2012 neoliberalization in Belgrade, Serbia","title-short":"The role of the urban scale in anchoring authoritarian neoliberalism","volume":"19","author":[{"family":"Piletić","given":"Aleksandra"}],"issued":{"date-parts":[["2022",2,17]]}}}],"schema":"https://github.com/citation-style-language/schema/raw/master/csl-citation.json"} </w:instrText>
      </w:r>
      <w:r w:rsidRPr="00662E51">
        <w:rPr>
          <w:szCs w:val="24"/>
        </w:rPr>
        <w:fldChar w:fldCharType="separate"/>
      </w:r>
      <w:r w:rsidR="00BD5E19" w:rsidRPr="00662E51">
        <w:rPr>
          <w:rFonts w:cs="Times New Roman"/>
          <w:kern w:val="0"/>
        </w:rPr>
        <w:t>(cf. Can et al. 2024; Jenss 2019; Piletić 2022)</w:t>
      </w:r>
      <w:r w:rsidRPr="00662E51">
        <w:rPr>
          <w:szCs w:val="24"/>
        </w:rPr>
        <w:fldChar w:fldCharType="end"/>
      </w:r>
      <w:r w:rsidRPr="00662E51">
        <w:rPr>
          <w:szCs w:val="24"/>
        </w:rPr>
        <w:t xml:space="preserve">. Bruff’s </w:t>
      </w:r>
      <w:r w:rsidRPr="00662E51">
        <w:rPr>
          <w:szCs w:val="24"/>
        </w:rPr>
        <w:fldChar w:fldCharType="begin"/>
      </w:r>
      <w:r w:rsidRPr="00662E51">
        <w:rPr>
          <w:szCs w:val="24"/>
        </w:rPr>
        <w:instrText xml:space="preserve"> ADDIN ZOTERO_ITEM CSL_CITATION {"citationID":"01wy00hF","properties":{"formattedCitation":"(2014, 122)","plainCitation":"(2014, 122)","noteIndex":0},"citationItems":[{"id":5773,"uris":["http://zotero.org/users/8977980/items/YQRZXUST"],"itemData":{"id":5773,"type":"article-journal","container-title":"Rethinking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Neoliberalism","volume":"26","author":[{"family":"Bruff","given":"Ian"}],"issued":{"date-parts":[["2014",1,2]]}},"locator":"122","label":"page","suppress-author":true}],"schema":"https://github.com/citation-style-language/schema/raw/master/csl-citation.json"} </w:instrText>
      </w:r>
      <w:r w:rsidRPr="00662E51">
        <w:rPr>
          <w:szCs w:val="24"/>
        </w:rPr>
        <w:fldChar w:fldCharType="separate"/>
      </w:r>
      <w:r w:rsidR="0095662D" w:rsidRPr="00662E51">
        <w:t>(2014, 122)</w:t>
      </w:r>
      <w:r w:rsidRPr="00662E51">
        <w:rPr>
          <w:szCs w:val="24"/>
        </w:rPr>
        <w:fldChar w:fldCharType="end"/>
      </w:r>
      <w:r w:rsidRPr="00662E51">
        <w:rPr>
          <w:szCs w:val="24"/>
        </w:rPr>
        <w:t xml:space="preserve"> original formulation cited the German </w:t>
      </w:r>
      <w:r w:rsidRPr="00662E51">
        <w:rPr>
          <w:i/>
          <w:iCs/>
          <w:szCs w:val="24"/>
        </w:rPr>
        <w:t>Schuldenbremse</w:t>
      </w:r>
      <w:r w:rsidRPr="00662E51">
        <w:rPr>
          <w:szCs w:val="24"/>
        </w:rPr>
        <w:t xml:space="preserve"> (‘debt brake’) and the UK’s Office for Budget Responsibility as examples: both “subordinate the state to constitutional and legal rules that are deemed necessary for prosperity to be </w:t>
      </w:r>
      <w:r w:rsidRPr="00662E51">
        <w:rPr>
          <w:szCs w:val="24"/>
        </w:rPr>
        <w:lastRenderedPageBreak/>
        <w:t xml:space="preserve">achieved” that simultaneously narrow spaces for popular dissent. Both equally ensure austerity continues, thereby ensuring the state remains a servant of capital. Further developments in the theory—although welcome—continue a nation-state view of AN. Recent books on AN review a wide range of cases of authoritarian neoliberalism (e.g., Italy, Morocco, Jordan, etc.) but typically do so at the level of the nation state </w:t>
      </w:r>
      <w:r w:rsidRPr="00662E51">
        <w:rPr>
          <w:szCs w:val="24"/>
        </w:rPr>
        <w:fldChar w:fldCharType="begin"/>
      </w:r>
      <w:r w:rsidR="00966477">
        <w:rPr>
          <w:szCs w:val="24"/>
        </w:rPr>
        <w:instrText xml:space="preserve"> ADDIN ZOTERO_ITEM CSL_CITATION {"citationID":"74LEpgaG","properties":{"formattedCitation":"(Bruff and Tansel 2021; Tansel 2017)","plainCitation":"(Bruff and Tansel 2021; Tansel 2017)","noteIndex":0},"citationItems":[{"id":6610,"uris":["http://zotero.org/users/8977980/items/2E9XNATW"],"itemData":{"id":6610,"type":"book","collection-title":"Rethinking globalizations","ISBN":"978-1-032-08802-0","language":"eng","number-of-pages":"141","publisher":"Routledge, Taylor &amp; Francis Group","publisher-place":"London New York","source":"K10plus ISBN","title":"Authoritarian neoliberalism: philosophies, practices, contestations","title-short":"Authoritarian neoliberalism","editor":[{"family":"Bruff","given":"Ian"},{"family":"Tansel","given":"Cemal Burak"}],"issued":{"date-parts":[["2021"]]}}},{"id":5807,"uris":["http://zotero.org/users/8977980/items/KGMGBNMC"],"itemData":{"id":5807,"type":"book","abstract":"Despite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Burak"}],"issued":{"date-parts":[["2017",2,8]]}}}],"schema":"https://github.com/citation-style-language/schema/raw/master/csl-citation.json"} </w:instrText>
      </w:r>
      <w:r w:rsidRPr="00662E51">
        <w:rPr>
          <w:szCs w:val="24"/>
        </w:rPr>
        <w:fldChar w:fldCharType="separate"/>
      </w:r>
      <w:r w:rsidR="00966477" w:rsidRPr="00966477">
        <w:t>(Bruff and Tansel 2021; Tansel 2017)</w:t>
      </w:r>
      <w:r w:rsidRPr="00662E51">
        <w:rPr>
          <w:szCs w:val="24"/>
        </w:rPr>
        <w:fldChar w:fldCharType="end"/>
      </w:r>
      <w:r w:rsidRPr="00662E51">
        <w:rPr>
          <w:szCs w:val="24"/>
        </w:rPr>
        <w:t xml:space="preserve">. Significant scholarship is on Türkiye, but again a majority examines Erdoğan’s AKP party or his government’s authoritarian streak </w:t>
      </w:r>
      <w:r w:rsidRPr="00662E51">
        <w:rPr>
          <w:szCs w:val="24"/>
        </w:rPr>
        <w:fldChar w:fldCharType="begin"/>
      </w:r>
      <w:r w:rsidR="008835AB" w:rsidRPr="00662E51">
        <w:rPr>
          <w:szCs w:val="24"/>
        </w:rPr>
        <w:instrText xml:space="preserve"> ADDIN ZOTERO_ITEM CSL_CITATION {"citationID":"pZJ0oC0v","properties":{"formattedCitation":"(e.g., Alt\\uc0\\u305{}n\\uc0\\u246{}rs and Ak\\uc0\\u231{}ay 2022; Kaygusuz 2018; \\uc0\\u214{}zden et al. 2017; Tansel 2019; Yesil 2016)","plainCitation":"(e.g., Altınörs and Akçay 2022; Kaygusuz 2018; Özden et al. 2017; Tansel 2019; Yesil 2016)","noteIndex":0},"citationItems":[{"id":6618,"uris":["http://zotero.org/users/8977980/items/778WE4EM"],"itemData":{"id":6618,"type":"article-journal","abstract":"The aim of this article is to analyze Turkey's recent authoritarian transformation from a critical political economy perspective and to examine the main determinants of, what we call, the ‘authoritarian consolidation attempt' of the Justice and Development Party (AKP). For that purpose, first, we sought answers to the following question: why did the AKP engage in a more authoritarian political agenda in the 2010s? We critically review the literature on the contemporary dynamics of authoritarianism, particularly focusing on two explanatory frameworks, competitive authoritarianism, and authoritarian neoliberalism. We argue that the crisis of authoritarian neoliberalism did not end up with democratization in Turkey in the 2010s, rather the power bloc initiated a strategy of the authoritarian fix as a reaction to the multiple crises that were a combination of the state crisis and the crisis of capital accumulation regime. Second, we analyzed how authoritarianism in Turkey is en route to consolidation in the aftermath of the transition to the Turkish presidential system in 2018, and what the fundamental factors of this consolidation are. We investigated the main features of Turkish presidentialism following the three-dimensional framework of authoritarian consolidation, including infrastructural, despotic, and discursive power analyses. As a result, we suggest a critical political economy account to unfold contemporary dynamics of authoritarianism based on the Turkish case.","container-title":"Globalizations","DOI":"10.1080/14747731.2021.2025290","ISSN":"1474-7731","issue":"7","note":"_eprint: https://doi.org/10.1080/14747731.2021.2025290","page":"1029-1053","publisher":"Routledge","source":"Taylor and Francis+NEJM","title":"Authoritarian neoliberalism, crisis, and consolidation: the political economy of regime change in Turkey","title-short":"Authoritarian neoliberalism, crisis, and consolidation","volume":"19","author":[{"family":"Altınörs","given":"Görkem"},{"family":"Akçay","given":"Ümit"}],"issued":{"date-parts":[["2022",10,3]]}},"prefix":"e.g., "},{"id":6619,"uris":["http://zotero.org/users/8977980/items/SMZM929V"],"itemData":{"id":6619,"type":"article-journal","abstract":"Recent transformations in the politics of security in Turkey have been linked by many scholars to a global trend defined by a rapidly developing neoliberal security state form. The 15 July 2016 coup attempt, however, seems to disrupt the convergence of the Turkish case with the global politics of neoliberal (in)security. This paper revisits the neoliberal security state debate and argues that the radical scope of the legal, administrative and coercive changes enacted in the Turkish state signals a transition to a more ‘exceptional’ paradigm of security. To this end, the paper adopts the conception of ‘regime security’ and investigates how the AKP government policies have contributed to a party-oriented security paradigm bolstered by executive centralisation.","container-title":"South European Society and Politics","DOI":"10.1080/13608746.2018.1480332","ISSN":"1360-8746","issue":"2","note":"_eprint: https://doi.org/10.1080/13608746.2018.1480332","page":"281-302","publisher":"Routledge","source":"Taylor and Francis+NEJM","title":"Authoritarian Neoliberalism and Regime Security in Turkey: Moving to an ‘Exceptional State’ under AKP","title-short":"Authoritarian Neoliberalism and Regime Security in Turkey","volume":"23","author":[{"family":"Kaygusuz","given":"Özlem"}],"issued":{"date-parts":[["2018",4,3]]}}},{"id":6480,"uris":["http://zotero.org/users/8977980/items/XU857UJW"],"itemData":{"id":6480,"type":"chapter","abstract":"Authoritarian neoliberalism : towards a new research agenda / Cemal Burak Tansel -- Authoritarian neoliberalism and the disciplining of labour / Mònica Clua-Losada and Olatz Ribera-Almandoz -- Commodified pacification : police, commercial security and the state / Kendra Briken and Volker Eick -- Bodies in resistance : conversations on gender, body politics and authoritarian neoliberalism / Wendy Harcourt -- The right to starve : hunger, discipline and labour market restructuring under authoritarian neoliberalism / Sébastien Rioux -- Urban transformation under authoritarian neoliberalism / Annalena di Giovanni -- From Mare Nostrum to Triton : humanitarian emergencies and neoliberal migration management in the Mediterranean / Luca Manunza -- Cease to exist? : the European \"social\" model and the hardening of \"soft\" EU law / Ian Bruff -- The authoritarian and disciplinary mechanism of reduced sovereignty in the EU : the case of Greece / Panagiotis Sotiris -- Antinomies of authoritarian neoliberalism in Turkey : the Justice and Development Party era / Baris Alp Özden, Ismet Akça and Ahmet Bekmen -- Resistance and passive revolution in Egypt and Morocco / Brecht De Smet and Koenraad Bogaert -- Klepto-neoliberalism : authoritarianism and patronage in Cambodia / Simon Springer -- Variegated neoliberalization as a function and outcome of neo-authoritarianism in China / Kean Fan Lim -- Postscript / Cynthia Enloe","collection-title":"Transforming capitalism","container-title":"States of discipline: authoritarian neoliberalism and the contested reproduction of capitalist order","ISBN":"978-1-78348-620-5","language":"eng","publisher":"Rowman &amp; Littlefield International","publisher-place":"London","title":"Antinomies of Authoritarian Neoliberalism in Turkey: The Justice and Development Party Era","editor":[{"family":"Tansel","given":"Cemal Burak"}],"author":[{"family":"Özden","given":"Barış Alp"},{"family":"Akça","given":"İsmet"},{"family":"Bekmen","given":"Ahmet"}],"issued":{"date-parts":[["2017"]]}}},{"id":6434,"uris":["http://zotero.org/users/8977980/items/ZBZ9TUCK"],"itemData":{"id":6434,"type":"article-journal","abstract":"The implosion of popular struggles against the erosion of economic and democratic rights in the Middle East has thrown into sharp relief the co-constitutive character of neoliberal reforms and authoritarian state practices. This article zooms in on this relationship, and traces the consolidation of a core component of authoritarian statisms by examining how the ruling AKP government in Turkey has facilitated executive centralization. This process refers to a form of state restructuring whereby key decision-making powers are increasingly concentrated in the hands of the central government while democratic avenues to contest government policies are curtailed through legal and administrative reforms, and the marginalization of dissident social forces. I unpack the mechanisms of executive centralization in Turkey by exploring the transformation of urban governance under AKP rule, which has promoted a spectacular degree of state-led commodification of land and housing while simultaneously recentralizing key decision-making powers. The investigation demonstrates that executive centralization in urban governance has paved the way for the swift implementation of contested urban transformation projects marked by a non-participatory approach to urban ‘renewal’, the reconfiguration of the state’s redistributive function vis-à-vis low-income households, and a tendency to exacerbate existing patterns of inequalities in the housing market.","container-title":"Globalizations","DOI":"10.1080/14747731.2018.1502494","ISSN":"1474-7731","issue":"3","note":"_eprint: https://doi.org/10.1080/14747731.2018.1502494","page":"320-335","publisher":"Routledge","source":"Taylor and Francis+NEJM","title":"Reproducing authoritarian neoliberalism in Turkey: urban governance and state restructuring in the shadow of executive centralization","title-short":"Reproducing authoritarian neoliberalism in Turkey","volume":"16","author":[{"family":"Tansel","given":"Cemal Burak"}],"issued":{"date-parts":[["2019",4,16]]}}},{"id":6620,"uris":["http://zotero.org/users/8977980/items/GRYCZ5WF"],"itemData":{"id":6620,"type":"book","abstract":"In Media in New Turkey, Bilge Yesil unlocks the complexities surrounding and penetrating today's Turkish media. Yesil focuses on a convergence of global and domestic forces that range from the 1980 military coup to globalization's inroads and the recent resurgence of political Islam. Her analysis foregrounds how these and other forces become intertwined, and she uses Turkey's media to unpack the ever-more-complex relationships.  Yesil confronts essential questions regarding: the role of the state and military in building the structures that shaped Turkey's media system; media adaptations to ever-shifting contours of political and economic power; how the far-flung economic interests of media conglomerates leave them vulnerable to state pressure; and the ways Turkey's politicized judiciary criminalizes certain speech.  Drawing on local knowledge and a wealth of Turkish sources, Yesil provides an engrossing look at the fault lines carved by authoritarianism, tradition, neoliberal reform, and globalization within Turkey's increasingly far-reaching media.","ISBN":"978-0-252-09837-6","language":"en","note":"Google-Books-ID: w3tMDAAAQBAJ","number-of-pages":"231","publisher":"University of Illinois Press","source":"Google Books","title":"Media in New Turkey: The Origins of an Authoritarian Neoliberal State","title-short":"Media in New Turkey","author":[{"family":"Yesil","given":"Bilge"}],"issued":{"date-parts":[["2016",6,30]]}}}],"schema":"https://github.com/citation-style-language/schema/raw/master/csl-citation.json"} </w:instrText>
      </w:r>
      <w:r w:rsidRPr="00662E51">
        <w:rPr>
          <w:szCs w:val="24"/>
        </w:rPr>
        <w:fldChar w:fldCharType="separate"/>
      </w:r>
      <w:r w:rsidR="0095662D" w:rsidRPr="00662E51">
        <w:rPr>
          <w:rFonts w:cs="Times New Roman"/>
          <w:kern w:val="0"/>
        </w:rPr>
        <w:t>(e.g., Altınörs and Akçay 2022; Kaygusuz 2018; Özden et al. 2017; Tansel 2019; Yesil 2016)</w:t>
      </w:r>
      <w:r w:rsidRPr="00662E51">
        <w:rPr>
          <w:szCs w:val="24"/>
        </w:rPr>
        <w:fldChar w:fldCharType="end"/>
      </w:r>
      <w:r w:rsidRPr="00662E51">
        <w:rPr>
          <w:szCs w:val="24"/>
        </w:rPr>
        <w:t xml:space="preserve">. The same is true when AN is applied to the UK. </w:t>
      </w:r>
      <w:r w:rsidR="00A35D8C" w:rsidRPr="00662E51">
        <w:rPr>
          <w:szCs w:val="24"/>
        </w:rPr>
        <w:t xml:space="preserve">One example is </w:t>
      </w:r>
      <w:r w:rsidRPr="00662E51">
        <w:rPr>
          <w:szCs w:val="24"/>
        </w:rPr>
        <w:t>Fearn</w:t>
      </w:r>
      <w:r w:rsidR="00A35D8C" w:rsidRPr="00662E51">
        <w:rPr>
          <w:szCs w:val="24"/>
        </w:rPr>
        <w:t>’s</w:t>
      </w:r>
      <w:r w:rsidRPr="00662E51">
        <w:rPr>
          <w:szCs w:val="24"/>
        </w:rPr>
        <w:t xml:space="preserve"> </w:t>
      </w:r>
      <w:r w:rsidRPr="00662E51">
        <w:rPr>
          <w:szCs w:val="24"/>
        </w:rPr>
        <w:fldChar w:fldCharType="begin"/>
      </w:r>
      <w:r w:rsidR="008835AB" w:rsidRPr="00662E51">
        <w:rPr>
          <w:szCs w:val="24"/>
        </w:rPr>
        <w:instrText xml:space="preserve"> ADDIN ZOTERO_ITEM CSL_CITATION {"citationID":"rFBj9MQZ","properties":{"formattedCitation":"(2024)","plainCitation":"(2024)","noteIndex":0},"citationItems":[{"id":6433,"uris":["http://zotero.org/users/8977980/items/2XKUHD7L"],"itemData":{"id":6433,"type":"article-journal","abstract":"Neoliberalisation, particularly since the financial crisis, has been associated with significant housing crises. Rising prices and rents have benefitted asset owners, whilst squeezing younger generations out of the ‘property owning democracy’. As the tensions between these two groups grow, states are seeking further reforms to urban planning to deliver greater levels of private house-building, as a policy fix which also serves the interests of capital. To deliver further neoliberal reforms, though, states are increasingly turning towards more authoritarian practices to manage growing dissent to neoliberal rule. Drawing on Gramsci and theoretical insights from the major crises of the 1970s, this paper analyses how authoritarian practices, statist and populist, are derived from the administrative and legitimation crises that followed the financial crash of 2007/8. It focuses on a particular administrative crisis – housing in England – to show how increasingly coercive urban planning practices were advocated for at national level, which in turn revealed tensions within the ‘historical bloc’ of the neoliberal order. In the English case the government has struggled to cohere the consent of capital and civil society, with key class fractions of the historical bloc divided over planning reform. I argue that the contestations have nonetheless shifted political common sense towards reducing deliberative and democratic practices, shifting accountability from those with structural power to those with much more marginal power.","container-title":"Urban Studies","DOI":"10.1177/00420980241254925","ISSN":"0042-0980","language":"EN","page":"00420980241254925","publisher":"SAGE Publications Ltd","source":"SAGE Journals","title":"Housing the historical bloc: Civil society contestation of authoritarian neoliberalism in England","title-short":"Housing the historical bloc","author":[{"family":"Fearn","given":"Gareth"}],"issued":{"date-parts":[["2024",6,18]]}},"label":"page","suppress-author":true}],"schema":"https://github.com/citation-style-language/schema/raw/master/csl-citation.json"} </w:instrText>
      </w:r>
      <w:r w:rsidRPr="00662E51">
        <w:rPr>
          <w:szCs w:val="24"/>
        </w:rPr>
        <w:fldChar w:fldCharType="separate"/>
      </w:r>
      <w:r w:rsidR="0095662D" w:rsidRPr="00662E51">
        <w:t>(2024)</w:t>
      </w:r>
      <w:r w:rsidRPr="00662E51">
        <w:rPr>
          <w:szCs w:val="24"/>
        </w:rPr>
        <w:fldChar w:fldCharType="end"/>
      </w:r>
      <w:r w:rsidRPr="00662E51">
        <w:rPr>
          <w:szCs w:val="24"/>
        </w:rPr>
        <w:t xml:space="preserve"> </w:t>
      </w:r>
      <w:r w:rsidR="008E59B8" w:rsidRPr="00662E51">
        <w:rPr>
          <w:szCs w:val="24"/>
        </w:rPr>
        <w:t xml:space="preserve">review of </w:t>
      </w:r>
      <w:r w:rsidR="00AD0A6E" w:rsidRPr="00662E51">
        <w:rPr>
          <w:szCs w:val="24"/>
        </w:rPr>
        <w:t>British</w:t>
      </w:r>
      <w:r w:rsidRPr="00662E51">
        <w:rPr>
          <w:szCs w:val="24"/>
        </w:rPr>
        <w:t xml:space="preserve"> national planning reforms proposed in 2022</w:t>
      </w:r>
      <w:r w:rsidR="00B71946" w:rsidRPr="00662E51">
        <w:rPr>
          <w:szCs w:val="24"/>
        </w:rPr>
        <w:t xml:space="preserve">. These </w:t>
      </w:r>
      <w:r w:rsidRPr="00662E51">
        <w:rPr>
          <w:szCs w:val="24"/>
        </w:rPr>
        <w:t xml:space="preserve">sought to centralise planning </w:t>
      </w:r>
      <w:r w:rsidR="00B71946" w:rsidRPr="00662E51">
        <w:rPr>
          <w:szCs w:val="24"/>
        </w:rPr>
        <w:t xml:space="preserve">while also removing </w:t>
      </w:r>
      <w:r w:rsidRPr="00662E51">
        <w:rPr>
          <w:szCs w:val="24"/>
        </w:rPr>
        <w:t>public deliberation through the use of algorithmic decision-making processes. These reforms were defeate</w:t>
      </w:r>
      <w:r w:rsidR="00701C5B" w:rsidRPr="00662E51">
        <w:rPr>
          <w:szCs w:val="24"/>
        </w:rPr>
        <w:t xml:space="preserve">d, </w:t>
      </w:r>
      <w:r w:rsidRPr="00662E51">
        <w:rPr>
          <w:szCs w:val="24"/>
        </w:rPr>
        <w:t xml:space="preserve">but they represent a concerted attempt to separate the state from public pressure. However, the </w:t>
      </w:r>
      <w:r w:rsidR="00701C5B" w:rsidRPr="00662E51">
        <w:rPr>
          <w:szCs w:val="24"/>
        </w:rPr>
        <w:t xml:space="preserve">work chiefly considers </w:t>
      </w:r>
      <w:r w:rsidRPr="00662E51">
        <w:rPr>
          <w:szCs w:val="24"/>
        </w:rPr>
        <w:t xml:space="preserve">on political manoeuvres within the national Conservative Party and </w:t>
      </w:r>
      <w:r w:rsidR="00701C5B" w:rsidRPr="00662E51">
        <w:rPr>
          <w:szCs w:val="24"/>
        </w:rPr>
        <w:t xml:space="preserve">a </w:t>
      </w:r>
      <w:r w:rsidRPr="00662E51">
        <w:rPr>
          <w:szCs w:val="24"/>
        </w:rPr>
        <w:t>national policy framework</w:t>
      </w:r>
      <w:r w:rsidR="001A0AAD">
        <w:rPr>
          <w:szCs w:val="24"/>
        </w:rPr>
        <w:t xml:space="preserve"> </w:t>
      </w:r>
      <w:r w:rsidR="004C346B">
        <w:rPr>
          <w:szCs w:val="24"/>
        </w:rPr>
        <w:fldChar w:fldCharType="begin"/>
      </w:r>
      <w:r w:rsidR="00213B80">
        <w:rPr>
          <w:szCs w:val="24"/>
        </w:rPr>
        <w:instrText xml:space="preserve"> ADDIN ZOTERO_ITEM CSL_CITATION {"citationID":"rEMbKrSc","properties":{"formattedCitation":"(see also J. Ward and Ward 2023)","plainCitation":"(see also J. Ward and Ward 2023)","noteIndex":0},"citationItems":[{"id":7101,"uris":["http://zotero.org/users/8977980/items/4CPII9LX"],"itemData":{"id":7101,"type":"article-journal","abstract":"Many commentators have suggested that the first 18 months of the Johnson government were characterised by a propensity to centralise power. However, few accounts have situated the administration in the historical context of the British state or systematically examined these centralising tendencies. This article attempts to address these omissions. First, through a critical assessment of the literature on authoritarian neoliberalism, the concept of ‘executive centralisation’ is developed within the context of the British state. Second, the article applies this revised framework to the early stages of the Johnson government. While a dominant executive is a long-standing feature of the British political system, it is argued that Johnson has pursued a multifaceted centralisation strategy facilitated by the context of Brexit and COVID-19. In identifying the role of consent in this process, the article augments scholarship on ‘authoritarian neoliberalism’ as a moment in neoliberal governance characterised by the ascendance of coercive governing strategies.","container-title":"Political Studies","DOI":"10.1177/00323217211063730","ISSN":"0032-3217","issue":"4","language":"EN","page":"1171-1189","publisher":"SAGE Publications Ltd","source":"SAGE Journals","title":"From Brexit to COVID-19: The Johnson Government, Executive Centralisation and Authoritarian Populism","title-short":"From Brexit to COVID-19","volume":"71","author":[{"family":"Ward","given":"Joseph"},{"family":"Ward","given":"Bradley"}],"issued":{"date-parts":[["2023",11,1]]}},"prefix":"see also"}],"schema":"https://github.com/citation-style-language/schema/raw/master/csl-citation.json"} </w:instrText>
      </w:r>
      <w:r w:rsidR="004C346B">
        <w:rPr>
          <w:szCs w:val="24"/>
        </w:rPr>
        <w:fldChar w:fldCharType="separate"/>
      </w:r>
      <w:r w:rsidR="00213B80" w:rsidRPr="00213B80">
        <w:t>(see also J. Ward and Ward 2023)</w:t>
      </w:r>
      <w:r w:rsidR="004C346B">
        <w:rPr>
          <w:szCs w:val="24"/>
        </w:rPr>
        <w:fldChar w:fldCharType="end"/>
      </w:r>
      <w:r w:rsidRPr="00662E51">
        <w:rPr>
          <w:szCs w:val="24"/>
        </w:rPr>
        <w:t xml:space="preserve">. </w:t>
      </w:r>
    </w:p>
    <w:p w14:paraId="330271D4" w14:textId="1933956B" w:rsidR="007B4EA4" w:rsidRPr="00662E51" w:rsidRDefault="007B4EA4" w:rsidP="00F56305">
      <w:pPr>
        <w:spacing w:line="360" w:lineRule="auto"/>
        <w:ind w:left="0" w:firstLine="720"/>
        <w:rPr>
          <w:szCs w:val="24"/>
        </w:rPr>
      </w:pPr>
      <w:r w:rsidRPr="00662E51">
        <w:rPr>
          <w:szCs w:val="24"/>
        </w:rPr>
        <w:t xml:space="preserve">Yet, as critics of methodological nationalism insist, it is erroneous to privilege the national scale as the most relevant or impactful </w:t>
      </w:r>
      <w:r w:rsidR="009E1366" w:rsidRPr="00662E51">
        <w:rPr>
          <w:szCs w:val="24"/>
        </w:rPr>
        <w:fldChar w:fldCharType="begin"/>
      </w:r>
      <w:r w:rsidR="008835AB" w:rsidRPr="00662E51">
        <w:rPr>
          <w:szCs w:val="24"/>
        </w:rPr>
        <w:instrText xml:space="preserve"> ADDIN ZOTERO_ITEM CSL_CITATION {"citationID":"vMYeLWA4","properties":{"formattedCitation":"(Beck 2007; Beck and Beck-Gernsheim 2009; Wimmer and Glick Schiller 2002)","plainCitation":"(Beck 2007; Beck and Beck-Gernsheim 2009; Wimmer and Glick Schiller 2002)","noteIndex":0},"citationItems":[{"id":6783,"uris":["http://zotero.org/users/8977980/items/SIBZULEB"],"itemData":{"id":6783,"type":"article-journal","container-title":"Theory, Culture &amp; Society","DOI":"10.1177/02632764070240072505","ISSN":"0263-2764","issue":"7-8","language":"EN","page":"286-290","publisher":"SAGE Publications Ltd","source":"SAGE Journals","title":"The Cosmopolitan Condition: Why Methodological Nationalism Fails","title-short":"The Cosmopolitan Condition","volume":"24","author":[{"family":"Beck","given":"Ulrich"}],"issued":{"date-parts":[["2007",12,1]]}}},{"id":6791,"uris":["http://zotero.org/users/8977980/items/84UUA9Q5"],"itemData":{"id":6791,"type":"article-journal","abstract":"Is there such a thing as ‘global generations’? What does ‘global generation’ mean? Can we, as we did so far, still understand the concept of generation in a national frame of reference? Or do we need a cosmopolitan outlook to understand the generational dynamics that exacerbate inter-generational tensions within nations and intra-generational affinities and conflicts between nations? For example, globalized ‘Consumer Generations’ comprise very different fractions; not only those who buy and live with consumer brands and images, but also those who are unable to buy and live with these symbols, but risk their lives to become migrants to the consumer paradises of the Western World or Dubai. Our thesis is: A cosmopolitan sociology is required in order to understand the situations, impacts, divisions, contradictions, and desires of the global generations. A cosmopolitan sociology means a sociology that gets rid off ‘methodological nationalism’ and takes globality and (human) social life on planet Earth seriously. A cosmopolitan sociology differs from a universalistic one by starting, not from anything supposedly general, but from global variability, global interconnectedness, and global intercommunication. It means treating the global generations not as a single, universal generation with common symbols and a unique consciousness. Rather, it conceptualizes and analyses a multiplicity of global generations that appear as a set of intertwined transnational generational constellations.","container-title":"European Sociological Review","DOI":"10.1093/esr/jcn032","ISSN":"0266-7215","issue":"1","journalAbbreviation":"Eur Sociol Rev","page":"25-36","source":"Silverchair","title":"Global Generations and the Trap of Methodological Nationalism For a Cosmopolitan Turn in the Sociology of Youth and Generation","volume":"25","author":[{"family":"Beck","given":"Ulrich"},{"family":"Beck-Gernsheim","given":"Elisabeth"}],"issued":{"date-parts":[["2009",2,1]]}}},{"id":6784,"uris":["http://zotero.org/users/8977980/items/PD5YHWGU"],"itemData":{"id":6784,"type":"article-journal","abstract":"Methodological nationalism is understood as the assumption that the nation/state/society is the natural social and political form of the modern world. We distinguish three modes of methodological nationalism that have characterized mainstream social science, and then show how these have influenced research on migration. We discover parallels between nationalist thinking and the conceptualization of migration in postwar social sciences. In a historical tour d’horizon, we show that this mainstream concept has developed in close interaction with nation–state building processes in the West and the role that immigration and integration policies have played within them. The shift towards a study of ‘transnational communities’— the last phase in this process — was more a consequence of an epistemic move away from methodological nationalism than of the appearance of new objects of observation. The article concludes by recommending new concepts for analysis that, on the one hand, are not coloured by methodological nationalism and, on the other hand, go beyond the fluidism of much contemporary social theory.","container-title":"Global Networks","DOI":"10.1111/1471-0374.00043","ISSN":"1471-0374","issue":"4","language":"en","license":"Blackwell Publishers Ltd. &amp; Global Networks Partnership 2002","note":"_eprint: https://onlinelibrary.wiley.com/doi/pdf/10.1111/1471-0374.00043","page":"301-334","source":"Wiley Online Library","title":"Methodological nationalism and beyond: nation–state building, migration and the social sciences","title-short":"Methodological nationalism and beyond","volume":"2","author":[{"family":"Wimmer","given":"Andreas"},{"family":"Glick Schiller","given":"Nina"}],"issued":{"date-parts":[["2002"]]}}}],"schema":"https://github.com/citation-style-language/schema/raw/master/csl-citation.json"} </w:instrText>
      </w:r>
      <w:r w:rsidR="009E1366" w:rsidRPr="00662E51">
        <w:rPr>
          <w:szCs w:val="24"/>
        </w:rPr>
        <w:fldChar w:fldCharType="separate"/>
      </w:r>
      <w:r w:rsidR="009E1366" w:rsidRPr="00662E51">
        <w:t>(Beck 2007; Beck and Beck-Gernsheim 2009; Wimmer and Glick Schiller 2002)</w:t>
      </w:r>
      <w:r w:rsidR="009E1366" w:rsidRPr="00662E51">
        <w:rPr>
          <w:szCs w:val="24"/>
        </w:rPr>
        <w:fldChar w:fldCharType="end"/>
      </w:r>
      <w:r w:rsidR="009E1366" w:rsidRPr="00662E51">
        <w:rPr>
          <w:szCs w:val="24"/>
        </w:rPr>
        <w:t>.</w:t>
      </w:r>
      <w:r w:rsidRPr="00662E51">
        <w:rPr>
          <w:szCs w:val="24"/>
        </w:rPr>
        <w:t xml:space="preserve"> Rejecting methodological nationalism is especially important when treating the state as relational, as is explored in Section </w:t>
      </w:r>
      <w:r w:rsidR="00045FEA" w:rsidRPr="00662E51">
        <w:rPr>
          <w:szCs w:val="24"/>
        </w:rPr>
        <w:t>3.</w:t>
      </w:r>
      <w:r w:rsidR="00AB218D">
        <w:rPr>
          <w:szCs w:val="24"/>
        </w:rPr>
        <w:t>3.2</w:t>
      </w:r>
      <w:r w:rsidR="00045FEA" w:rsidRPr="00662E51">
        <w:rPr>
          <w:szCs w:val="24"/>
        </w:rPr>
        <w:t xml:space="preserve"> </w:t>
      </w:r>
      <w:r w:rsidRPr="00662E51">
        <w:rPr>
          <w:szCs w:val="24"/>
        </w:rPr>
        <w:t xml:space="preserve">below. In critiquing a grand narrative of the state, Painter </w:t>
      </w:r>
      <w:r w:rsidRPr="00662E51">
        <w:rPr>
          <w:szCs w:val="24"/>
        </w:rPr>
        <w:fldChar w:fldCharType="begin"/>
      </w:r>
      <w:r w:rsidRPr="00662E51">
        <w:rPr>
          <w:szCs w:val="24"/>
        </w:rPr>
        <w:instrText xml:space="preserve"> ADDIN ZOTERO_ITEM CSL_CITATION {"citationID":"5XdtwVfD","properties":{"formattedCitation":"(2006)","plainCitation":"(2006)","noteIndex":0},"citationItems":[{"id":4455,"uris":["http://zotero.org/users/8977980/items/GL23LQTK"],"itemData":{"id":4455,"type":"article-journal","abstract":"Despite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stateness","volume":"25","author":[{"family":"Painter","given":"Joe"}],"issued":{"date-parts":[["2006",9,1]]}},"label":"page","suppress-author":true}],"schema":"https://github.com/citation-style-language/schema/raw/master/csl-citation.json"} </w:instrText>
      </w:r>
      <w:r w:rsidRPr="00662E51">
        <w:rPr>
          <w:szCs w:val="24"/>
        </w:rPr>
        <w:fldChar w:fldCharType="separate"/>
      </w:r>
      <w:r w:rsidR="0095662D" w:rsidRPr="00662E51">
        <w:t>(2006)</w:t>
      </w:r>
      <w:r w:rsidRPr="00662E51">
        <w:rPr>
          <w:szCs w:val="24"/>
        </w:rPr>
        <w:fldChar w:fldCharType="end"/>
      </w:r>
      <w:r w:rsidRPr="00662E51">
        <w:rPr>
          <w:szCs w:val="24"/>
        </w:rPr>
        <w:t xml:space="preserve"> suggests attending to the prosaicness of the state—the everyday and the ordinary—to better capture the diversity of the state across its various scales. </w:t>
      </w:r>
    </w:p>
    <w:p w14:paraId="7FD59EAA" w14:textId="77777777" w:rsidR="007B4EA4" w:rsidRPr="00662E51" w:rsidRDefault="007B4EA4" w:rsidP="00F56305">
      <w:pPr>
        <w:spacing w:line="360" w:lineRule="auto"/>
        <w:ind w:left="0"/>
        <w:rPr>
          <w:szCs w:val="24"/>
        </w:rPr>
      </w:pPr>
    </w:p>
    <w:p w14:paraId="4134D8FE" w14:textId="6BF52764" w:rsidR="007B4EA4" w:rsidRPr="00662E51" w:rsidRDefault="007B4EA4" w:rsidP="00F56305">
      <w:pPr>
        <w:pStyle w:val="Heading3"/>
      </w:pPr>
      <w:bookmarkStart w:id="169" w:name="_Toc213173928"/>
      <w:bookmarkStart w:id="170" w:name="_Toc221184320"/>
      <w:bookmarkStart w:id="171" w:name="_Toc231215241"/>
      <w:r w:rsidRPr="00662E51">
        <w:t>Urban Authoritarian Neoliberalism</w:t>
      </w:r>
      <w:bookmarkEnd w:id="169"/>
      <w:bookmarkEnd w:id="170"/>
      <w:r w:rsidR="00836748">
        <w:t>:</w:t>
      </w:r>
      <w:bookmarkEnd w:id="171"/>
    </w:p>
    <w:p w14:paraId="23755E38" w14:textId="02E9B01F" w:rsidR="007B4EA4" w:rsidRPr="00662E51" w:rsidRDefault="007B4EA4" w:rsidP="00F56305">
      <w:pPr>
        <w:spacing w:line="360" w:lineRule="auto"/>
        <w:ind w:left="0" w:firstLine="720"/>
        <w:rPr>
          <w:szCs w:val="24"/>
        </w:rPr>
      </w:pPr>
      <w:r w:rsidRPr="00662E51">
        <w:rPr>
          <w:szCs w:val="24"/>
        </w:rPr>
        <w:t xml:space="preserve">As discussed in the Introduction (Chapter </w:t>
      </w:r>
      <w:r w:rsidR="00C348BB" w:rsidRPr="00662E51">
        <w:rPr>
          <w:szCs w:val="24"/>
        </w:rPr>
        <w:t>1</w:t>
      </w:r>
      <w:r w:rsidRPr="00662E51">
        <w:rPr>
          <w:szCs w:val="24"/>
        </w:rPr>
        <w:t xml:space="preserve">), one of my thesis’s main theoretical contributions is to understandings of AN at the local scale. Interrogating AN at the local scale is especially important because the illiberal practices that bolster contemporary processes of capital accumulation work through and occur at local scales, as regulation school theorists have historically argued </w:t>
      </w:r>
      <w:r w:rsidR="00862AD9" w:rsidRPr="00662E51">
        <w:rPr>
          <w:szCs w:val="24"/>
        </w:rPr>
        <w:fldChar w:fldCharType="begin"/>
      </w:r>
      <w:r w:rsidR="008835AB" w:rsidRPr="00662E51">
        <w:rPr>
          <w:szCs w:val="24"/>
        </w:rPr>
        <w:instrText xml:space="preserve"> ADDIN ZOTERO_ITEM CSL_CITATION {"citationID":"1qmfYADs","properties":{"formattedCitation":"(Hillier et al. 2022; Painter 1991)","plainCitation":"(Hillier et al. 2022; Painter 1991)","noteIndex":0},"citationItems":[{"id":6789,"uris":["http://zotero.org/users/8977980/items/AHSAC3MA"],"itemData":{"id":6789,"type":"book","ISBN":"978-1-7781797-0-9","language":"en","number-of-pages":"191","publisher":"1984press","title":"Regulation Theory, Space and Uneven Development: Conversations and Challenges","title-short":"Regulation Theory, Space and Uneven Development","author":[{"family":"Hillier","given":"Brandon"},{"family":"Philips","given":"Rachel"},{"family":"Peck","given":"Jamie"}],"issued":{"date-parts":[["2022"]]}}},{"id":6780,"uris":["http://zotero.org/users/8977980/items/PXUF4DHP"],"itemData":{"id":6780,"type":"article-journal","container-title":"Local Government Studies","DOI":"10.1080/03003939108433604","ISSN":"0300-3930, 1743-9388","issue":"6","language":"en","page":"23-44","publisher":"Informa UK Limited","source":"Crossref","title":"Regulation theory and local government","volume":"17","author":[{"family":"Painter","given":"Joe"}],"issued":{"date-parts":[["1991",11]]}}}],"schema":"https://github.com/citation-style-language/schema/raw/master/csl-citation.json"} </w:instrText>
      </w:r>
      <w:r w:rsidR="00862AD9" w:rsidRPr="00662E51">
        <w:rPr>
          <w:szCs w:val="24"/>
        </w:rPr>
        <w:fldChar w:fldCharType="separate"/>
      </w:r>
      <w:r w:rsidR="002200AD" w:rsidRPr="00662E51">
        <w:t>(Hillier et al. 2022; Painter 1991)</w:t>
      </w:r>
      <w:r w:rsidR="00862AD9" w:rsidRPr="00662E51">
        <w:rPr>
          <w:szCs w:val="24"/>
        </w:rPr>
        <w:fldChar w:fldCharType="end"/>
      </w:r>
      <w:r w:rsidR="00862AD9" w:rsidRPr="00662E51">
        <w:rPr>
          <w:szCs w:val="24"/>
        </w:rPr>
        <w:t>.</w:t>
      </w:r>
      <w:r w:rsidRPr="00662E51">
        <w:rPr>
          <w:szCs w:val="24"/>
        </w:rPr>
        <w:t xml:space="preserve"> For instance, Goodwin and Painter </w:t>
      </w:r>
      <w:r w:rsidRPr="00662E51">
        <w:rPr>
          <w:szCs w:val="24"/>
        </w:rPr>
        <w:lastRenderedPageBreak/>
        <w:fldChar w:fldCharType="begin"/>
      </w:r>
      <w:r w:rsidR="008835AB" w:rsidRPr="00662E51">
        <w:rPr>
          <w:szCs w:val="24"/>
        </w:rPr>
        <w:instrText xml:space="preserve"> ADDIN ZOTERO_ITEM CSL_CITATION {"citationID":"LjXUYx8q","properties":{"formattedCitation":"(1996)","plainCitation":"(1996)","noteIndex":0},"citationItems":[{"id":5564,"uris":["http://zotero.org/users/8977980/items/Q2KXCR9I"],"itemData":{"id":5564,"type":"article-journal","abstract":"During the last fifteen years the local government system in Britain has been transformed into one of local governance in which a multitude of unelected agencies (public, private and voluntary) have become involved in attempting to influence the fortunes of local areas. In this paper, we locate the roots of this shift in the crisis of the Fordist mode of regulation and political responses to it, suggest that a reworked regulation theory can provide a useful perspective from which to interpret current changes and outline the research framework that such a perspective involves. Although a key role for local government in Fordist processes of regulation may be identified, it is doubtful that new forms of local governance are contributing to the emergence of stable regulation in the 1990s. One reason for this is the geographical differentiation of contemporary regulatory processes.","container-title":"Transactions of the Institute of British Geographers","DOI":"10.2307/622391","ISSN":"0020-2754","issue":"4","page":"635-648","publisher":"[Royal Geographical Society (with the Institute of British Geographers), Wiley]","source":"JSTOR","title":"Local Governance, the Crises of Fordism and the Changing Geographies of Regulation","volume":"21","author":[{"family":"Goodwin","given":"Mark"},{"family":"Painter","given":"Joe"}],"issued":{"date-parts":[["1996"]]}},"label":"page","suppress-author":true}],"schema":"https://github.com/citation-style-language/schema/raw/master/csl-citation.json"} </w:instrText>
      </w:r>
      <w:r w:rsidRPr="00662E51">
        <w:rPr>
          <w:szCs w:val="24"/>
        </w:rPr>
        <w:fldChar w:fldCharType="separate"/>
      </w:r>
      <w:r w:rsidR="0095662D" w:rsidRPr="00662E51">
        <w:t>(1996)</w:t>
      </w:r>
      <w:r w:rsidRPr="00662E51">
        <w:rPr>
          <w:szCs w:val="24"/>
        </w:rPr>
        <w:fldChar w:fldCharType="end"/>
      </w:r>
      <w:r w:rsidRPr="00662E51">
        <w:rPr>
          <w:szCs w:val="24"/>
        </w:rPr>
        <w:t xml:space="preserve"> describe a then-new set of local processes that sought to manage the contradictions of the economy in the dying stages of Fordism.</w:t>
      </w:r>
      <w:r w:rsidR="00AD75CC">
        <w:rPr>
          <w:szCs w:val="24"/>
        </w:rPr>
        <w:t xml:space="preserve"> </w:t>
      </w:r>
      <w:r w:rsidRPr="00662E51">
        <w:rPr>
          <w:szCs w:val="24"/>
        </w:rPr>
        <w:t xml:space="preserve">Processes included an increasing reliance on private and charitable service provision coupled with a hyper-localisation. Indeed, the urban scale has always been an important place and space for the upholding of accumulation processes </w:t>
      </w:r>
      <w:r w:rsidRPr="00662E51">
        <w:rPr>
          <w:szCs w:val="24"/>
        </w:rPr>
        <w:fldChar w:fldCharType="begin"/>
      </w:r>
      <w:r w:rsidRPr="00662E51">
        <w:rPr>
          <w:szCs w:val="24"/>
        </w:rPr>
        <w:instrText xml:space="preserve"> ADDIN ZOTERO_ITEM CSL_CITATION {"citationID":"8T02iZeI","properties":{"formattedCitation":"(Painter 2011)","plainCitation":"(Painter 2011)","noteIndex":0},"citationItems":[{"id":6795,"uris":["http://zotero.org/users/8977980/items/S2J6QPGT"],"itemData":{"id":6795,"type":"chapter","container-title":"Readings in Urban Theory","ISBN":"978-1-4443-3081-6","language":"en","note":"Google-Books-ID: mqdVEAAAQBAJ","publisher":"John Wiley &amp; Sons","source":"Google Books","title":"Regulation theory, post-Fordism and urban politics","container-author":[{"family":"Fainstein","given":"Susan S."},{"family":"Campbell","given":"Scott"}],"author":[{"family":"Painter","given":"Joe"}],"issued":{"date-parts":[["2011",3,7]]}}}],"schema":"https://github.com/citation-style-language/schema/raw/master/csl-citation.json"} </w:instrText>
      </w:r>
      <w:r w:rsidRPr="00662E51">
        <w:rPr>
          <w:szCs w:val="24"/>
        </w:rPr>
        <w:fldChar w:fldCharType="separate"/>
      </w:r>
      <w:r w:rsidR="0095662D" w:rsidRPr="00662E51">
        <w:t>(Painter 2011)</w:t>
      </w:r>
      <w:r w:rsidRPr="00662E51">
        <w:rPr>
          <w:szCs w:val="24"/>
        </w:rPr>
        <w:fldChar w:fldCharType="end"/>
      </w:r>
      <w:r w:rsidRPr="00662E51">
        <w:rPr>
          <w:szCs w:val="24"/>
        </w:rPr>
        <w:t xml:space="preserve">. These threads echo the revanchist city: the neoliberal urbanism of the 1990s necessarily relied on new urban policy designed to punish, and extract revenge on, marginalised groups by exiling them from the city </w:t>
      </w:r>
      <w:r w:rsidRPr="00662E51">
        <w:rPr>
          <w:szCs w:val="24"/>
        </w:rPr>
        <w:fldChar w:fldCharType="begin"/>
      </w:r>
      <w:r w:rsidR="00213B80">
        <w:rPr>
          <w:szCs w:val="24"/>
        </w:rPr>
        <w:instrText xml:space="preserve"> ADDIN ZOTERO_ITEM CSL_CITATION {"citationID":"EXkZ8c4w","properties":{"formattedCitation":"(MacLeod 2002; N. Smith 2005)","plainCitation":"(MacLeod 2002; N. Smith 2005)","noteIndex":0},"citationItems":[{"id":6885,"uris":["http://zotero.org/users/8977980/items/7TQYKHQR"],"itemData":{"id":6885,"type":"article-journal","abstract":"Recent perspectives on the American city have highlighted the extent to which the economic and sociospatial contradictions generated by two decades of “actually existing” neoliberal urbanism appear to demand an increasingly punitive or “revanchist” political response. At the same time, it is increasingly being acknowledged that, after embracing much of the entrepreneurial ethos, European cities are also confronting sharpening inequalities and entrenched social exclusion. Drawing on evidence from Glasgow, the paper assesses the dialectical relations between urban entrepreneurialism, its escalating contradictions, and the growing compulsion to meet these with a selective appropriation of the revanchist political repertoire.","container-title":"Antipode","DOI":"10.1111/1467-8330.00256","ISSN":"1467-8330","issue":"3","language":"en","license":"Editorial Board of Antipode 2002","note":"_eprint: https://onlinelibrary.wiley.com/doi/pdf/10.1111/1467-8330.00256","page":"602-624","source":"Wiley Online Library","title":"From Urban Entrepreneurialism to a “Revanchist City”? On the Spatial Injustices of Glasgow’s Renaissance","title-short":"From Urban Entrepreneurialism to a “Revanchist City”?","volume":"34","author":[{"family":"MacLeod","given":"Gordon"}],"issued":{"date-parts":[["2002"]]}}},{"id":6626,"uris":["http://zotero.org/users/8977980/items/Z4PVAQFD"],"itemData":{"id":6626,"type":"book","abstract":"Why have so many central and inner cities in Europe, North America and Australia been so radically revamped in the last three decades, converting urban decay into new chic? Will the process continue in the twenty-first century or has it ended? What does this mean for the people who live there? Can they do anything about it? This book challenges conventional wisdom, which holds gentrification to be the simple outcome of new middle-class tastes and a demand for urban living. It reveals gentrification as part of a much larger shift in the political economy and culture of the late twentieth century. Documenting in gritty detail the conflicts that gentrification brings to the new urban 'frontiers', the author explores the interconnections of urban policy, patterns of investment, eviction, and homelessness. The failure of liberal urban policy and the end of the 1980s financial boom have made the end-of-the-century city a darker and more dangerous place. Public policy and the private market are conspiring against minorities, working people, the poor, and the homeless as never before. In the emerging revanchist city, gentrification has become part of this policy of revenge.","DOI":"10.4324/9780203975640","ISBN":"978-0-203-97564-0","number-of-pages":"288","publisher":"Routledge","publisher-place":"London","title":"The New Urban Frontier: Gentrification and the Revanchist City","title-short":"The New Urban Frontier","author":[{"family":"Smith","given":"Neil"}],"issued":{"date-parts":[["2005",10,26]]}}}],"schema":"https://github.com/citation-style-language/schema/raw/master/csl-citation.json"} </w:instrText>
      </w:r>
      <w:r w:rsidRPr="00662E51">
        <w:rPr>
          <w:szCs w:val="24"/>
        </w:rPr>
        <w:fldChar w:fldCharType="separate"/>
      </w:r>
      <w:r w:rsidR="00213B80" w:rsidRPr="00213B80">
        <w:t>(MacLeod 2002; N. Smith 2005)</w:t>
      </w:r>
      <w:r w:rsidRPr="00662E51">
        <w:rPr>
          <w:szCs w:val="24"/>
        </w:rPr>
        <w:fldChar w:fldCharType="end"/>
      </w:r>
      <w:r w:rsidRPr="00662E51">
        <w:rPr>
          <w:szCs w:val="24"/>
        </w:rPr>
        <w:t>.</w:t>
      </w:r>
    </w:p>
    <w:p w14:paraId="68AC4AEE" w14:textId="342C6A00" w:rsidR="007B4EA4" w:rsidRPr="00662E51" w:rsidRDefault="007B4EA4" w:rsidP="00F56305">
      <w:pPr>
        <w:spacing w:line="360" w:lineRule="auto"/>
        <w:ind w:left="0" w:firstLine="720"/>
        <w:rPr>
          <w:szCs w:val="24"/>
        </w:rPr>
      </w:pPr>
      <w:r w:rsidRPr="00662E51">
        <w:rPr>
          <w:szCs w:val="24"/>
        </w:rPr>
        <w:t xml:space="preserve">Scholars of neoliberal urbanism have thus made significant contributions in considering how urban spaces anchor </w:t>
      </w:r>
      <w:r w:rsidR="002410D7">
        <w:rPr>
          <w:szCs w:val="24"/>
        </w:rPr>
        <w:t>authoritarian urban approaches</w:t>
      </w:r>
      <w:r w:rsidRPr="00662E51">
        <w:rPr>
          <w:szCs w:val="24"/>
        </w:rPr>
        <w:t xml:space="preserve">—illustrations </w:t>
      </w:r>
      <w:r w:rsidR="008F1C3A">
        <w:rPr>
          <w:szCs w:val="24"/>
        </w:rPr>
        <w:t xml:space="preserve">are </w:t>
      </w:r>
      <w:r w:rsidRPr="00662E51">
        <w:rPr>
          <w:szCs w:val="24"/>
        </w:rPr>
        <w:t xml:space="preserve">as diverse as Belgrade, Glasgow, Kigali, San Francisco, and Jakarta </w:t>
      </w:r>
      <w:r w:rsidRPr="00662E51">
        <w:rPr>
          <w:szCs w:val="24"/>
        </w:rPr>
        <w:fldChar w:fldCharType="begin"/>
      </w:r>
      <w:r w:rsidR="00213B80">
        <w:rPr>
          <w:szCs w:val="24"/>
        </w:rPr>
        <w:instrText xml:space="preserve"> ADDIN ZOTERO_ITEM CSL_CITATION {"citationID":"QKJSyX3o","properties":{"formattedCitation":"(Luger and D\\uc0\\u252{}rr 2025; MacLeod 2002; Pileti\\uc0\\u263{} 2022; N. Smith 2005)","plainCitation":"(Luger and Dürr 2025; MacLeod 2002; Piletić 2022; N. Smith 2005)","noteIndex":0},"citationItems":[{"id":6500,"uris":["http://zotero.org/users/8977980/items/MCPUJMEQ"],"itemData":{"id":6500,"type":"article-journal","abstract":"Advocating the value of an urban lens for researching and understanding illiberalism, we propose a threefold thematic anchoring for emerging inquiry into cities, framed both planetarily and locally, as containers/facilitators/mediators/conduits/nodes of illiberal ideologies, action, processes and outcomes. Our thematic approaches are: (1) that urban density can catalyse illiberalism, from grassroots coalitions (e.g. neighbourhoods) to top-down urban governance (e.g. public/private management coalitions) and the dense ‘thrown-togetherness’ of daily urban life can intensify tension, instability, fear and antagonism; (2) the urban emergency and urban crises, entangled as they are within ongoing neoliberal urbanism, facilitate illiberal responses (e.g. crises as justifications for reactionary/authoritarian policies, laws and outcomes); and (3) the urban offers a speed and virality that fosters illiberalism (e.g. platform-driven urban processes and ‘fast policies’). We suggest that the speeding-up of urban processes, long a facet of industrial capitalism, has now entered a new phase which is simultaneously catalysed by illiberal entities and ideologies (e.g. the platformed-world building of ‘NRx urbanism’), but also lays the groundwork for illiberal responses, new surveillances and authoritarian intrusions into daily life. We weave these thematic windows together with selected examples of global urban happenings and recent episodes, including in the context during and post-COVID-19. We note the proliferation of globally circulating authoritarian tendencies in urban planning, urban governance and crisis management that point to an uncomfortable reality where the urban question may, inherently, be an illiberal one. Nonetheless, we conclude on an optimistic note that illiberal urban futures are still ripe for contestation.","container-title":"Urban Studies","DOI":"10.1177/00420980251327142","ISSN":"0042-0980","language":"EN","page":"00420980251327142","publisher":"SAGE Publications Ltd","source":"SAGE Journals","title":"The urban question under illiberalism? Three thematic approaches","title-short":"The urban question under illiberalism?","author":[{"family":"Luger","given":"Jason D"},{"family":"Dürr","given":"Miklós János"}],"issued":{"date-parts":[["2025",4,12]]}}},{"id":6885,"uris":["http://zotero.org/users/8977980/items/7TQYKHQR"],"itemData":{"id":6885,"type":"article-journal","abstract":"Recent perspectives on the American city have highlighted the extent to which the economic and sociospatial contradictions generated by two decades of “actually existing” neoliberal urbanism appear to demand an increasingly punitive or “revanchist” political response. At the same time, it is increasingly being acknowledged that, after embracing much of the entrepreneurial ethos, European cities are also confronting sharpening inequalities and entrenched social exclusion. Drawing on evidence from Glasgow, the paper assesses the dialectical relations between urban entrepreneurialism, its escalating contradictions, and the growing compulsion to meet these with a selective appropriation of the revanchist political repertoire.","container-title":"Antipode","DOI":"10.1111/1467-8330.00256","ISSN":"1467-8330","issue":"3","language":"en","license":"Editorial Board of Antipode 2002","note":"_eprint: https://onlinelibrary.wiley.com/doi/pdf/10.1111/1467-8330.00256","page":"602-624","source":"Wiley Online Library","title":"From Urban Entrepreneurialism to a “Revanchist City”? On the Spatial Injustices of Glasgow’s Renaissance","title-short":"From Urban Entrepreneurialism to a “Revanchist City”?","volume":"34","author":[{"family":"MacLeod","given":"Gordon"}],"issued":{"date-parts":[["2002"]]}}},{"id":5764,"uris":["http://zotero.org/users/8977980/items/NAKP7URT"],"itemData":{"id":5764,"type":"article-journal","container-title":"Globalizations","DOI":"10.1080/14747731.2021.1882817","ISSN":"1474-7731, 1474-774X","issue":"2","journalAbbreviation":"Globalizations","language":"en","page":"285-300","source":"DOI.org (Crossref)","title":"The role of the urban scale in anchoring authoritarian neoliberalism: a look at post-2012 neoliberalization in Belgrade, Serbia","title-short":"The role of the urban scale in anchoring authoritarian neoliberalism","volume":"19","author":[{"family":"Piletić","given":"Aleksandra"}],"issued":{"date-parts":[["2022",2,17]]}}},{"id":6626,"uris":["http://zotero.org/users/8977980/items/Z4PVAQFD"],"itemData":{"id":6626,"type":"book","abstract":"Why have so many central and inner cities in Europe, North America and Australia been so radically revamped in the last three decades, converting urban decay into new chic? Will the process continue in the twenty-first century or has it ended? What does this mean for the people who live there? Can they do anything about it? This book challenges conventional wisdom, which holds gentrification to be the simple outcome of new middle-class tastes and a demand for urban living. It reveals gentrification as part of a much larger shift in the political economy and culture of the late twentieth century. Documenting in gritty detail the conflicts that gentrification brings to the new urban 'frontiers', the author explores the interconnections of urban policy, patterns of investment, eviction, and homelessness. The failure of liberal urban policy and the end of the 1980s financial boom have made the end-of-the-century city a darker and more dangerous place. Public policy and the private market are conspiring against minorities, working people, the poor, and the homeless as never before. In the emerging revanchist city, gentrification has become part of this policy of revenge.","DOI":"10.4324/9780203975640","ISBN":"978-0-203-97564-0","number-of-pages":"288","publisher":"Routledge","publisher-place":"London","title":"The New Urban Frontier: Gentrification and the Revanchist City","title-short":"The New Urban Frontier","author":[{"family":"Smith","given":"Neil"}],"issued":{"date-parts":[["2005",10,26]]}}}],"schema":"https://github.com/citation-style-language/schema/raw/master/csl-citation.json"} </w:instrText>
      </w:r>
      <w:r w:rsidRPr="00662E51">
        <w:rPr>
          <w:szCs w:val="24"/>
        </w:rPr>
        <w:fldChar w:fldCharType="separate"/>
      </w:r>
      <w:r w:rsidR="00213B80" w:rsidRPr="00213B80">
        <w:rPr>
          <w:rFonts w:cs="Times New Roman"/>
          <w:kern w:val="0"/>
        </w:rPr>
        <w:t>(Luger and Dürr 2025; MacLeod 2002; Piletić 2022; N. Smith 2005)</w:t>
      </w:r>
      <w:r w:rsidRPr="00662E51">
        <w:rPr>
          <w:szCs w:val="24"/>
        </w:rPr>
        <w:fldChar w:fldCharType="end"/>
      </w:r>
      <w:r w:rsidRPr="00662E51">
        <w:rPr>
          <w:szCs w:val="24"/>
        </w:rPr>
        <w:t xml:space="preserve">. Illiberal moves translate into a variety of governmental approaches and outcomes imposed at the local scale, which are far too numerous to capture here. Nevertheless, I identify a few relevant strands that encapsulate the most important dynamics at play (increasing insulation through centralisation and a sharpening of coercive governance). I close this section by explicating some research gaps that my thesis fills, namely that of the role of the political party. </w:t>
      </w:r>
    </w:p>
    <w:p w14:paraId="34C37C54" w14:textId="5E71979F" w:rsidR="007B4EA4" w:rsidRPr="00662E51" w:rsidRDefault="007B4EA4" w:rsidP="00F56305">
      <w:pPr>
        <w:spacing w:line="360" w:lineRule="auto"/>
        <w:ind w:left="0" w:firstLine="720"/>
        <w:rPr>
          <w:szCs w:val="24"/>
        </w:rPr>
      </w:pPr>
      <w:r w:rsidRPr="00662E51">
        <w:rPr>
          <w:szCs w:val="24"/>
        </w:rPr>
        <w:t xml:space="preserve">First is a “sharpening of coercion” in contemporary urbanism </w:t>
      </w:r>
      <w:r w:rsidRPr="00662E51">
        <w:rPr>
          <w:szCs w:val="24"/>
        </w:rPr>
        <w:fldChar w:fldCharType="begin"/>
      </w:r>
      <w:r w:rsidRPr="00662E51">
        <w:rPr>
          <w:szCs w:val="24"/>
        </w:rPr>
        <w:instrText xml:space="preserve"> ADDIN ZOTERO_ITEM CSL_CITATION {"citationID":"znRo8E5x","properties":{"formattedCitation":"(Can et al. 2024, 690)","plainCitation":"(Can et al. 2024, 690)","noteIndex":0},"citationItems":[{"id":5762,"uris":["http://zotero.org/users/8977980/items/NKYRYKPW"],"itemData":{"id":5762,"type":"article-journal","abstract":"This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locator":"690","label":"page"}],"schema":"https://github.com/citation-style-language/schema/raw/master/csl-citation.json"} </w:instrText>
      </w:r>
      <w:r w:rsidRPr="00662E51">
        <w:rPr>
          <w:szCs w:val="24"/>
        </w:rPr>
        <w:fldChar w:fldCharType="separate"/>
      </w:r>
      <w:r w:rsidR="0095662D" w:rsidRPr="00662E51">
        <w:t>(Can et al. 2024, 690)</w:t>
      </w:r>
      <w:r w:rsidRPr="00662E51">
        <w:rPr>
          <w:szCs w:val="24"/>
        </w:rPr>
        <w:fldChar w:fldCharType="end"/>
      </w:r>
      <w:r w:rsidRPr="00662E51">
        <w:rPr>
          <w:szCs w:val="24"/>
        </w:rPr>
        <w:t xml:space="preserve">. As urban scholars have long argued, modern forms of urban development go hand-in-hand with violent displacement through (state-led) urban regeneration and renewal </w:t>
      </w:r>
      <w:r w:rsidRPr="00662E51">
        <w:rPr>
          <w:szCs w:val="24"/>
        </w:rPr>
        <w:fldChar w:fldCharType="begin"/>
      </w:r>
      <w:r w:rsidR="001B2CAA">
        <w:rPr>
          <w:szCs w:val="24"/>
        </w:rPr>
        <w:instrText xml:space="preserve"> ADDIN ZOTERO_ITEM CSL_CITATION {"citationID":"L7aMEws3","properties":{"formattedCitation":"(Fullilove 2016; Pain 2019; Pull and Richard 2021)","plainCitation":"(Fullilove 2016; Pain 2019; Pull and Richard 2021)","noteIndex":0},"citationItems":[{"id":3876,"uris":["http://zotero.org/users/8977980/items/VTLFA3IS"],"itemData":{"id":3876,"type":"book","abstract":"Root Shock examines 3 different U.S. cities to unmask the crippling results of decades-old disinvestment in communities of color and the urban renewal practices that ultimately destroyed these neighborhoods for the advantage of developers and the elite. Like a sequel to the prescient warnings of urbanist Jane Jacobs, Dr. Mindy Thompson Fullilove reveals the disturbing effects of decades of insensitive urban renewal projects on communities of color. For those whose homes and neighborhoods were bulldozed, the urban modernization projects that swept America starting in 1949 were nothing short of an assault. Vibrant city blocks - places rich in culture - were torn apart by freeways and other invasive development, devastating the lives of poor residents. Fullilove passionately describes the profound traumatic stress- the \"root shock\"that results when a neighborhood is demolished. She estimates that federal and state urban renewal programs, spearheaded by business and real estate interests, destroyed 1,600 African American districts in cities across the United States. But urban renewal didn't just disrupt black communities: it ruined their economic health and social cohesion, stripping displaced residents of their sense of place as well. It also left big gashes in the centers of cities that are only now slowly being repaired. Focusing on the Hill District of Pittsburgh, the Central Ward in Newark, and the small Virginia city of Roanoke, Dr. Fullilove argues powerfully against policies of displacement. Understanding the damage caused by root shock is crucial to coping with its human toll and helping cities become whole. Mindy Thompson Fullilove, MD, is a research psychiatrist at New York State Psychiatric Institute and professor of clinical psychiatry and public health at Columbia University. She is the author of five books, including Urban Alchemy.","ISBN":"978-1-61332-041-9","publisher":"New Village Press","publisher-place":"New York, UNITED STATES","source":"ProQuest Ebook Central","title":"Root Shock: How Tearing up City Neighborhoods Hurts America, and What We Can Do about It","title-short":"Root Shock","URL":"http://ebookcentral.proquest.com/lib/durham/detail.action?docID=5253420","author":[{"family":"Fullilove","given":"Mindy Thompson"}],"accessed":{"date-parts":[["2023",2,17]]},"issued":{"date-parts":[["2016"]]}}},{"id":"n0Saldgp/opiPSvcV","uris":["http://zotero.org/users/8977980/items/PRZ5AUKN"],"itemData":{"id":"sqVErO4e/uHip57zc","type":"article-journal","abstract":"This paper sets the idea of slow violence into dialogue with trauma, to understand the practice and legitimisation of the repeated damage done to certain places through state violence. Slow violence (Nixon R (2011) Slow Violence and the Environmentalism of the Poor. Cambridge, MA: Harvard University Press) describes the ?attritional lethality? of many contemporary effects of globalisation. While originating in environmental humanities, it has clear relevance for urban studies. After assessing accounts of the post-traumatic city, the paper draws insights from feminist psychiatry and postcolonial analysis to develop the concept of chronic urban trauma, as a psychological effect of violence involving an ongoing relational dynamic. Reporting from a three-year participatory action research project on the managed decline and disposal of social housing in a former coalmining village in north-east England, the paper discusses the temporal and place-based effects of slow violence. It argues that chronic urban trauma becomes hard-wired in place, enabling retraumatisation while also remaining open to efforts to heal and rebuild.","container-title":"Urban Studies","DOI":"10.1177/0042098018795796","ISSN":"0042-0980","issue":"2","journalAbbreviation":"Urban Studies","note":"publisher: SAGE Publications Ltd","page":"385-400","source":"SAGE Journals","title":"Chronic urban trauma: The slow violence of housing dispossession","title-short":"Chronic urban trauma","volume":"56","author":[{"family":"Pain","given":"Rachel"}],"issued":{"date-parts":[["2019",2,1]]}}},{"id":3646,"uris":["http://zotero.org/users/8977980/items/8X7H4A5W"],"itemData":{"id":3646,"type":"article-journal","abstract":"This article investigates the lived experiences of tenants staying put in two neighborhoods undergoing urban renewal processes and increased rent levels in Uppsala, Sweden. The article is drawing on a place sensitive analysis to escape a ‘Euclidean prison’ that we contend underpin many displacement studies; studies that reduce the notion of displacement to only signify out-migration. Such studies often miss both the scope of displacement, and the grievances experienced by tenants following changes in place and space under various urban transformation processes. Through phenomenologically inspired interviews with tenants, we contend that place cannot, as it often is in practices of urban development, simply be understood as coordinates on a map, but has to be understood relationally. Adhering to such a place-sensitive understanding of space our study asks what changes to place and to ‘home’ is experienced by tenants staying put in neighborhoods under increasing displacement pressures. What surfaces is a series of displacements that can be categorized as spatial dispossessions; thematized under subcategories ‘contraction of home’ and ‘withering entitlements’, and temporal dispossessions; categorized under ‘life on hold’ and ‘erasure of history’. These displacements are suffered by tenants who despite displacement pressures have remained throughout the renewal process.","container-title":"Social &amp; Cultural Geography","DOI":"10.1080/14649365.2019.1601245","ISSN":"1464-9365","issue":"4","note":"_eprint: https://doi.org/10.1080/14649365.2019.1601245","page":"545-564","publisher":"Routledge","source":"Taylor and Francis+NEJM","title":"Domicide: displacement and dispossessions in Uppsala, Sweden","title-short":"Domicide","volume":"22","author":[{"family":"Pull","given":"Emil"},{"family":"Richard","given":"Åse"}],"issued":{"date-parts":[["2021",5,4]]}}}],"schema":"https://github.com/citation-style-language/schema/raw/master/csl-citation.json"} </w:instrText>
      </w:r>
      <w:r w:rsidRPr="00662E51">
        <w:rPr>
          <w:szCs w:val="24"/>
        </w:rPr>
        <w:fldChar w:fldCharType="separate"/>
      </w:r>
      <w:r w:rsidR="0095662D" w:rsidRPr="00662E51">
        <w:t>(Fullilove 2016; Pain 2019; Pull and Richard 2021)</w:t>
      </w:r>
      <w:r w:rsidRPr="00662E51">
        <w:rPr>
          <w:szCs w:val="24"/>
        </w:rPr>
        <w:fldChar w:fldCharType="end"/>
      </w:r>
      <w:r w:rsidRPr="00662E51">
        <w:rPr>
          <w:szCs w:val="24"/>
        </w:rPr>
        <w:t xml:space="preserve">, gentrification </w:t>
      </w:r>
      <w:r w:rsidR="003026D6" w:rsidRPr="00662E51">
        <w:rPr>
          <w:bCs/>
          <w:szCs w:val="24"/>
        </w:rPr>
        <w:fldChar w:fldCharType="begin"/>
      </w:r>
      <w:r w:rsidR="008835AB" w:rsidRPr="00662E51">
        <w:rPr>
          <w:bCs/>
          <w:szCs w:val="24"/>
        </w:rPr>
        <w:instrText xml:space="preserve"> ADDIN ZOTERO_ITEM CSL_CITATION {"citationID":"tBjLpyt8","properties":{"formattedCitation":"(Elliott-Cooper et al. 2020)","plainCitation":"(Elliott-Cooper et al. 2020)","noteIndex":0},"citationItems":[{"id":3189,"uris":["http://zotero.org/users/8977980/items/X86726V8"],"itemData":{"id":3189,"type":"article-journal","abstract":"Since the 1990s, the renewal of council housing estates in London has involved widespread ?decanting? of resident populations to allow for demolition and redevelopment, primarily by private developers who sell the majority of new housing at market rate. This process of decanting has displaced long-term council tenants and shorter-term ?temporary? tenants, with many not able to return to the estate. In contrast, those leaseholders who bought under the ?right-to-buy? legislation introduced in the 1980s have a ?right to remain? by virtue of the property rights they have. Nonetheless, given the threat that their property will ultimately be subject to compulsory purchase because the redevelopment of the estate is in the ?public interest?, these leaseholders experience similar displacement pressures to other residents. Describing these pressures, this article argues that the right-to-buy legislation offered these residents the illusion of entering a property-owning middle-class, but that they were never able to escape the labelling of council estates as stigmatised spaces which have ultimately been seized by the state and capital in a moment of ?accumulation by dispossession?.","container-title":"The Sociological Review","DOI":"10.1177/0038026120906790","ISSN":"0038-0261","issue":"6","language":"en","page":"1354-1369","publisher":"SAGE Publications Ltd","source":"SAGE Journals","title":"Sold out? The right-to-buy, gentrification and working-class displacements in London","title-short":"Sold out?","volume":"68","author":[{"family":"Elliott-Cooper","given":"Adam"},{"family":"Hubbard","given":"Phil"},{"family":"Lees","given":"Loretta"}],"issued":{"date-parts":[["2020",11,1]]}}}],"schema":"https://github.com/citation-style-language/schema/raw/master/csl-citation.json"} </w:instrText>
      </w:r>
      <w:r w:rsidR="003026D6" w:rsidRPr="00662E51">
        <w:rPr>
          <w:bCs/>
          <w:szCs w:val="24"/>
        </w:rPr>
        <w:fldChar w:fldCharType="separate"/>
      </w:r>
      <w:r w:rsidR="003026D6" w:rsidRPr="00662E51">
        <w:t>(Elliott-Cooper et al. 2020)</w:t>
      </w:r>
      <w:r w:rsidR="003026D6" w:rsidRPr="00662E51">
        <w:rPr>
          <w:bCs/>
          <w:szCs w:val="24"/>
        </w:rPr>
        <w:fldChar w:fldCharType="end"/>
      </w:r>
      <w:r w:rsidR="003026D6" w:rsidRPr="00662E51">
        <w:rPr>
          <w:bCs/>
          <w:szCs w:val="24"/>
        </w:rPr>
        <w:t xml:space="preserve"> </w:t>
      </w:r>
      <w:r w:rsidRPr="00662E51">
        <w:rPr>
          <w:szCs w:val="24"/>
        </w:rPr>
        <w:t xml:space="preserve">and eviction </w:t>
      </w:r>
      <w:r w:rsidRPr="00662E51">
        <w:rPr>
          <w:szCs w:val="24"/>
        </w:rPr>
        <w:fldChar w:fldCharType="begin"/>
      </w:r>
      <w:r w:rsidR="00C03CEB">
        <w:rPr>
          <w:szCs w:val="24"/>
        </w:rPr>
        <w:instrText xml:space="preserve"> ADDIN ZOTERO_ITEM CSL_CITATION {"citationID":"lzcyc9ox","properties":{"formattedCitation":"(Baker 2020; Paton and Cooper 2016)","plainCitation":"(Baker 2020; Paton and Cooper 2016)","noteIndex":0},"citationItems":[{"id":5619,"uris":["http://zotero.org/users/8977980/items/BIQWI4WB"],"itemData":{"id":5619,"type":"article-journal","abstract":"Eviction might be considered a form of infrastructure: as a process of binding and unbinding people to a world in movement, producing the grounds on which action can take place. Going beyond a causal relationship between infrastructure and displacement, we may posit that eviction can be seen as a distributed, ongoing, system which binds people and creates the grounds for action. So, what might infrastructural theory reveal about evictions? How might we begin to study eviction as infrastructure?","container-title":"City","DOI":"10.1080/13604813.2020.1739417","ISSN":"1360-4813","issue":"1-2","note":"_eprint: https://doi.org/10.1080/13604813.2020.1739417","page":"143-150","publisher":"Routledge","source":"Taylor and Francis+NEJM","title":"Eviction as infrastructure","volume":"24","author":[{"family":"Baker","given":"Alex"}],"issued":{"date-parts":[["2020",3,3]]}}},{"id":582,"uris":["http://zotero.org/users/8977980/items/YVT778X3"],"itemData":{"id":582,"type":"article-journal","abstract":"In this paper we show how the form and effects of gentrification have advanced in the post crash, recessionary context. As such, we argue that state-led gentrification contributes to state-led evictions. The cumulative impacts of government cuts and the paradigmatic shift of housing from a social to financialised entity not only increases eviction risk amongst low income households but, through various legal repossession frameworks that prioritise ownership, the state actively endorses it. Given the nature and extent of these changes in housing, we argue that the state-led gentrification has advanced further. Evictions, we argue, are the new urban frontier and this is orchestrated by the state in fundamental ways.","container-title":"Sociological Research Online","DOI":"10.5153/sro.4064","ISSN":"1360-7804","issue":"3","journalAbbreviation":"Sociological Research Online","language":"en","page":"134-140","publisher":"SAGE Publications Ltd","source":"SAGE Journals","title":"It's the State, Stupid: 21st Gentrification and State-Led Evictions","title-short":"It's the State, Stupid","volume":"21","author":[{"family":"Paton","given":"Kirsteen"},{"family":"Cooper","given":"Vickie"}],"issued":{"date-parts":[["2016",8,1]]}}}],"schema":"https://github.com/citation-style-language/schema/raw/master/csl-citation.json"} </w:instrText>
      </w:r>
      <w:r w:rsidRPr="00662E51">
        <w:rPr>
          <w:szCs w:val="24"/>
        </w:rPr>
        <w:fldChar w:fldCharType="separate"/>
      </w:r>
      <w:r w:rsidR="00C03CEB" w:rsidRPr="00C03CEB">
        <w:t>(Baker 2020; Paton and Cooper 2016)</w:t>
      </w:r>
      <w:r w:rsidRPr="00662E51">
        <w:rPr>
          <w:szCs w:val="24"/>
        </w:rPr>
        <w:fldChar w:fldCharType="end"/>
      </w:r>
      <w:r w:rsidRPr="00662E51">
        <w:rPr>
          <w:szCs w:val="24"/>
        </w:rPr>
        <w:t xml:space="preserve">. In this literature we find echoes of the revanchist city </w:t>
      </w:r>
      <w:r w:rsidRPr="00662E51">
        <w:rPr>
          <w:szCs w:val="24"/>
        </w:rPr>
        <w:fldChar w:fldCharType="begin"/>
      </w:r>
      <w:r w:rsidR="00213B80">
        <w:rPr>
          <w:szCs w:val="24"/>
        </w:rPr>
        <w:instrText xml:space="preserve"> ADDIN ZOTERO_ITEM CSL_CITATION {"citationID":"YFVFx8ot","properties":{"formattedCitation":"(MacLeod 2002; N. Smith 2005)","plainCitation":"(MacLeod 2002; N. Smith 2005)","noteIndex":0},"citationItems":[{"id":6885,"uris":["http://zotero.org/users/8977980/items/7TQYKHQR"],"itemData":{"id":6885,"type":"article-journal","abstract":"Recent perspectives on the American city have highlighted the extent to which the economic and sociospatial contradictions generated by two decades of “actually existing” neoliberal urbanism appear to demand an increasingly punitive or “revanchist” political response. At the same time, it is increasingly being acknowledged that, after embracing much of the entrepreneurial ethos, European cities are also confronting sharpening inequalities and entrenched social exclusion. Drawing on evidence from Glasgow, the paper assesses the dialectical relations between urban entrepreneurialism, its escalating contradictions, and the growing compulsion to meet these with a selective appropriation of the revanchist political repertoire.","container-title":"Antipode","DOI":"10.1111/1467-8330.00256","ISSN":"1467-8330","issue":"3","language":"en","license":"Editorial Board of Antipode 2002","note":"_eprint: https://onlinelibrary.wiley.com/doi/pdf/10.1111/1467-8330.00256","page":"602-624","source":"Wiley Online Library","title":"From Urban Entrepreneurialism to a “Revanchist City”? On the Spatial Injustices of Glasgow’s Renaissance","title-short":"From Urban Entrepreneurialism to a “Revanchist City”?","volume":"34","author":[{"family":"MacLeod","given":"Gordon"}],"issued":{"date-parts":[["2002"]]}}},{"id":6626,"uris":["http://zotero.org/users/8977980/items/Z4PVAQFD"],"itemData":{"id":6626,"type":"book","abstract":"Why have so many central and inner cities in Europe, North America and Australia been so radically revamped in the last three decades, converting urban decay into new chic? Will the process continue in the twenty-first century or has it ended? What does this mean for the people who live there? Can they do anything about it? This book challenges conventional wisdom, which holds gentrification to be the simple outcome of new middle-class tastes and a demand for urban living. It reveals gentrification as part of a much larger shift in the political economy and culture of the late twentieth century. Documenting in gritty detail the conflicts that gentrification brings to the new urban 'frontiers', the author explores the interconnections of urban policy, patterns of investment, eviction, and homelessness. The failure of liberal urban policy and the end of the 1980s financial boom have made the end-of-the-century city a darker and more dangerous place. Public policy and the private market are conspiring against minorities, working people, the poor, and the homeless as never before. In the emerging revanchist city, gentrification has become part of this policy of revenge.","DOI":"10.4324/9780203975640","ISBN":"978-0-203-97564-0","number-of-pages":"288","publisher":"Routledge","publisher-place":"London","title":"The New Urban Frontier: Gentrification and the Revanchist City","title-short":"The New Urban Frontier","author":[{"family":"Smith","given":"Neil"}],"issued":{"date-parts":[["2005",10,26]]}}}],"schema":"https://github.com/citation-style-language/schema/raw/master/csl-citation.json"} </w:instrText>
      </w:r>
      <w:r w:rsidRPr="00662E51">
        <w:rPr>
          <w:szCs w:val="24"/>
        </w:rPr>
        <w:fldChar w:fldCharType="separate"/>
      </w:r>
      <w:r w:rsidR="00213B80" w:rsidRPr="00213B80">
        <w:t>(MacLeod 2002; N. Smith 2005)</w:t>
      </w:r>
      <w:r w:rsidRPr="00662E51">
        <w:rPr>
          <w:szCs w:val="24"/>
        </w:rPr>
        <w:fldChar w:fldCharType="end"/>
      </w:r>
      <w:r w:rsidRPr="00662E51">
        <w:rPr>
          <w:szCs w:val="24"/>
        </w:rPr>
        <w:t xml:space="preserve"> as well as accumulation by dispossession, which contends that economic growth is increasingly achieved not by free exchange but through a forceful appropriation of capital from smaller holders of capital by larger holders </w:t>
      </w:r>
      <w:r w:rsidRPr="00662E51">
        <w:rPr>
          <w:szCs w:val="24"/>
        </w:rPr>
        <w:fldChar w:fldCharType="begin"/>
      </w:r>
      <w:r w:rsidRPr="00662E51">
        <w:rPr>
          <w:szCs w:val="24"/>
        </w:rPr>
        <w:instrText xml:space="preserve"> ADDIN ZOTERO_ITEM CSL_CITATION {"citationID":"0XWybOXe","properties":{"formattedCitation":"(Harvey 2012)","plainCitation":"(Harvey 2012)","noteIndex":0},"citationItems":[{"id":6625,"uris":["http://zotero.org/users/8977980/items/MCA38K3Q"],"itemData":{"id":6625,"type":"chapter","abstract":"Both V. I. Lenin and R. Luxemburg, for quite different reasons and utilizing quite different forms of argument, considered that imperialism – a certain form of the production of space — was the answer to the riddle, though both argued that this solution was finite because of its own terminal contradictions. Lenin quotes Cecil Rhodes as saying that colonialism and imperialism abroad were the only possible way to avoid civil war at home. The Europeans in particular are far more attracted to a Kautskyian vision of ultra-imperialism in which all the major capitalist powers will supposedly collaborate on an equal basis. The shape and form any new imperialism will take is therefore up for grabs. What happens within the United States is a vitally important determinant of how the new imperialism might be articulated. And there is, to boot, a gathering storm of opposition to the deepening of accumulation by dispossession.","container-title":"Karl Marx","ISBN":"978-1-315-25119-6","note":"number-of-pages: 25","publisher":"Routledge","title":"The 'New' Imperialism: Accumulation by Dispossession","title-short":"The 'New' Imperialism","author":[{"family":"Harvey","given":"David"}],"issued":{"date-parts":[["2012"]]}}}],"schema":"https://github.com/citation-style-language/schema/raw/master/csl-citation.json"} </w:instrText>
      </w:r>
      <w:r w:rsidRPr="00662E51">
        <w:rPr>
          <w:szCs w:val="24"/>
        </w:rPr>
        <w:fldChar w:fldCharType="separate"/>
      </w:r>
      <w:r w:rsidR="0095662D" w:rsidRPr="00662E51">
        <w:t>(Harvey 2012)</w:t>
      </w:r>
      <w:r w:rsidRPr="00662E51">
        <w:rPr>
          <w:szCs w:val="24"/>
        </w:rPr>
        <w:fldChar w:fldCharType="end"/>
      </w:r>
      <w:r w:rsidRPr="00662E51">
        <w:rPr>
          <w:szCs w:val="24"/>
        </w:rPr>
        <w:t xml:space="preserve">. Examples include but are not limited to privatisation of nationalised industries, rent extraction, and the continual enclosure of public land </w:t>
      </w:r>
      <w:r w:rsidRPr="00662E51">
        <w:rPr>
          <w:szCs w:val="24"/>
        </w:rPr>
        <w:fldChar w:fldCharType="begin"/>
      </w:r>
      <w:r w:rsidR="00F15CF8">
        <w:rPr>
          <w:szCs w:val="24"/>
        </w:rPr>
        <w:instrText xml:space="preserve"> ADDIN ZOTERO_ITEM CSL_CITATION {"citationID":"TaCdjWXf","properties":{"formattedCitation":"(Christophers 2018, 2019a)","plainCitation":"(Christophers 2018, 2019a)","noteIndex":0},"citationItems":[{"id":2652,"uris":["http://zotero.org/users/8977980/items/NIBET8CM"],"itemData":{"id":2652,"type":"book","abstract":"Introduction -- A special and finite commodity: why land and landownership matter -- Landownership in Britain: a brief history -- Discourses of surplus and efficiency: preparing the land for sale -- Carrots and sticks: privatizing the land -- False promises: land privatization outcomes -- Conclusion: where now?","call-number":"333.130941 CHR","ISBN":"978-1-78663-160-2","language":"eng","publisher":"Verso","publisher-place":"London ; Brooklyn, NY","source":"discover.durham.ac.uk","title":"The new enclosure: the appropriation of public land in neoliberal Britain","title-short":"The new enclosure","author":[{"family":"Christophers","given":"Brett"}],"accessed":{"date-parts":[["2022",2,7]]},"issued":{"date-parts":[["2018"]]}}},{"id":2653,"uris":["http://zotero.org/users/8977980/items/5IQJ3LMF"],"itemData":{"id":2653,"type":"article-journal","abstract":"The burgeoning geographical literature on the financialisation of urban development has focused predominantly on the growing importance within this sphere of financial markets, motives, and institutions. This article starts from the observation that in examining such financialisation, scholars have paid insufficient attention to the details of the financial contexts within which it takes place. Through a consideration of certain high-profile ongoing transformations in the property strategies of English local authorities, the article argues that we need to put urban financialisation – in this case, state-led variants thereof – in its financial context: it needs to be understood as a response, at least in part, to specific financial conjunctures. After several decades of effective withdrawal, many local authorities have assumed a resurgent role in urban property ownership and development in recent years, and especially since the global financial crisis. This resurgence is apparent, albeit selectively, in regard to both commercial and residential property. On the one hand, local authorities have been rebuilding portfolios of investment (i.e., non-operational) commercial property; on the other hand, they have been building new homes, typically not for social rent, through arms-length housing companies. I argue that understanding these trends requires appreciation of local authorities’ particular financial circumstances in the “post-crisis” era – their operation at the intersection of devolved austerity, reformed housing finance, and unconventional monetary policy – and of the constraints and opportunities that these circumstances shape.","container-title":"Transactions of the Institute of British Geographers","DOI":"10.1111/tran.12305","ISSN":"1475-5661","issue":"3","language":"en","note":"_eprint: https://onlinelibrary.wiley.com/doi/pdf/10.1111/tran.12305","page":"571-586","source":"Wiley Online Library","title":"Putting financialisation in its financial context: Transformations in local government-led urban development in post-financial crisis England","title-short":"Putting financialisation in its financial context","volume":"44","author":[{"family":"Christophers","given":"Brett"}],"issued":{"date-parts":[["2019"]]}}}],"schema":"https://github.com/citation-style-language/schema/raw/master/csl-citation.json"} </w:instrText>
      </w:r>
      <w:r w:rsidRPr="00662E51">
        <w:rPr>
          <w:szCs w:val="24"/>
        </w:rPr>
        <w:fldChar w:fldCharType="separate"/>
      </w:r>
      <w:r w:rsidR="00F15CF8" w:rsidRPr="00F15CF8">
        <w:t>(Christophers 2018, 2019a)</w:t>
      </w:r>
      <w:r w:rsidRPr="00662E51">
        <w:rPr>
          <w:szCs w:val="24"/>
        </w:rPr>
        <w:fldChar w:fldCharType="end"/>
      </w:r>
      <w:r w:rsidRPr="00662E51">
        <w:rPr>
          <w:szCs w:val="24"/>
        </w:rPr>
        <w:t xml:space="preserve">. Violent dispossession happens at the urban scale too, as Can and Fanton </w:t>
      </w:r>
      <w:r w:rsidRPr="00662E51">
        <w:rPr>
          <w:szCs w:val="24"/>
        </w:rPr>
        <w:fldChar w:fldCharType="begin"/>
      </w:r>
      <w:r w:rsidR="008835AB" w:rsidRPr="00662E51">
        <w:rPr>
          <w:szCs w:val="24"/>
        </w:rPr>
        <w:instrText xml:space="preserve"> ADDIN ZOTERO_ITEM CSL_CITATION {"citationID":"qLpGvYZB","properties":{"formattedCitation":"(2024)","plainCitation":"(2024)","noteIndex":0},"citationItems":[{"id":6458,"uris":["http://zotero.org/users/8977980/items/Z9HN8YMJ"],"itemData":{"id":6458,"type":"article-journal","abstract":"This article analyses the relations between the rise of authoritarianism and urban development in neoliberal capitalism, based on case studies in Istanbul and São Paulo, employing the approach of comparative urbanism. We present the concept of Neo-Liberal Authoritarian Urbanism (NAU), to discuss the accentuation of coercion and loss of social legitimacy in urban politics in the post-2008 crisis context. In both cities, there is a violent steering of urbanistic projects that involve State-finance-real estate market coalitions, and result in socio-territorial exclusion and private appropriation of land as a financial asset. The accumulation by dispossession characteristic of neoliberal urbanism is even more accentuated, with a multi-scalar dimension, in which the connections between local private interests and the globalized reproduction of capital advance.","container-title":"Globalizations","DOI":"10.1080/14747731.2022.2156237","ISSN":"1474-7731","issue":"6","note":"_eprint: https://doi.org/10.1080/14747731.2022.2156237","page":"1108-1124","publisher":"Routledge","source":"Taylor and Francis+NEJM","title":"Neo-liberal authoritarian urbanism: the dominant contemporary patterns of urban spatial production in Istanbul and São Paulo","title-short":"Neo-liberal authoritarian urbanism","volume":"21","author":[{"family":"Can","given":"Aysegul"},{"family":"Fanton","given":"Hugo"}],"issued":{"date-parts":[["2024",8,17]]}},"label":"page","suppress-author":true}],"schema":"https://github.com/citation-style-language/schema/raw/master/csl-citation.json"} </w:instrText>
      </w:r>
      <w:r w:rsidRPr="00662E51">
        <w:rPr>
          <w:szCs w:val="24"/>
        </w:rPr>
        <w:fldChar w:fldCharType="separate"/>
      </w:r>
      <w:r w:rsidR="0095662D" w:rsidRPr="00662E51">
        <w:t>(2024)</w:t>
      </w:r>
      <w:r w:rsidRPr="00662E51">
        <w:rPr>
          <w:szCs w:val="24"/>
        </w:rPr>
        <w:fldChar w:fldCharType="end"/>
      </w:r>
      <w:r w:rsidRPr="00662E51">
        <w:rPr>
          <w:szCs w:val="24"/>
        </w:rPr>
        <w:t xml:space="preserve"> demonstrate in Istanbul and São Paulo. Both cities have seen commodification of space, privatisation of the commons, and the </w:t>
      </w:r>
      <w:r w:rsidRPr="00662E51">
        <w:rPr>
          <w:szCs w:val="24"/>
        </w:rPr>
        <w:lastRenderedPageBreak/>
        <w:t xml:space="preserve">displacement of thousands—done in the service of capital accumulation and urban transformation. In parts of São Paulo, the Brazilian military supported the private sector in achieving dispossession. Istanbul has seen urban renewal projects that reshape the city in favour of capital. Regardless of the case the aim is the same: to displace working class residents in pursuit of accumulation </w:t>
      </w:r>
      <w:r w:rsidRPr="00662E51">
        <w:rPr>
          <w:szCs w:val="24"/>
        </w:rPr>
        <w:fldChar w:fldCharType="begin"/>
      </w:r>
      <w:r w:rsidR="00213B80">
        <w:rPr>
          <w:szCs w:val="24"/>
        </w:rPr>
        <w:instrText xml:space="preserve"> ADDIN ZOTERO_ITEM CSL_CITATION {"citationID":"YoykwEXr","properties":{"formattedCitation":"(Hodkinson and Essen 2015; V. Cooper and Paton 2021)","plainCitation":"(Hodkinson and Essen 2015; V. Cooper and Paton 2021)","noteIndex":0},"citationItems":[{"id":3645,"uris":["http://zotero.org/users/8977980/items/TUHA9FP8"],"itemData":{"id":3645,"type":"article-journal","container-title":"International Journal of Law in the Built Environment","issue":"1","journalAbbreviation":"Int'l J.L. Built Env't","language":"eng","page":"72-92-95","source":"HeinOnline","title":"Grounding Accumulation by Dispossession in Everday Life: The Unjust Geographies of Urban Regeneration under the Private Finance Initiative Special Issue: Law and Geography","title-short":"Grounding Accumulation by Dispossession in Everday Life","volume":"7","author":[{"family":"Hodkinson","given":"Stuart"},{"family":"Essen","given":"Chris"}],"issued":{"date-parts":[["2015"]]}}},{"id":3741,"uris":["http://zotero.org/users/8977980/items/G3FT2AGW"],"itemData":{"id":3741,"type":"article-journal","abstract":"In this article we draw from Harvey’s concept of “accumulation by dispossession” to show how this rise in evictions signifies an acute form of dispossession specific to financial capitalism and austerity and, in so doing, examine the lucrative, contemporary political economy of evictions. We explore the contemporary political economy of evictions by focusing on the relationship between recent UK welfare reforms and the growth in household debt and risk. We further illustrate how the growth of evictions under austerity increases the role of the debt recovery and enforcement industry that profits from household debt. We argue that evictions and the corresponding growth of the debt recovery and enforcement industry, can be described as a form of “accumulation by repossession”, where profit is produced through repossession and extraction of debt from low-income people and places. In doing so, we try to capture the realities of a contemporary political economy of evictions.","container-title":"Urban Geography","DOI":"10.1080/02723638.2019.1659695","ISSN":"0272-3638","issue":"5","note":"_eprint: https://doi.org/10.1080/02723638.2019.1659695","page":"583-602","publisher":"Routledge","source":"Taylor and Francis+NEJM","title":"Accumulation by repossession: the political economy of evictions under austerity","title-short":"Accumulation by repossession","volume":"42","author":[{"family":"Cooper","given":"Vickie"},{"family":"Paton","given":"Kirsteen"}],"issued":{"date-parts":[["2021",5,28]]}}}],"schema":"https://github.com/citation-style-language/schema/raw/master/csl-citation.json"} </w:instrText>
      </w:r>
      <w:r w:rsidRPr="00662E51">
        <w:rPr>
          <w:szCs w:val="24"/>
        </w:rPr>
        <w:fldChar w:fldCharType="separate"/>
      </w:r>
      <w:r w:rsidR="00213B80" w:rsidRPr="00213B80">
        <w:t>(Hodkinson and Essen 2015; V. Cooper and Paton 2021)</w:t>
      </w:r>
      <w:r w:rsidRPr="00662E51">
        <w:rPr>
          <w:szCs w:val="24"/>
        </w:rPr>
        <w:fldChar w:fldCharType="end"/>
      </w:r>
      <w:r w:rsidRPr="00662E51">
        <w:rPr>
          <w:szCs w:val="24"/>
        </w:rPr>
        <w:t xml:space="preserve">. In this research’s case study area (Haringey), scholars have framed Haringey Development Vehicle is a revanchist response to the 2011 uprising, intended to fundamentally reshape the fabric of the area (see Chapter </w:t>
      </w:r>
      <w:r w:rsidR="00C348BB" w:rsidRPr="00662E51">
        <w:rPr>
          <w:szCs w:val="24"/>
        </w:rPr>
        <w:t>6</w:t>
      </w:r>
      <w:r w:rsidRPr="00662E51">
        <w:rPr>
          <w:szCs w:val="24"/>
        </w:rPr>
        <w:t xml:space="preserve">) </w:t>
      </w:r>
      <w:r w:rsidRPr="00662E51">
        <w:rPr>
          <w:szCs w:val="24"/>
        </w:rPr>
        <w:fldChar w:fldCharType="begin"/>
      </w:r>
      <w:r w:rsidR="00F15CF8">
        <w:rPr>
          <w:szCs w:val="24"/>
        </w:rPr>
        <w:instrText xml:space="preserve"> ADDIN ZOTERO_ITEM CSL_CITATION {"citationID":"OUSqbJIh","properties":{"formattedCitation":"(Horton and Penny 2024; Perera 2019a, 2019b)","plainCitation":"(Horton and Penny 2024; Perera 2019a, 2019b)","noteIndex":0},"citationItems":[{"id":5697,"uris":["http://zotero.org/users/8977980/items/ZPYXM7A6"],"itemData":{"id":5697,"type":"book","ISBN":"978-1-80008-710-1","language":"eng","note":"OCLC: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id":3141,"uris":["http://zotero.org/users/8977980/items/CB3BBSPP"],"itemData":{"id":3141,"type":"report","language":"en","number":"12","publisher":"Institute of Race Relations","publisher-place":"London","source":"Zotero","title":"The London Clearances: Race, Housing and Policing","URL":"https://irr.org.uk/wp-content/uploads/2020/09/The-London-Clearances-Race-Housing-and-Policing-1.pdf","author":[{"family":"Perera","given":"Jessica"}],"issued":{"date-parts":[["2019"]]}}},{"id":4590,"uris":["http://zotero.org/users/8977980/items/3LU2NP77"],"itemData":{"id":4590,"type":"post-weblog","abstract":"With regeneration looming large over Tottenham, north London, IRR interviews young activist Tash Bonner who is fighting back.  Tottenham in many respects has been unable to heal from both the murder of Mark Duggan and the uprisings of 2011 because rather than the state dealing with both of these matters and investing in the community,Read More...","container-title":"Institute of Race Relations","language":"en-GB","title":"This is ‘Grenfell Britain’, where if a fire does not get you, demolition will","URL":"https://irr.org.uk/article/this-is-grenfell-britain-where-if-a-fire-does-not-get-you-demolition-will/","author":[{"family":"Perera","given":"Jessica"}],"accessed":{"date-parts":[["2023",7,12]]},"issued":{"date-parts":[["2019",5,9]]}}}],"schema":"https://github.com/citation-style-language/schema/raw/master/csl-citation.json"} </w:instrText>
      </w:r>
      <w:r w:rsidRPr="00662E51">
        <w:rPr>
          <w:szCs w:val="24"/>
        </w:rPr>
        <w:fldChar w:fldCharType="separate"/>
      </w:r>
      <w:r w:rsidR="00F15CF8" w:rsidRPr="00F15CF8">
        <w:t>(Horton and Penny 2024; Perera 2019a, 2019b)</w:t>
      </w:r>
      <w:r w:rsidRPr="00662E51">
        <w:rPr>
          <w:szCs w:val="24"/>
        </w:rPr>
        <w:fldChar w:fldCharType="end"/>
      </w:r>
      <w:r w:rsidRPr="00662E51">
        <w:rPr>
          <w:szCs w:val="24"/>
        </w:rPr>
        <w:t xml:space="preserve">. I build on this through a deep exploration of the connections and relationships between the local state and the local party in their deployment of localised illiberal neoliberalism. </w:t>
      </w:r>
    </w:p>
    <w:p w14:paraId="4A85839F" w14:textId="08B2A155" w:rsidR="007B4EA4" w:rsidRPr="00662E51" w:rsidRDefault="007B4EA4" w:rsidP="00F56305">
      <w:pPr>
        <w:spacing w:line="360" w:lineRule="auto"/>
        <w:ind w:left="0" w:firstLine="720"/>
        <w:rPr>
          <w:szCs w:val="24"/>
        </w:rPr>
      </w:pPr>
      <w:r w:rsidRPr="00662E51">
        <w:rPr>
          <w:szCs w:val="24"/>
        </w:rPr>
        <w:t xml:space="preserve">Second is insulation through centralisation. </w:t>
      </w:r>
      <w:r w:rsidR="009F1141">
        <w:rPr>
          <w:szCs w:val="24"/>
        </w:rPr>
        <w:t>N</w:t>
      </w:r>
      <w:r w:rsidRPr="00662E51">
        <w:rPr>
          <w:szCs w:val="24"/>
        </w:rPr>
        <w:t xml:space="preserve">ational governments have centralised planning powers, removing spaces for democratic dissent. The UK government’s recent update to the National Planning Policy Framework is allegedly designed to “accelerate development and economic growth through ‘modern’ supply-side planning reforms”—i.e., continue to bolster capitalist accumulation </w:t>
      </w:r>
      <w:r w:rsidRPr="00662E51">
        <w:rPr>
          <w:szCs w:val="24"/>
        </w:rPr>
        <w:fldChar w:fldCharType="begin"/>
      </w:r>
      <w:r w:rsidR="008835AB" w:rsidRPr="00662E51">
        <w:rPr>
          <w:szCs w:val="24"/>
        </w:rPr>
        <w:instrText xml:space="preserve"> ADDIN ZOTERO_ITEM CSL_CITATION {"citationID":"hgbtPuqz","properties":{"formattedCitation":"(Fearn 2025, 301)","plainCitation":"(Fearn 2025, 301)","noteIndex":0},"citationItems":[{"id":6616,"uris":["http://zotero.org/users/8977980/items/8ICBNH4T"],"itemData":{"id":6616,"type":"article-journal","abstract":"Planning reform is a central part of the new UK Labour government’s programme. This article shows how their proposed reforms draw upon a neoliberal problematisation of planning developed by several think tanks, where the planning system is seen as creating delay, as overly regulatory and as providing too much space for deliberation. The article shows that Labour draws on this problematisation while developing its own solutions through a series of institutional fixes as part of its turn towards ‘modern supply-side economics’. The article argues that the foregrounding of planning reform in Labour’s programme is an attempt to align the interests of rentier and finance capital with those of the new petite bourgeoisie.This article was published open access under a CC BY licence: https://creativecommons.org/licences/by/4.0.","container-title":"Town Planning Review","DOI":"10.3828/tpr.2024.59","issue":"3","page":"301-324","publisher":"Liverpool University Press","source":"liverpooluniversitypress.co.uk (Atypon)","title":"Neoliberalism’s apotheosis? Class, capital and the ideological development of the UK Labour Party’s planning reforms","title-short":"Neoliberalism’s apotheosis?","volume":"96","author":[{"family":"Fearn","given":"Gareth"}],"issued":{"date-parts":[["2025",5]]}},"locator":"301","label":"page"}],"schema":"https://github.com/citation-style-language/schema/raw/master/csl-citation.json"} </w:instrText>
      </w:r>
      <w:r w:rsidRPr="00662E51">
        <w:rPr>
          <w:szCs w:val="24"/>
        </w:rPr>
        <w:fldChar w:fldCharType="separate"/>
      </w:r>
      <w:r w:rsidR="0095662D" w:rsidRPr="00662E51">
        <w:t>(Fearn 2025, 301)</w:t>
      </w:r>
      <w:r w:rsidRPr="00662E51">
        <w:rPr>
          <w:szCs w:val="24"/>
        </w:rPr>
        <w:fldChar w:fldCharType="end"/>
      </w:r>
      <w:r w:rsidRPr="00662E51">
        <w:rPr>
          <w:szCs w:val="24"/>
        </w:rPr>
        <w:t xml:space="preserve">. The update will allow the government to bypass local authorities, “with public participation increasingly seen as a problem” for the central state to resolve—rather than a democratic right or necessity </w:t>
      </w:r>
      <w:r w:rsidRPr="00662E51">
        <w:rPr>
          <w:szCs w:val="24"/>
        </w:rPr>
        <w:fldChar w:fldCharType="begin"/>
      </w:r>
      <w:r w:rsidR="008835AB" w:rsidRPr="00662E51">
        <w:rPr>
          <w:szCs w:val="24"/>
        </w:rPr>
        <w:instrText xml:space="preserve"> ADDIN ZOTERO_ITEM CSL_CITATION {"citationID":"HIYvqBqH","properties":{"formattedCitation":"(Fearn 2025, 314)","plainCitation":"(Fearn 2025, 314)","noteIndex":0},"citationItems":[{"id":6616,"uris":["http://zotero.org/users/8977980/items/8ICBNH4T"],"itemData":{"id":6616,"type":"article-journal","abstract":"Planning reform is a central part of the new UK Labour government’s programme. This article shows how their proposed reforms draw upon a neoliberal problematisation of planning developed by several think tanks, where the planning system is seen as creating delay, as overly regulatory and as providing too much space for deliberation. The article shows that Labour draws on this problematisation while developing its own solutions through a series of institutional fixes as part of its turn towards ‘modern supply-side economics’. The article argues that the foregrounding of planning reform in Labour’s programme is an attempt to align the interests of rentier and finance capital with those of the new petite bourgeoisie.This article was published open access under a CC BY licence: https://creativecommons.org/licences/by/4.0.","container-title":"Town Planning Review","DOI":"10.3828/tpr.2024.59","issue":"3","page":"301-324","publisher":"Liverpool University Press","source":"liverpooluniversitypress.co.uk (Atypon)","title":"Neoliberalism’s apotheosis? Class, capital and the ideological development of the UK Labour Party’s planning reforms","title-short":"Neoliberalism’s apotheosis?","volume":"96","author":[{"family":"Fearn","given":"Gareth"}],"issued":{"date-parts":[["2025",5]]}},"locator":"314"}],"schema":"https://github.com/citation-style-language/schema/raw/master/csl-citation.json"} </w:instrText>
      </w:r>
      <w:r w:rsidRPr="00662E51">
        <w:rPr>
          <w:szCs w:val="24"/>
        </w:rPr>
        <w:fldChar w:fldCharType="separate"/>
      </w:r>
      <w:r w:rsidR="0095662D" w:rsidRPr="00662E51">
        <w:t>(Fearn 2025, 314)</w:t>
      </w:r>
      <w:r w:rsidRPr="00662E51">
        <w:rPr>
          <w:szCs w:val="24"/>
        </w:rPr>
        <w:fldChar w:fldCharType="end"/>
      </w:r>
      <w:r w:rsidRPr="00662E51">
        <w:rPr>
          <w:szCs w:val="24"/>
        </w:rPr>
        <w:t xml:space="preserve">. </w:t>
      </w:r>
      <w:r w:rsidR="00015F79" w:rsidRPr="00015F79">
        <w:rPr>
          <w:szCs w:val="24"/>
        </w:rPr>
        <w:t xml:space="preserve">Large-scale infrastructure projects in India—like inter-city and -national highways—are similarly achieved by central, public-private organs with equally predictable results </w:t>
      </w:r>
      <w:r w:rsidR="00015F79" w:rsidRPr="00015F79">
        <w:rPr>
          <w:szCs w:val="24"/>
        </w:rPr>
        <w:fldChar w:fldCharType="begin"/>
      </w:r>
      <w:r w:rsidR="00015F79" w:rsidRPr="00015F79">
        <w:rPr>
          <w:szCs w:val="24"/>
        </w:rPr>
        <w:instrText xml:space="preserve"> ADDIN ZOTERO_ITEM CSL_CITATION {"citationID":"IgYq3nQO","properties":{"formattedCitation":"(Bathla 2025)","plainCitation":"(Bathla 2025)","noteIndex":0},"citationItems":[{"id":6499,"uris":["http://zotero.org/users/8977980/items/N2RJGHJS"],"itemData":{"id":6499,"type":"article-journal","abstract":"In the context of the prevailing global rightward and populist shift, there exists a largely unexplored yet profound nexus between authoritarian neoliberalism and infrastructure-led extended urbanisation beyond the city. Drawing on insights from extensive ethnographic fieldwork conducted along India’s highway corridors, this paper examines the authoritarianism and social fragmentation inherent in the state’s attempts to extend infrastructure-led urbanisation into economically bypassed regions. By exploring the intersections between the construction of recent highway corridors through previously bypassed regions inhabited by marginalised religious and caste groups and the outbreak of state-backed violence, this paper analyses authoritarian urbanism emerging amidst social struggles over enclosure and urbanisation of agrarian land. Specifically, the paper delves in depth into the planning of two recent highway corridors – the Delhi–Mumbai Expressway and the India–Myanmar–Thailand highway – and the escalation of state-sponsored religious conflicts and polarisation in the regions these corridors traverse. This research demonstrates how national-scale infrastructure projects, such as the Bharatmala highway programme, allow for the framing of a national-popular project that selectively incorporates hegemonic socio-religious groups such as certain Hindu caste groups who have reaped the primary benefits of economic liberalisation while disenfranchising marginalised communities. The paper defines authoritarian urbanism as a more-than-neoliberal configuration emerging from a toxic amalgamation of state power, bellicose militarism, infrastructure-led urbanisation and religious nationalism. It concludes that this emerging authoritarian urbanism obscures the neoliberal crises of jobless growth and fails to address the uneven development and social inequalities resulting from infrastructure-led urbanisation.","container-title":"Urban Studies","DOI":"10.1177/00420980241309737","ISSN":"0042-0980, 1360-063X","journalAbbreviation":"Urban Studies","language":"en","page":"00420980241309737","source":"DOI.org (Crossref)","title":"Authoritarian urbanism beyond the city: Infrastructure-led extended urbanisation and India’s more-than-neoliberal configurations","title-short":"Authoritarian urbanism beyond the city","author":[{"family":"Bathla","given":"Nitin"}],"issued":{"date-parts":[["2025",1,24]]}}}],"schema":"https://github.com/citation-style-language/schema/raw/master/csl-citation.json"} </w:instrText>
      </w:r>
      <w:r w:rsidR="00015F79" w:rsidRPr="00015F79">
        <w:rPr>
          <w:szCs w:val="24"/>
        </w:rPr>
        <w:fldChar w:fldCharType="separate"/>
      </w:r>
      <w:r w:rsidR="00015F79" w:rsidRPr="00015F79">
        <w:rPr>
          <w:szCs w:val="24"/>
        </w:rPr>
        <w:t>(Bathla 2025)</w:t>
      </w:r>
      <w:r w:rsidR="00015F79" w:rsidRPr="00015F79">
        <w:rPr>
          <w:szCs w:val="24"/>
        </w:rPr>
        <w:fldChar w:fldCharType="end"/>
      </w:r>
      <w:r w:rsidR="00015F79" w:rsidRPr="00015F79">
        <w:rPr>
          <w:szCs w:val="24"/>
        </w:rPr>
        <w:t xml:space="preserve">. </w:t>
      </w:r>
      <w:r w:rsidRPr="00662E51">
        <w:rPr>
          <w:szCs w:val="24"/>
        </w:rPr>
        <w:t>As I consider in Chapter</w:t>
      </w:r>
      <w:r w:rsidR="007353E2" w:rsidRPr="00662E51">
        <w:rPr>
          <w:szCs w:val="24"/>
        </w:rPr>
        <w:t>s</w:t>
      </w:r>
      <w:r w:rsidRPr="00662E51">
        <w:rPr>
          <w:szCs w:val="24"/>
        </w:rPr>
        <w:t xml:space="preserve"> </w:t>
      </w:r>
      <w:r w:rsidR="007353E2" w:rsidRPr="00662E51">
        <w:rPr>
          <w:szCs w:val="24"/>
        </w:rPr>
        <w:t>6 and 7</w:t>
      </w:r>
      <w:r w:rsidRPr="00662E51">
        <w:rPr>
          <w:szCs w:val="24"/>
        </w:rPr>
        <w:t xml:space="preserve">, this theoretical thread overlooks the importance of political parties to processes of centralisation and insulation, which is a core contention of this thesis. </w:t>
      </w:r>
    </w:p>
    <w:p w14:paraId="7F17542F" w14:textId="2D37FC2E" w:rsidR="007B4EA4" w:rsidRDefault="007B4EA4" w:rsidP="00F56305">
      <w:pPr>
        <w:spacing w:line="360" w:lineRule="auto"/>
        <w:ind w:left="0" w:firstLine="720"/>
        <w:rPr>
          <w:szCs w:val="24"/>
        </w:rPr>
      </w:pPr>
      <w:r w:rsidRPr="00662E51">
        <w:rPr>
          <w:szCs w:val="24"/>
        </w:rPr>
        <w:t xml:space="preserve">As I argue throughout my thesis, the </w:t>
      </w:r>
      <w:r w:rsidR="00257749" w:rsidRPr="00662E51">
        <w:rPr>
          <w:szCs w:val="24"/>
        </w:rPr>
        <w:t xml:space="preserve">national-centric </w:t>
      </w:r>
      <w:r w:rsidRPr="00662E51">
        <w:rPr>
          <w:szCs w:val="24"/>
        </w:rPr>
        <w:t xml:space="preserve">approach is under-developed: it not only treats the local scale as merely a territory in which AN plays out, but it also tends to understand neoliberalism as a bipartisan effort. Di Giovanni’s (2017) study of Istanbul is an illuminating model of the approach’s oversights. The work tracks the rise of undemocratic planning practices through the lenses of coercion and branding. Nonetheless, Di Giovanni (2017, p. 111) treats Istanbul as a container of these national dynamics: the work “fram[es] the governance of the AKP over Istanbul’s city-making” since 2001 as authoritarian </w:t>
      </w:r>
      <w:r w:rsidRPr="00662E51">
        <w:rPr>
          <w:szCs w:val="24"/>
        </w:rPr>
        <w:lastRenderedPageBreak/>
        <w:t xml:space="preserve">neoliberalism, thereby both situating Erdoğan’s national government as the driving engine of AN and relegating Istanbul’s internal politics to the margins—instead focusing mostly on AKP as a national party. My research critiques this conceptual framing by drawing attention to the power of local political parties. Far from being just a container for national authoritarian mechanisms, the local scale itself is instead productive of—and reactive to—competing forces that maintain and resist authoritarian practices </w:t>
      </w:r>
      <w:r w:rsidRPr="00662E51">
        <w:rPr>
          <w:szCs w:val="24"/>
        </w:rPr>
        <w:fldChar w:fldCharType="begin"/>
      </w:r>
      <w:r w:rsidR="008835AB" w:rsidRPr="00662E51">
        <w:rPr>
          <w:szCs w:val="24"/>
        </w:rPr>
        <w:instrText xml:space="preserve"> ADDIN ZOTERO_ITEM CSL_CITATION {"citationID":"6wEBxVU8","properties":{"formattedCitation":"(Luger and D\\uc0\\u252{}rr 2025)","plainCitation":"(Luger and Dürr 2025)","noteIndex":0},"citationItems":[{"id":6500,"uris":["http://zotero.org/users/8977980/items/MCPUJMEQ"],"itemData":{"id":6500,"type":"article-journal","abstract":"Advocating the value of an urban lens for researching and understanding illiberalism, we propose a threefold thematic anchoring for emerging inquiry into cities, framed both planetarily and locally, as containers/facilitators/mediators/conduits/nodes of illiberal ideologies, action, processes and outcomes. Our thematic approaches are: (1) that urban density can catalyse illiberalism, from grassroots coalitions (e.g. neighbourhoods) to top-down urban governance (e.g. public/private management coalitions) and the dense ‘thrown-togetherness’ of daily urban life can intensify tension, instability, fear and antagonism; (2) the urban emergency and urban crises, entangled as they are within ongoing neoliberal urbanism, facilitate illiberal responses (e.g. crises as justifications for reactionary/authoritarian policies, laws and outcomes); and (3) the urban offers a speed and virality that fosters illiberalism (e.g. platform-driven urban processes and ‘fast policies’). We suggest that the speeding-up of urban processes, long a facet of industrial capitalism, has now entered a new phase which is simultaneously catalysed by illiberal entities and ideologies (e.g. the platformed-world building of ‘NRx urbanism’), but also lays the groundwork for illiberal responses, new surveillances and authoritarian intrusions into daily life. We weave these thematic windows together with selected examples of global urban happenings and recent episodes, including in the context during and post-COVID-19. We note the proliferation of globally circulating authoritarian tendencies in urban planning, urban governance and crisis management that point to an uncomfortable reality where the urban question may, inherently, be an illiberal one. Nonetheless, we conclude on an optimistic note that illiberal urban futures are still ripe for contestation.","container-title":"Urban Studies","DOI":"10.1177/00420980251327142","ISSN":"0042-0980","language":"EN","page":"00420980251327142","publisher":"SAGE Publications Ltd","source":"SAGE Journals","title":"The urban question under illiberalism? Three thematic approaches","title-short":"The urban question under illiberalism?","author":[{"family":"Luger","given":"Jason D"},{"family":"Dürr","given":"Miklós János"}],"issued":{"date-parts":[["2025",4,12]]}}}],"schema":"https://github.com/citation-style-language/schema/raw/master/csl-citation.json"} </w:instrText>
      </w:r>
      <w:r w:rsidRPr="00662E51">
        <w:rPr>
          <w:szCs w:val="24"/>
        </w:rPr>
        <w:fldChar w:fldCharType="separate"/>
      </w:r>
      <w:r w:rsidR="0095662D" w:rsidRPr="00662E51">
        <w:rPr>
          <w:rFonts w:cs="Times New Roman"/>
          <w:kern w:val="0"/>
        </w:rPr>
        <w:t>(Luger and Dürr 2025)</w:t>
      </w:r>
      <w:r w:rsidRPr="00662E51">
        <w:rPr>
          <w:szCs w:val="24"/>
        </w:rPr>
        <w:fldChar w:fldCharType="end"/>
      </w:r>
      <w:r w:rsidRPr="00662E51">
        <w:rPr>
          <w:szCs w:val="24"/>
        </w:rPr>
        <w:t xml:space="preserve">. That is, the local scale is both a space </w:t>
      </w:r>
      <w:r w:rsidRPr="00662E51">
        <w:rPr>
          <w:i/>
          <w:iCs/>
          <w:szCs w:val="24"/>
        </w:rPr>
        <w:t>through</w:t>
      </w:r>
      <w:r w:rsidRPr="00662E51">
        <w:rPr>
          <w:szCs w:val="24"/>
        </w:rPr>
        <w:t xml:space="preserve"> which, and a place </w:t>
      </w:r>
      <w:r w:rsidRPr="00662E51">
        <w:rPr>
          <w:i/>
          <w:iCs/>
          <w:szCs w:val="24"/>
        </w:rPr>
        <w:t>in</w:t>
      </w:r>
      <w:r w:rsidRPr="00662E51">
        <w:rPr>
          <w:szCs w:val="24"/>
        </w:rPr>
        <w:t xml:space="preserve"> which, AN is exercised. It is also the site of reworking of relations across scale, with the national, regional, and local competing against the organising of unruly populations </w:t>
      </w:r>
      <w:r w:rsidRPr="00662E51">
        <w:rPr>
          <w:szCs w:val="24"/>
        </w:rPr>
        <w:fldChar w:fldCharType="begin"/>
      </w:r>
      <w:r w:rsidRPr="00662E51">
        <w:rPr>
          <w:szCs w:val="24"/>
        </w:rPr>
        <w:instrText xml:space="preserve"> ADDIN ZOTERO_ITEM CSL_CITATION {"citationID":"SqEHPz6K","properties":{"formattedCitation":"(Pileti\\uc0\\u263{} 2022)","plainCitation":"(Piletić 2022)","noteIndex":0},"citationItems":[{"id":5764,"uris":["http://zotero.org/users/8977980/items/NAKP7URT"],"itemData":{"id":5764,"type":"article-journal","container-title":"Globalizations","DOI":"10.1080/14747731.2021.1882817","ISSN":"1474-7731, 1474-774X","issue":"2","journalAbbreviation":"Globalizations","language":"en","page":"285-300","source":"DOI.org (Crossref)","title":"The role of the urban scale in anchoring authoritarian neoliberalism: a look at post-2012 neoliberalization in Belgrade, Serbia","title-short":"The role of the urban scale in anchoring authoritarian neoliberalism","volume":"19","author":[{"family":"Piletić","given":"Aleksandra"}],"issued":{"date-parts":[["2022",2,17]]}}}],"schema":"https://github.com/citation-style-language/schema/raw/master/csl-citation.json"} </w:instrText>
      </w:r>
      <w:r w:rsidRPr="00662E51">
        <w:rPr>
          <w:szCs w:val="24"/>
        </w:rPr>
        <w:fldChar w:fldCharType="separate"/>
      </w:r>
      <w:r w:rsidR="0095662D" w:rsidRPr="00662E51">
        <w:rPr>
          <w:rFonts w:cs="Times New Roman"/>
          <w:kern w:val="0"/>
        </w:rPr>
        <w:t>(Piletić 2022)</w:t>
      </w:r>
      <w:r w:rsidRPr="00662E51">
        <w:rPr>
          <w:szCs w:val="24"/>
        </w:rPr>
        <w:fldChar w:fldCharType="end"/>
      </w:r>
      <w:r w:rsidRPr="00662E51">
        <w:rPr>
          <w:szCs w:val="24"/>
        </w:rPr>
        <w:t xml:space="preserve">. As Jenss </w:t>
      </w:r>
      <w:r w:rsidRPr="00662E51">
        <w:rPr>
          <w:szCs w:val="24"/>
        </w:rPr>
        <w:fldChar w:fldCharType="begin"/>
      </w:r>
      <w:r w:rsidR="008835AB" w:rsidRPr="00662E51">
        <w:rPr>
          <w:szCs w:val="24"/>
        </w:rPr>
        <w:instrText xml:space="preserve"> ADDIN ZOTERO_ITEM CSL_CITATION {"citationID":"sWuWJVYQ","properties":{"formattedCitation":"(2019)","plainCitation":"(2019)","noteIndex":0},"citationItems":[{"id":5770,"uris":["http://zotero.org/users/8977980/items/3XV9CB2E"],"itemData":{"id":5770,"type":"article-journal","abstract":"There is an increasing consensus that, across the globe, austerity policies have often relegated fiscal pressures from the state to the urban scale. These are sometimes discussed under the label ‘austerity urbanism’. This article explores urban authoritarian neoliberalism through an examination of spatial and scalar manifestations of neoliberal restructuring. It asks how austerity urbanism’s rescaling takes effect in spatially variegated ways in the intermediate city of Oaxaca in Southern Mexico. I argue that Oaxaca’s austerity programmes and its rescaling of security provision are two intertwined, rather than parallel, processes. The paper builds on and aims to advance the authoritarian neoliberalism literature by linking it to literatures on the postcolonial Latin American state and urban studies. The article makes two contributions: first, it identifies and carves out multi-scalar aspects of authoritarian neoliberalism (by speaking to the urban realm); second, it contributes to the authoritarian neoliberalism literature on the ‘South’. Hence, the aim is to reveal the multi-scalar aspects of authoritarian neoliberalism and to illustrate its explanatory power in the global South.","container-title":"Globalizations","DOI":"10.1080/14747731.2018.1502493","ISSN":"1474-7731","issue":"3","note":"_eprint: https://doi.org/10.1080/14747731.2018.1502493","page":"304–319","publisher":"Routledge","source":"Taylor and Francis+NEJM","title":"Authoritarian neoliberal rescaling in Latin America: urban in/security and austerity in Oaxaca","title-short":"Authoritarian neoliberal rescaling in Latin America","volume":"16","author":[{"family":"Jenss","given":"Alke"}],"issued":{"date-parts":[["2019",4,16]]}},"label":"page","suppress-author":true}],"schema":"https://github.com/citation-style-language/schema/raw/master/csl-citation.json"} </w:instrText>
      </w:r>
      <w:r w:rsidRPr="00662E51">
        <w:rPr>
          <w:szCs w:val="24"/>
        </w:rPr>
        <w:fldChar w:fldCharType="separate"/>
      </w:r>
      <w:r w:rsidR="0095662D" w:rsidRPr="00662E51">
        <w:t>(2019)</w:t>
      </w:r>
      <w:r w:rsidRPr="00662E51">
        <w:rPr>
          <w:szCs w:val="24"/>
        </w:rPr>
        <w:fldChar w:fldCharType="end"/>
      </w:r>
      <w:r w:rsidRPr="00662E51">
        <w:rPr>
          <w:szCs w:val="24"/>
        </w:rPr>
        <w:t xml:space="preserve"> finds in Oaxaca, Mexico, multiple state scales engaged in coercion and isolation to prop up accumulation in the city. National austerity programs pushed subnational (state) and municipal governments to follow suit, cutting their budgets severely. </w:t>
      </w:r>
      <w:r w:rsidR="00BC278F">
        <w:rPr>
          <w:szCs w:val="24"/>
        </w:rPr>
        <w:t>T</w:t>
      </w:r>
      <w:r w:rsidRPr="00662E51">
        <w:rPr>
          <w:szCs w:val="24"/>
        </w:rPr>
        <w:t xml:space="preserve">he Oaxacan municipal government turned to reshaping its urban fabric to find the right spatial fix in the form of tourism </w:t>
      </w:r>
      <w:r w:rsidRPr="00662E51">
        <w:rPr>
          <w:szCs w:val="24"/>
        </w:rPr>
        <w:fldChar w:fldCharType="begin"/>
      </w:r>
      <w:r w:rsidR="008835AB" w:rsidRPr="00662E51">
        <w:rPr>
          <w:szCs w:val="24"/>
        </w:rPr>
        <w:instrText xml:space="preserve"> ADDIN ZOTERO_ITEM CSL_CITATION {"citationID":"dLGVJPOB","properties":{"formattedCitation":"(Yrigoy 2014)","plainCitation":"(Yrigoy 2014)","noteIndex":0},"citationItems":[{"id":6624,"uris":["http://zotero.org/users/8977980/items/AZKIQQHV"],"itemData":{"id":6624,"type":"article-journal","abstract":"Between the 1950s and 1970s, a massive tourism and real-estate boom took place in coastal Spain and, as a result, thousands of tourist spots appeared across the country. This paper aims to explain the production of those spots in the context of the broader dynamics of capital accumulation, thus following a political economy approach. The work starts with a brief outline of the concept of ‘spatial fix’ and the role of tourism within it. Then the paper analyses the physical production of the case studies of Platja de Palma and Magaluf (Mallorca, Spain) during the period studied – the Francoist tourism boom. Subsequently, the discussion shifts towards the examination of the capitals that promoted the physical production of the spots. This analysis is focused on three interrelated dynamics. First, on capital–space relationships, particularly on evidence of ‘geographical expansion’ and ‘switching’ of capital towards the areas studied. Second, it examines the appearance of a new capitalist class and the role of different state structures within capital shift dynamics. Third, it analyses the political and economic shifts inside Franco's regime related to tourism. In the conclusions, the need to broaden the concept of ‘spatial fix’ is stressed, and some future lines of research to continue this work are also outlined.","container-title":"Tourism Geographies","DOI":"10.1080/14616688.2014.915876","ISSN":"1461-6688","issue":"4","note":"_eprint: https://doi.org/10.1080/14616688.2014.915876","page":"636-652","publisher":"Routledge","source":"Taylor and Francis+NEJM","title":"The production of tourist spaces as a spatial fix","volume":"16","author":[{"family":"Yrigoy","given":"Ismael"}],"issued":{"date-parts":[["2014",8,8]]}}}],"schema":"https://github.com/citation-style-language/schema/raw/master/csl-citation.json"} </w:instrText>
      </w:r>
      <w:r w:rsidRPr="00662E51">
        <w:rPr>
          <w:szCs w:val="24"/>
        </w:rPr>
        <w:fldChar w:fldCharType="separate"/>
      </w:r>
      <w:r w:rsidR="0095662D" w:rsidRPr="00662E51">
        <w:t>(Yrigoy 2014)</w:t>
      </w:r>
      <w:r w:rsidRPr="00662E51">
        <w:rPr>
          <w:szCs w:val="24"/>
        </w:rPr>
        <w:fldChar w:fldCharType="end"/>
      </w:r>
      <w:r w:rsidRPr="00662E51">
        <w:rPr>
          <w:szCs w:val="24"/>
        </w:rPr>
        <w:t xml:space="preserve">, which is then propped up by the national government. Simultaneously, “austerity and policing discipline those that deviate from or dissent with urban renewal policies,” with dissent often being quelled by national police brought in from elsewhere </w:t>
      </w:r>
      <w:r w:rsidRPr="00662E51">
        <w:rPr>
          <w:szCs w:val="24"/>
        </w:rPr>
        <w:fldChar w:fldCharType="begin"/>
      </w:r>
      <w:r w:rsidR="008835AB" w:rsidRPr="00662E51">
        <w:rPr>
          <w:szCs w:val="24"/>
        </w:rPr>
        <w:instrText xml:space="preserve"> ADDIN ZOTERO_ITEM CSL_CITATION {"citationID":"ffJOncMj","properties":{"formattedCitation":"(Jenss 2019, 311)","plainCitation":"(Jenss 2019, 311)","noteIndex":0},"citationItems":[{"id":5770,"uris":["http://zotero.org/users/8977980/items/3XV9CB2E"],"itemData":{"id":5770,"type":"article-journal","abstract":"There is an increasing consensus that, across the globe, austerity policies have often relegated fiscal pressures from the state to the urban scale. These are sometimes discussed under the label ‘austerity urbanism’. This article explores urban authoritarian neoliberalism through an examination of spatial and scalar manifestations of neoliberal restructuring. It asks how austerity urbanism’s rescaling takes effect in spatially variegated ways in the intermediate city of Oaxaca in Southern Mexico. I argue that Oaxaca’s austerity programmes and its rescaling of security provision are two intertwined, rather than parallel, processes. The paper builds on and aims to advance the authoritarian neoliberalism literature by linking it to literatures on the postcolonial Latin American state and urban studies. The article makes two contributions: first, it identifies and carves out multi-scalar aspects of authoritarian neoliberalism (by speaking to the urban realm); second, it contributes to the authoritarian neoliberalism literature on the ‘South’. Hence, the aim is to reveal the multi-scalar aspects of authoritarian neoliberalism and to illustrate its explanatory power in the global South.","container-title":"Globalizations","DOI":"10.1080/14747731.2018.1502493","ISSN":"1474-7731","issue":"3","note":"_eprint: https://doi.org/10.1080/14747731.2018.1502493","page":"304–319","publisher":"Routledge","source":"Taylor and Francis+NEJM","title":"Authoritarian neoliberal rescaling in Latin America: urban in/security and austerity in Oaxaca","title-short":"Authoritarian neoliberal rescaling in Latin America","volume":"16","author":[{"family":"Jenss","given":"Alke"}],"issued":{"date-parts":[["2019",4,16]]}},"locator":"311"}],"schema":"https://github.com/citation-style-language/schema/raw/master/csl-citation.json"} </w:instrText>
      </w:r>
      <w:r w:rsidRPr="00662E51">
        <w:rPr>
          <w:szCs w:val="24"/>
        </w:rPr>
        <w:fldChar w:fldCharType="separate"/>
      </w:r>
      <w:r w:rsidR="0095662D" w:rsidRPr="00662E51">
        <w:t>(Jenss 2019, 311)</w:t>
      </w:r>
      <w:r w:rsidRPr="00662E51">
        <w:rPr>
          <w:szCs w:val="24"/>
        </w:rPr>
        <w:fldChar w:fldCharType="end"/>
      </w:r>
      <w:r w:rsidRPr="00662E51">
        <w:rPr>
          <w:szCs w:val="24"/>
        </w:rPr>
        <w:t xml:space="preserve"> Attending to the scaled nature of AN translates into a better understanding of how the “urban scale has remained central to the (re)assertion of state power” in contemporary politics </w:t>
      </w:r>
      <w:r w:rsidRPr="00662E51">
        <w:rPr>
          <w:szCs w:val="24"/>
        </w:rPr>
        <w:fldChar w:fldCharType="begin"/>
      </w:r>
      <w:r w:rsidRPr="00662E51">
        <w:rPr>
          <w:szCs w:val="24"/>
        </w:rPr>
        <w:instrText xml:space="preserve"> ADDIN ZOTERO_ITEM CSL_CITATION {"citationID":"md2gRlDP","properties":{"formattedCitation":"(Pileti\\uc0\\u263{} 2022, 287)","plainCitation":"(Piletić 2022, 287)","noteIndex":0},"citationItems":[{"id":5764,"uris":["http://zotero.org/users/8977980/items/NAKP7URT"],"itemData":{"id":5764,"type":"article-journal","container-title":"Globalizations","DOI":"10.1080/14747731.2021.1882817","ISSN":"1474-7731, 1474-774X","issue":"2","journalAbbreviation":"Globalizations","language":"en","page":"285-300","source":"DOI.org (Crossref)","title":"The role of the urban scale in anchoring authoritarian neoliberalism: a look at post-2012 neoliberalization in Belgrade, Serbia","title-short":"The role of the urban scale in anchoring authoritarian neoliberalism","volume":"19","author":[{"family":"Piletić","given":"Aleksandra"}],"issued":{"date-parts":[["2022",2,17]]}},"locator":"287","label":"page"}],"schema":"https://github.com/citation-style-language/schema/raw/master/csl-citation.json"} </w:instrText>
      </w:r>
      <w:r w:rsidRPr="00662E51">
        <w:rPr>
          <w:szCs w:val="24"/>
        </w:rPr>
        <w:fldChar w:fldCharType="separate"/>
      </w:r>
      <w:r w:rsidR="0095662D" w:rsidRPr="00662E51">
        <w:rPr>
          <w:rFonts w:cs="Times New Roman"/>
          <w:kern w:val="0"/>
        </w:rPr>
        <w:t>(Piletić 2022, 287)</w:t>
      </w:r>
      <w:r w:rsidRPr="00662E51">
        <w:rPr>
          <w:szCs w:val="24"/>
        </w:rPr>
        <w:fldChar w:fldCharType="end"/>
      </w:r>
      <w:r w:rsidRPr="00662E51">
        <w:rPr>
          <w:szCs w:val="24"/>
        </w:rPr>
        <w:t xml:space="preserve">. It also helps shed more light on the particular processes that uphold a given form of capitalist relation </w:t>
      </w:r>
      <w:r w:rsidRPr="00662E51">
        <w:rPr>
          <w:szCs w:val="24"/>
        </w:rPr>
        <w:fldChar w:fldCharType="begin"/>
      </w:r>
      <w:r w:rsidRPr="00662E51">
        <w:rPr>
          <w:szCs w:val="24"/>
        </w:rPr>
        <w:instrText xml:space="preserve"> ADDIN ZOTERO_ITEM CSL_CITATION {"citationID":"vp4ipmfr","properties":{"formattedCitation":"(Hillier et al. 2022; Painter 2011)","plainCitation":"(Hillier et al. 2022; Painter 2011)","noteIndex":0},"citationItems":[{"id":6789,"uris":["http://zotero.org/users/8977980/items/AHSAC3MA"],"itemData":{"id":6789,"type":"book","ISBN":"978-1-7781797-0-9","language":"en","number-of-pages":"191","publisher":"1984press","title":"Regulation Theory, Space and Uneven Development: Conversations and Challenges","title-short":"Regulation Theory, Space and Uneven Development","author":[{"family":"Hillier","given":"Brandon"},{"family":"Philips","given":"Rachel"},{"family":"Peck","given":"Jamie"}],"issued":{"date-parts":[["2022"]]}}},{"id":6795,"uris":["http://zotero.org/users/8977980/items/S2J6QPGT"],"itemData":{"id":6795,"type":"chapter","container-title":"Readings in Urban Theory","ISBN":"978-1-4443-3081-6","language":"en","note":"Google-Books-ID: mqdVEAAAQBAJ","publisher":"John Wiley &amp; Sons","source":"Google Books","title":"Regulation theory, post-Fordism and urban politics","container-author":[{"family":"Fainstein","given":"Susan S."},{"family":"Campbell","given":"Scott"}],"author":[{"family":"Painter","given":"Joe"}],"issued":{"date-parts":[["2011",3,7]]}}}],"schema":"https://github.com/citation-style-language/schema/raw/master/csl-citation.json"} </w:instrText>
      </w:r>
      <w:r w:rsidRPr="00662E51">
        <w:rPr>
          <w:szCs w:val="24"/>
        </w:rPr>
        <w:fldChar w:fldCharType="separate"/>
      </w:r>
      <w:r w:rsidR="0095662D" w:rsidRPr="00662E51">
        <w:t>(Hillier et al. 2022; Painter 2011)</w:t>
      </w:r>
      <w:r w:rsidRPr="00662E51">
        <w:rPr>
          <w:szCs w:val="24"/>
        </w:rPr>
        <w:fldChar w:fldCharType="end"/>
      </w:r>
      <w:r w:rsidRPr="00662E51">
        <w:rPr>
          <w:szCs w:val="24"/>
        </w:rPr>
        <w:t>. As is explored throughout this thesis, AN is thus pervasive and so remains an important dimension of urban transformation to consider.</w:t>
      </w:r>
      <w:r w:rsidR="004765E9">
        <w:rPr>
          <w:szCs w:val="24"/>
        </w:rPr>
        <w:t xml:space="preserve"> AN’s entanglement with political parties is equally important, given </w:t>
      </w:r>
      <w:r w:rsidR="00E03CFD">
        <w:rPr>
          <w:szCs w:val="24"/>
        </w:rPr>
        <w:t xml:space="preserve">the interdependence of the state and the party as discussed in Section 3.2. </w:t>
      </w:r>
    </w:p>
    <w:p w14:paraId="638A1DAF" w14:textId="56FD93F4" w:rsidR="00E03CFD" w:rsidRDefault="00E03CFD" w:rsidP="00F56305">
      <w:pPr>
        <w:spacing w:line="360" w:lineRule="auto"/>
        <w:ind w:left="0" w:firstLine="720"/>
        <w:rPr>
          <w:szCs w:val="24"/>
        </w:rPr>
      </w:pPr>
      <w:r>
        <w:rPr>
          <w:szCs w:val="24"/>
        </w:rPr>
        <w:t xml:space="preserve">Now, I move to discussing theories of citizenship and their importance to understanding activism and resistance to illiberal governance. </w:t>
      </w:r>
    </w:p>
    <w:p w14:paraId="1BC316C3" w14:textId="77777777" w:rsidR="007B4EA4" w:rsidRPr="00662E51" w:rsidRDefault="007B4EA4" w:rsidP="00F56305">
      <w:pPr>
        <w:spacing w:line="360" w:lineRule="auto"/>
        <w:ind w:left="0"/>
        <w:rPr>
          <w:szCs w:val="24"/>
        </w:rPr>
      </w:pPr>
    </w:p>
    <w:p w14:paraId="264CE7C5" w14:textId="36F52753" w:rsidR="007B4EA4" w:rsidRPr="00662E51" w:rsidRDefault="007B4EA4" w:rsidP="00F56305">
      <w:pPr>
        <w:pStyle w:val="Heading2"/>
      </w:pPr>
      <w:bookmarkStart w:id="172" w:name="_Toc213173934"/>
      <w:bookmarkStart w:id="173" w:name="_Toc216096152"/>
      <w:bookmarkStart w:id="174" w:name="_Toc221184321"/>
      <w:bookmarkStart w:id="175" w:name="_Toc231215242"/>
      <w:r w:rsidRPr="00662E51">
        <w:t>Citizenship</w:t>
      </w:r>
      <w:bookmarkEnd w:id="172"/>
      <w:bookmarkEnd w:id="173"/>
      <w:bookmarkEnd w:id="174"/>
      <w:r w:rsidR="00836748">
        <w:t>:</w:t>
      </w:r>
      <w:bookmarkEnd w:id="175"/>
    </w:p>
    <w:p w14:paraId="7A380A3A" w14:textId="5B231D1F" w:rsidR="00994041" w:rsidRDefault="007B4EA4" w:rsidP="00F56305">
      <w:pPr>
        <w:spacing w:line="360" w:lineRule="auto"/>
        <w:ind w:left="0"/>
        <w:rPr>
          <w:szCs w:val="24"/>
        </w:rPr>
      </w:pPr>
      <w:r w:rsidRPr="00662E51">
        <w:rPr>
          <w:szCs w:val="24"/>
        </w:rPr>
        <w:t xml:space="preserve">Having assessed the state-party nexus and its role in the maintenance and contestation of neoliberal logics, I now move to discussing theories of citizenship. </w:t>
      </w:r>
      <w:r w:rsidRPr="00662E51">
        <w:rPr>
          <w:szCs w:val="24"/>
        </w:rPr>
        <w:lastRenderedPageBreak/>
        <w:t xml:space="preserve">Citizenship is an useful frame through which authoritarian neoliberalism’s reliance on cultural and moral legitimation processes can be understood </w:t>
      </w:r>
      <w:r w:rsidRPr="00662E51">
        <w:rPr>
          <w:szCs w:val="24"/>
        </w:rPr>
        <w:fldChar w:fldCharType="begin"/>
      </w:r>
      <w:r w:rsidR="00213B80">
        <w:rPr>
          <w:szCs w:val="24"/>
        </w:rPr>
        <w:instrText xml:space="preserve"> ADDIN ZOTERO_ITEM CSL_CITATION {"citationID":"A5EEh1BM","properties":{"formattedCitation":"(Kurt-\\uc0\\u214{}zman and Tasan-Kok 2025; J. Ward and Da Costa Vieira 2024)","plainCitation":"(Kurt-Özman and Tasan-Kok 2025; J. Ward and Da Costa Vieira 2024)","noteIndex":0},"citationItems":[{"id":6846,"uris":["http://zotero.org/users/8977980/items/VI6B2WWD"],"itemData":{"id":6846,"type":"article-journal","abstract":"This article explores the authoritarian entrepreneurial approach to urban governance and its transformative influence on community dynamics in Istanbul’s Fikirtepe Urban Regeneration Project. As a large-scale urban redevelopment initiative, Fikirtepe has become a contested ground of competing interests, where strict regulations coexist with flexible planning practices, forming a complex governance model that turns community actors into quasi-developers. We argue that a governance framework characterised by a fusion of authoritarian and entrepreneurial traits, through mechanisms like the Disaster Law No. 6306 and the 2/3 majority rule, embeds profit-seeking behaviours within regulatory practices and state–market alliances, sidelining local authorities, marginalising stakeholders and intensifying conflicts. Unlike typical capitalist frameworks, this model compels both developers and residents to adopt opportunistic, profit-driven strategies, a phenomenon termed ‘entrepreneurial citizenship’. This redefines the roles of urban actors and disrupts traditional planning processes. In connection with this convergence of governance extremes, negotiation-orientated approaches to planning emerge, where all stakeholders, from residents to property developers to policy networks, engage in competitive adaptation. By illustrating the distinctive challenges unique to Fikirtepe, we conclude by evidencing an imperative trend in urban governance, subject to both progressively authoritarian and entrepreneurial turns, and issue an urgent call to examine its broader implications for urban studies.","container-title":"Urban Studies","DOI":"10.1177/00420980251345701","ISSN":"0042-0980","language":"EN","page":"00420980251345701","publisher":"SAGE Publications Ltd","source":"SAGE Journals","title":"Community politics in urban regeneration under authoritarian entrepreneurial governance","author":[{"family":"Kurt-Özman","given":"Ebru"},{"family":"Tasan-Kok","given":"Tuna"}],"issued":{"date-parts":[["2025",7,23]]}}},{"id":6492,"uris":["http://zotero.org/users/8977980/items/BL9N2EIT"],"itemData":{"id":6492,"type":"article-journal","abstract":"In the face of protracted stagnation following the global financial crisis, democratic governments who remain committed to neoliberalism are still required to secure popular support for their programmes. This article evaluates how this dilemma has presaged a shift in the relationship between governmental attempts to maintain neoliberal legitimacy and the imposition of authoritarian reforms. We argue that, in the aftermath of the 2015 refugee crisis, this shift has consisted of the elevation of home affairs policy and the advance of a ‘mutated’ politics of legitimation characterised by explicit forms of ‘othering’ and hostility towards the wider political system. Drawing on the examples of the UK and France, we show how this deepening authoritarianism has manifested along two interconnected axes: (1) increased police powers and suppression of protests and civil liberties; (2) enhanced border security and restrictions on citizenship. Contributing to scholarship on authoritarian neoliberalism, we argue that this elevation of home affairs not only augurs the intensification of authoritarianism, but also reveals how governments have utilised popular resistance to authoritarian reforms to generate new forms of reactionary ‘consent’.","container-title":"Geoforum","DOI":"10.1016/j.geoforum.2024.103942","ISSN":"0016-7185","journalAbbreviation":"Geoforum","page":"103942","source":"ScienceDirect","title":"Authoritarian neoliberalism between Johnson and Jupiter: Declining legitimacy and the elevation of home affairs in post-Brexit Britain and Macron’s France","title-short":"Authoritarian neoliberalism between Johnson and Jupiter","volume":"149","author":[{"family":"Ward","given":"Joseph"},{"family":"Da Costa Vieira","given":"Thomas"}],"issued":{"date-parts":[["2024",2,1]]}}}],"schema":"https://github.com/citation-style-language/schema/raw/master/csl-citation.json"} </w:instrText>
      </w:r>
      <w:r w:rsidRPr="00662E51">
        <w:rPr>
          <w:szCs w:val="24"/>
        </w:rPr>
        <w:fldChar w:fldCharType="separate"/>
      </w:r>
      <w:r w:rsidR="00213B80" w:rsidRPr="00213B80">
        <w:rPr>
          <w:rFonts w:cs="Times New Roman"/>
          <w:kern w:val="0"/>
        </w:rPr>
        <w:t>(Kurt-Özman and Tasan-Kok 2025; J. Ward and Da Costa Vieira 2024)</w:t>
      </w:r>
      <w:r w:rsidRPr="00662E51">
        <w:rPr>
          <w:szCs w:val="24"/>
        </w:rPr>
        <w:fldChar w:fldCharType="end"/>
      </w:r>
      <w:r w:rsidR="0075352B">
        <w:rPr>
          <w:szCs w:val="24"/>
        </w:rPr>
        <w:t xml:space="preserve">. </w:t>
      </w:r>
      <w:r w:rsidR="00772656">
        <w:rPr>
          <w:szCs w:val="24"/>
        </w:rPr>
        <w:t xml:space="preserve">As discussed </w:t>
      </w:r>
      <w:r w:rsidR="00BD3D0A">
        <w:rPr>
          <w:szCs w:val="24"/>
        </w:rPr>
        <w:t xml:space="preserve">in Section 3.3, </w:t>
      </w:r>
      <w:r w:rsidR="005F24CC">
        <w:rPr>
          <w:szCs w:val="24"/>
        </w:rPr>
        <w:t xml:space="preserve">legitimation processes </w:t>
      </w:r>
      <w:r w:rsidR="00AB72EB">
        <w:rPr>
          <w:szCs w:val="24"/>
        </w:rPr>
        <w:t xml:space="preserve">can go hand-in-hand with </w:t>
      </w:r>
      <w:r w:rsidR="005F24CC">
        <w:rPr>
          <w:szCs w:val="24"/>
        </w:rPr>
        <w:t>coercive practices of authoritarianis</w:t>
      </w:r>
      <w:r w:rsidR="00AB72EB">
        <w:rPr>
          <w:szCs w:val="24"/>
        </w:rPr>
        <w:t xml:space="preserve">m. </w:t>
      </w:r>
      <w:r w:rsidR="009F1345">
        <w:rPr>
          <w:szCs w:val="24"/>
        </w:rPr>
        <w:t xml:space="preserve">Da Costa Vieira </w:t>
      </w:r>
      <w:r w:rsidR="009F1345">
        <w:rPr>
          <w:szCs w:val="24"/>
        </w:rPr>
        <w:fldChar w:fldCharType="begin"/>
      </w:r>
      <w:r w:rsidR="00266D04">
        <w:rPr>
          <w:szCs w:val="24"/>
        </w:rPr>
        <w:instrText xml:space="preserve"> ADDIN ZOTERO_ITEM CSL_CITATION {"citationID":"hKXSqk4u","properties":{"formattedCitation":"(2023)","plainCitation":"(2023)","noteIndex":0},"citationItems":[{"id":5759,"uris":["http://zotero.org/users/8977980/items/QJQY2YCJ"],"itemData":{"id":5759,"type":"article-journal","abstract":"In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Vieira","given":"Thomas"}],"issued":{"date-parts":[["2023",10,1]]}},"suppress-author":true}],"schema":"https://github.com/citation-style-language/schema/raw/master/csl-citation.json"} </w:instrText>
      </w:r>
      <w:r w:rsidR="009F1345">
        <w:rPr>
          <w:szCs w:val="24"/>
        </w:rPr>
        <w:fldChar w:fldCharType="separate"/>
      </w:r>
      <w:r w:rsidR="009F1345" w:rsidRPr="00243DC5">
        <w:t>(2023)</w:t>
      </w:r>
      <w:r w:rsidR="009F1345">
        <w:rPr>
          <w:szCs w:val="24"/>
        </w:rPr>
        <w:fldChar w:fldCharType="end"/>
      </w:r>
      <w:r w:rsidR="009F1345">
        <w:rPr>
          <w:szCs w:val="24"/>
        </w:rPr>
        <w:t xml:space="preserve"> </w:t>
      </w:r>
      <w:r w:rsidR="00397E75">
        <w:rPr>
          <w:szCs w:val="24"/>
        </w:rPr>
        <w:t xml:space="preserve">for instance </w:t>
      </w:r>
      <w:r w:rsidR="00243A44">
        <w:rPr>
          <w:szCs w:val="24"/>
        </w:rPr>
        <w:t>demonstrates how Thatcher</w:t>
      </w:r>
      <w:r w:rsidR="001C6B46">
        <w:rPr>
          <w:szCs w:val="24"/>
        </w:rPr>
        <w:t xml:space="preserve">-era </w:t>
      </w:r>
      <w:r w:rsidR="003A6AF0">
        <w:rPr>
          <w:szCs w:val="24"/>
        </w:rPr>
        <w:t xml:space="preserve">propaganda </w:t>
      </w:r>
      <w:r w:rsidR="001C6B46">
        <w:rPr>
          <w:szCs w:val="24"/>
        </w:rPr>
        <w:t>intended to justify anti-labour policies actually complemented the coercive policies of the era</w:t>
      </w:r>
      <w:r w:rsidR="00B50AF4">
        <w:rPr>
          <w:szCs w:val="24"/>
        </w:rPr>
        <w:t>, in that it manufactured consent for destructive policies</w:t>
      </w:r>
      <w:r w:rsidR="001C6B46">
        <w:rPr>
          <w:szCs w:val="24"/>
        </w:rPr>
        <w:t xml:space="preserve">. </w:t>
      </w:r>
      <w:r w:rsidR="003821C3">
        <w:rPr>
          <w:szCs w:val="24"/>
        </w:rPr>
        <w:t xml:space="preserve">This seemingly </w:t>
      </w:r>
      <w:r w:rsidR="00B50AF4">
        <w:rPr>
          <w:szCs w:val="24"/>
        </w:rPr>
        <w:t>conflicting</w:t>
      </w:r>
      <w:r w:rsidR="009F1345">
        <w:rPr>
          <w:szCs w:val="24"/>
        </w:rPr>
        <w:t xml:space="preserve"> </w:t>
      </w:r>
      <w:r w:rsidR="003821C3">
        <w:rPr>
          <w:szCs w:val="24"/>
        </w:rPr>
        <w:t xml:space="preserve">approach </w:t>
      </w:r>
      <w:r w:rsidR="00994041">
        <w:rPr>
          <w:szCs w:val="24"/>
        </w:rPr>
        <w:t>thus emphasises neoliberalism’s internal instability and contradictions.</w:t>
      </w:r>
      <w:r w:rsidR="002B6CD0">
        <w:rPr>
          <w:szCs w:val="24"/>
        </w:rPr>
        <w:t xml:space="preserve"> Citizenship </w:t>
      </w:r>
      <w:r w:rsidR="002B6CD0" w:rsidRPr="002B6CD0">
        <w:rPr>
          <w:szCs w:val="24"/>
        </w:rPr>
        <w:t>can subsequently help explain resistance to AN</w:t>
      </w:r>
      <w:r w:rsidR="00180E1A">
        <w:rPr>
          <w:szCs w:val="24"/>
        </w:rPr>
        <w:t>—</w:t>
      </w:r>
      <w:r w:rsidR="00DA5C93">
        <w:rPr>
          <w:szCs w:val="24"/>
        </w:rPr>
        <w:t xml:space="preserve">like the work of the BFYA, </w:t>
      </w:r>
      <w:r w:rsidR="00180E1A">
        <w:rPr>
          <w:szCs w:val="24"/>
        </w:rPr>
        <w:t xml:space="preserve">which is analysed in Chapter 5—as it </w:t>
      </w:r>
      <w:r w:rsidR="00334AF5">
        <w:rPr>
          <w:szCs w:val="24"/>
        </w:rPr>
        <w:t>provides a</w:t>
      </w:r>
      <w:r w:rsidR="00FA6820">
        <w:rPr>
          <w:szCs w:val="24"/>
        </w:rPr>
        <w:t xml:space="preserve"> framework to interrogate the grounds and impacts of such resistance</w:t>
      </w:r>
      <w:r w:rsidR="00180E1A">
        <w:rPr>
          <w:szCs w:val="24"/>
        </w:rPr>
        <w:t xml:space="preserve">. </w:t>
      </w:r>
      <w:r w:rsidR="009114B3">
        <w:rPr>
          <w:szCs w:val="24"/>
        </w:rPr>
        <w:t xml:space="preserve">This section </w:t>
      </w:r>
      <w:r w:rsidR="00B21A8F">
        <w:rPr>
          <w:szCs w:val="24"/>
        </w:rPr>
        <w:t>therefore discusses how questions of legitimation, activism, and authoritarian neoliberalism fit together.</w:t>
      </w:r>
    </w:p>
    <w:p w14:paraId="6F643B7E" w14:textId="47819A9C" w:rsidR="007B4EA4" w:rsidRPr="00662E51" w:rsidRDefault="007B4EA4" w:rsidP="00994041">
      <w:pPr>
        <w:spacing w:line="360" w:lineRule="auto"/>
        <w:ind w:left="0" w:firstLine="720"/>
        <w:rPr>
          <w:szCs w:val="24"/>
        </w:rPr>
      </w:pPr>
      <w:r w:rsidRPr="00662E51">
        <w:rPr>
          <w:szCs w:val="24"/>
        </w:rPr>
        <w:t xml:space="preserve">As a fundamental and socio-legal concept, citizenship cuts through various scales, spaces, and dynamics of the state. As a legal marker of membership in a nation state, for instance, it determines what rights and obligations individuals have vis-à-vis the state </w:t>
      </w:r>
      <w:r w:rsidRPr="00662E51">
        <w:rPr>
          <w:szCs w:val="24"/>
        </w:rPr>
        <w:fldChar w:fldCharType="begin"/>
      </w:r>
      <w:r w:rsidR="008835AB" w:rsidRPr="00662E51">
        <w:rPr>
          <w:szCs w:val="24"/>
        </w:rPr>
        <w:instrText xml:space="preserve"> ADDIN ZOTERO_ITEM CSL_CITATION {"citationID":"xH5t22v0","properties":{"formattedCitation":"(Brubaker 2002)","plainCitation":"(Brubaker 2002)","noteIndex":0},"citationItems":[{"id":6627,"uris":["http://zotero.org/users/8977980/items/QGF3P8NI"],"itemData":{"id":6627,"type":"book","edition":"6. print","ISBN":"978-0-674-13178-1","language":"eng","number-of-pages":"270","publisher":"Harvard Univ. Press","publisher-place":"Cambridge, Mass.","source":"K10plus ISBN","title":"Citizenship and nationhood in France and Germany","author":[{"family":"Brubaker","given":"Rogers"}],"issued":{"date-parts":[["2002"]]}}}],"schema":"https://github.com/citation-style-language/schema/raw/master/csl-citation.json"} </w:instrText>
      </w:r>
      <w:r w:rsidRPr="00662E51">
        <w:rPr>
          <w:szCs w:val="24"/>
        </w:rPr>
        <w:fldChar w:fldCharType="separate"/>
      </w:r>
      <w:r w:rsidR="0095662D" w:rsidRPr="00662E51">
        <w:t>(Brubaker 2002)</w:t>
      </w:r>
      <w:r w:rsidRPr="00662E51">
        <w:rPr>
          <w:szCs w:val="24"/>
        </w:rPr>
        <w:fldChar w:fldCharType="end"/>
      </w:r>
      <w:r w:rsidRPr="00662E51">
        <w:rPr>
          <w:szCs w:val="24"/>
        </w:rPr>
        <w:t xml:space="preserve">. </w:t>
      </w:r>
      <w:r w:rsidR="007C35F1">
        <w:rPr>
          <w:szCs w:val="24"/>
        </w:rPr>
        <w:t xml:space="preserve">Of chief interest to this thesis is </w:t>
      </w:r>
      <w:r w:rsidR="007C35F1">
        <w:rPr>
          <w:i/>
          <w:iCs/>
          <w:szCs w:val="24"/>
        </w:rPr>
        <w:t>social citizenship</w:t>
      </w:r>
      <w:r w:rsidR="007C35F1">
        <w:rPr>
          <w:szCs w:val="24"/>
        </w:rPr>
        <w:t xml:space="preserve">, </w:t>
      </w:r>
      <w:r w:rsidR="003C27D2">
        <w:rPr>
          <w:szCs w:val="24"/>
        </w:rPr>
        <w:t xml:space="preserve">the right to access a state’s welfare system </w:t>
      </w:r>
      <w:r w:rsidR="003C27D2">
        <w:rPr>
          <w:szCs w:val="24"/>
        </w:rPr>
        <w:fldChar w:fldCharType="begin"/>
      </w:r>
      <w:r w:rsidR="003C27D2">
        <w:rPr>
          <w:szCs w:val="24"/>
        </w:rPr>
        <w:instrText xml:space="preserve"> ADDIN ZOTERO_ITEM CSL_CITATION {"citationID":"EQNEHgNC","properties":{"formattedCitation":"(Marshall 1950)","plainCitation":"(Marshall 1950)","noteIndex":0},"citationItems":[{"id":1695,"uris":["http://zotero.org/users/8977980/items/6QEGG9AM"],"itemData":{"id":1695,"type":"book","publisher":"Cambridge University Press","publisher-place":"Cambridge, UK","title":"Citizenship and social class and other essays","author":[{"family":"Marshall","given":"Thomas Humphrey"}],"issued":{"date-parts":[["1950"]]}}}],"schema":"https://github.com/citation-style-language/schema/raw/master/csl-citation.json"} </w:instrText>
      </w:r>
      <w:r w:rsidR="003C27D2">
        <w:rPr>
          <w:szCs w:val="24"/>
        </w:rPr>
        <w:fldChar w:fldCharType="separate"/>
      </w:r>
      <w:r w:rsidR="003C27D2" w:rsidRPr="003C27D2">
        <w:t>(Marshall 1950)</w:t>
      </w:r>
      <w:r w:rsidR="003C27D2">
        <w:rPr>
          <w:szCs w:val="24"/>
        </w:rPr>
        <w:fldChar w:fldCharType="end"/>
      </w:r>
      <w:r w:rsidR="003C27D2">
        <w:rPr>
          <w:szCs w:val="24"/>
        </w:rPr>
        <w:t xml:space="preserve">. </w:t>
      </w:r>
      <w:r w:rsidRPr="00662E51">
        <w:rPr>
          <w:szCs w:val="24"/>
        </w:rPr>
        <w:t xml:space="preserve">However, having the </w:t>
      </w:r>
      <w:r w:rsidR="0030616E">
        <w:rPr>
          <w:szCs w:val="24"/>
        </w:rPr>
        <w:t xml:space="preserve">legal </w:t>
      </w:r>
      <w:r w:rsidRPr="00662E51">
        <w:rPr>
          <w:szCs w:val="24"/>
        </w:rPr>
        <w:t>status is not enough</w:t>
      </w:r>
      <w:r w:rsidR="0030616E">
        <w:rPr>
          <w:szCs w:val="24"/>
        </w:rPr>
        <w:t xml:space="preserve"> to have full rights</w:t>
      </w:r>
      <w:r w:rsidRPr="00662E51">
        <w:rPr>
          <w:szCs w:val="24"/>
        </w:rPr>
        <w:t xml:space="preserve">, as the capacity to exercise one’s rights is contingent on differing state scales. A citizen’s spaces for direct political action are </w:t>
      </w:r>
      <w:r w:rsidR="00891A11">
        <w:rPr>
          <w:szCs w:val="24"/>
        </w:rPr>
        <w:t>for instance</w:t>
      </w:r>
      <w:r w:rsidRPr="00662E51">
        <w:rPr>
          <w:szCs w:val="24"/>
        </w:rPr>
        <w:t xml:space="preserve"> different than a non-citizen’s—and, as is expressed in Chapter </w:t>
      </w:r>
      <w:r w:rsidR="004B3A55" w:rsidRPr="00662E51">
        <w:rPr>
          <w:szCs w:val="24"/>
        </w:rPr>
        <w:t>5</w:t>
      </w:r>
      <w:r w:rsidRPr="00662E51">
        <w:rPr>
          <w:szCs w:val="24"/>
        </w:rPr>
        <w:t xml:space="preserve">, different </w:t>
      </w:r>
      <w:r w:rsidRPr="00662E51">
        <w:rPr>
          <w:i/>
          <w:iCs/>
          <w:szCs w:val="24"/>
        </w:rPr>
        <w:t xml:space="preserve">types </w:t>
      </w:r>
      <w:r w:rsidRPr="00662E51">
        <w:rPr>
          <w:szCs w:val="24"/>
        </w:rPr>
        <w:t>of citizens have different capacities for direct action. Research into neoliberal citizenship has reflected how citizenship</w:t>
      </w:r>
      <w:r w:rsidR="00891A11">
        <w:rPr>
          <w:szCs w:val="24"/>
        </w:rPr>
        <w:t xml:space="preserve"> (</w:t>
      </w:r>
      <w:r w:rsidRPr="00662E51">
        <w:rPr>
          <w:szCs w:val="24"/>
        </w:rPr>
        <w:t>and, importantly, social citizenship’s associated welfare rights</w:t>
      </w:r>
      <w:r w:rsidR="00891A11">
        <w:rPr>
          <w:szCs w:val="24"/>
        </w:rPr>
        <w:t xml:space="preserve">) </w:t>
      </w:r>
      <w:r w:rsidRPr="00662E51">
        <w:rPr>
          <w:szCs w:val="24"/>
        </w:rPr>
        <w:t xml:space="preserve">has become uneven, with certain subclasses increasing in their capacities and rights </w:t>
      </w:r>
      <w:r w:rsidRPr="00662E51">
        <w:rPr>
          <w:szCs w:val="24"/>
        </w:rPr>
        <w:fldChar w:fldCharType="begin"/>
      </w:r>
      <w:r w:rsidR="008835AB" w:rsidRPr="00662E51">
        <w:rPr>
          <w:szCs w:val="24"/>
        </w:rPr>
        <w:instrText xml:space="preserve"> ADDIN ZOTERO_ITEM CSL_CITATION {"citationID":"q8qcB5Xx","properties":{"formattedCitation":"(Joppke 2021; Maestri 2017; Sparke 2006)","plainCitation":"(Joppke 2021; Maestri 2017; Sparke 2006)","noteIndex":0},"citationItems":[{"id":3287,"uris":["http://zotero.org/users/8977980/items/6Q7IKMY6"],"itemData":{"id":3287,"type":"article-journal","abstract":"I argue that Marion Fourcade`s “ordinal citizenship”, which is an obsession with scoring and ranking, is part of a larger change of citizenship, from liberal to neoliberal. This is a citizenship whose equality promise has been hollowed-out by the inequalities of global capitalism, and in which not only redistributive benefits (once called “social rights”) but even the access to citizenship itself (qua naturalization) are tied to individual merit and performance. If T.H. Marshall had hailed the evolution of liberal citizenship, with its social rights crown, as one from “contract to status”, thus reversing H.S. Maine`s famous “movement of the progressive societies”, the arrival of neoliberal citizenship marks the “reverse reverse”, back from status to capitalism`s original position of contract.","container-title":"The British Journal of Sociology","DOI":"10.1111/1468-4446.12825","ISSN":"1468-4446","issue":"2","language":"en","note":"_eprint: https://onlinelibrary.wiley.com/doi/pdf/10.1111/1468-4446.12825","page":"181-189","source":"Wiley Online Library","title":"From liberal to neoliberal citizenship: A commentary on Marion Fourcade","title-short":"From liberal to neoliberal citizenship","volume":"72","author":[{"family":"Joppke","given":"Christian"}],"issued":{"date-parts":[["2021"]]}}},{"id":6755,"uris":["http://zotero.org/users/8977980/items/U2SWC4S9"],"itemData":{"id":6755,"type":"article-journal","abstract":"What is the political subjectivity of the Roma living in Italian camps? Although the camp prevents the Roma from enjoying a series of rights, it does not fully determine their citizenship status. Indeed, citizenship is always contested and evolving through the interaction of a plurality of actors. By understanding the camp as an ‘assemblage space’, this article aims to unpack the complex political subjectivities of Roma camps-dwellers and to reflect on the struggles and ambiguities characterising the citizenship-making process in camp spaces. Through in-depth interviews conducted with members of non-governmental organisations and social movements in the city of Rome, I investigate the contention over meanings produced around the space of the camp and the Roma political subjectivities. I finally identify and discuss two framing strategies constituting the Roma as right bearers and supporting their demand to housing inclusion: a neoliberal and a ‘right to the city’ discourse that generate entrepreneurial and urban subjects.","container-title":"Citizenship Studies","DOI":"10.1080/13621025.2017.1341656","ISSN":"1362-1025","issue":"6","note":"_eprint: https://doi.org/10.1080/13621025.2017.1341656","page":"640-656","publisher":"Routledge","source":"Taylor and Francis+NEJM","title":"Struggles and ambiguities over political subjectivities in the camp: Roma camp dwellers between neoliberal and urban citizenship in Italy","title-short":"Struggles and ambiguities over political subjectivities in the camp","volume":"21","author":[{"family":"Maestri","given":"Gaja"}],"issued":{"date-parts":[["2017",8,18]]}}},{"id":7067,"uris":["http://zotero.org/users/8977980/items/LYFS5TTM"],"itemData":{"id":7067,"type":"article-journal","abstract":"In this paper I explore what the development of an expedited border-crossing program called NEXUS reveals about the changing political geography of citizenship in contemporary North America. Developed after 9/11 as a high-tech solution to competing demands for both heightened border security and ongoing cross-border business movement, NEXUS and other so-called Smart Border programs exemplify how a business class civil citizenship has been extended across transnational space at the very same time as economic liberalization and national securitization have curtailed citizenship for others. The biopolitical production of this privileged business class citizenship is explored vis-à-vis the macroscale entrenchment of neoliberal policy through NAFTA and the microscale production of entrepreneurial selfhood. By examining how this transnational privileging of business class rights has happened in an American context of exclusionary nationalism, the paper also explores the relationship between neoliberalism and the development of new spaces of exception defined by exclusion from civil rights. Examples of such exclusion include ‘expedited removal’ and ‘extraordinary rendition’, two forms of American anti-immigrant control that have been developed in concert with expedited border-crossing programs. Examining these forms of expedited exclusion and comparing the carceral cosmopolitanism they produce with the soft cosmopolitanism of the NEXUS lane, the paper ends by offering an argument about the relationship between the neoliberal privileging of transnational mobility rights and its exclusionary counterparts.","container-title":"Political Geography","DOI":"10.1016/j.polgeo.2005.10.002","ISSN":"0962-6298","issue":"2","journalAbbreviation":"Political Geography","page":"151-180","source":"ScienceDirect","title":"A neoliberal nexus: Economy, security and the biopolitics of citizenship on the border","title-short":"A neoliberal nexus","volume":"25","author":[{"family":"Sparke","given":"Matthew B."}],"issued":{"date-parts":[["2006",2,1]]}}}],"schema":"https://github.com/citation-style-language/schema/raw/master/csl-citation.json"} </w:instrText>
      </w:r>
      <w:r w:rsidRPr="00662E51">
        <w:rPr>
          <w:szCs w:val="24"/>
        </w:rPr>
        <w:fldChar w:fldCharType="separate"/>
      </w:r>
      <w:r w:rsidR="0095662D" w:rsidRPr="00662E51">
        <w:t>(Joppke 2021; Maestri 2017; Sparke 2006)</w:t>
      </w:r>
      <w:r w:rsidRPr="00662E51">
        <w:rPr>
          <w:szCs w:val="24"/>
        </w:rPr>
        <w:fldChar w:fldCharType="end"/>
      </w:r>
      <w:r w:rsidRPr="00662E51">
        <w:rPr>
          <w:szCs w:val="24"/>
        </w:rPr>
        <w:t>. As strong social citizenship is one of the conditions for democracy, the erosion of the welfare state is bound up with the shift to authoritarian neoliberalism</w:t>
      </w:r>
      <w:r w:rsidR="00802421">
        <w:rPr>
          <w:szCs w:val="24"/>
        </w:rPr>
        <w:t xml:space="preserve">. </w:t>
      </w:r>
      <w:r w:rsidR="00391BCF">
        <w:rPr>
          <w:szCs w:val="24"/>
        </w:rPr>
        <w:t xml:space="preserve">As Somers </w:t>
      </w:r>
      <w:r w:rsidR="00391BCF" w:rsidRPr="00662E51">
        <w:rPr>
          <w:szCs w:val="24"/>
        </w:rPr>
        <w:fldChar w:fldCharType="begin"/>
      </w:r>
      <w:r w:rsidR="00FB73EA">
        <w:rPr>
          <w:szCs w:val="24"/>
        </w:rPr>
        <w:instrText xml:space="preserve"> ADDIN ZOTERO_ITEM CSL_CITATION {"citationID":"avDL7gsw","properties":{"formattedCitation":"(2022)","plainCitation":"(2022)","noteIndex":0},"citationItems":[{"id":7066,"uris":["http://zotero.org/users/8977980/items/QEI6AUPF"],"itemData":{"id":7066,"type":"article-journal","abstract":"Twenty-five years ago the new citizenship studies rightly predicted the egregious inegalitarian effects of neoliberalism’s dismantling of the social welfare state, but misrecognised the cause as a retreat of the state and the return of unfettered market forces. That continuing misrecognition obscures the roots of today’s surging authoritarianism and the dedemocratization of citizenship. The attack on social citizenship was instead a battle over control of the predistributive powers that engineer the market economy. Because social citizenship is not merely an effect of democracy but also one of its conditions, neoliberalism weaponized the moral economy of market justice and the mechanisms of dedemocratization against expanded social rights to give cover to its now increasingly successful war against democratic citizenship.","container-title":"Citizenship Studies","DOI":"10.1080/13621025.2022.2091250","ISSN":"1362-1025","issue":"4-5","note":"_eprint: https://doi.org/10.1080/13621025.2022.2091250","page":"661-674","publisher":"Routledge","source":"Taylor and Francis+NEJM","title":"Dedemocratizing citizenship: how neoliberalism used market justice to move from welfare queening to authoritarianism in 25 short years","title-short":"Dedemocratizing citizenship","volume":"26","author":[{"family":"Somers","given":"Margaret R."}],"issued":{"date-parts":[["2022",7,4]]}},"suppress-author":true}],"schema":"https://github.com/citation-style-language/schema/raw/master/csl-citation.json"} </w:instrText>
      </w:r>
      <w:r w:rsidR="00391BCF" w:rsidRPr="00662E51">
        <w:rPr>
          <w:szCs w:val="24"/>
        </w:rPr>
        <w:fldChar w:fldCharType="separate"/>
      </w:r>
      <w:r w:rsidR="00FB73EA" w:rsidRPr="00FB73EA">
        <w:t>(2022)</w:t>
      </w:r>
      <w:r w:rsidR="00391BCF" w:rsidRPr="00662E51">
        <w:rPr>
          <w:szCs w:val="24"/>
        </w:rPr>
        <w:fldChar w:fldCharType="end"/>
      </w:r>
      <w:r w:rsidR="00391BCF">
        <w:rPr>
          <w:szCs w:val="24"/>
        </w:rPr>
        <w:t xml:space="preserve"> argues, </w:t>
      </w:r>
      <w:r w:rsidR="0061329F">
        <w:rPr>
          <w:szCs w:val="24"/>
        </w:rPr>
        <w:t>because market logic</w:t>
      </w:r>
      <w:r w:rsidR="00C45FD7">
        <w:rPr>
          <w:szCs w:val="24"/>
        </w:rPr>
        <w:t xml:space="preserve"> </w:t>
      </w:r>
      <w:r w:rsidR="00532F4F">
        <w:rPr>
          <w:szCs w:val="24"/>
        </w:rPr>
        <w:t xml:space="preserve">requires </w:t>
      </w:r>
      <w:r w:rsidR="00C45FD7">
        <w:rPr>
          <w:szCs w:val="24"/>
        </w:rPr>
        <w:t xml:space="preserve">a compliant citizenry, proponents of neoliberalism have actively worked to delink social citizenship and political rights, reducing both. </w:t>
      </w:r>
      <w:r w:rsidRPr="00662E51">
        <w:rPr>
          <w:szCs w:val="24"/>
        </w:rPr>
        <w:t xml:space="preserve">Even in traditionally authoritarian states like China, uneven citizenship statuses work to bolster existing regimes of accumulation, as Zhang </w:t>
      </w:r>
      <w:r w:rsidRPr="00662E51">
        <w:rPr>
          <w:szCs w:val="24"/>
        </w:rPr>
        <w:fldChar w:fldCharType="begin"/>
      </w:r>
      <w:r w:rsidR="008835AB" w:rsidRPr="00662E51">
        <w:rPr>
          <w:szCs w:val="24"/>
        </w:rPr>
        <w:instrText xml:space="preserve"> ADDIN ZOTERO_ITEM CSL_CITATION {"citationID":"qzecmgjW","properties":{"formattedCitation":"(2018)","plainCitation":"(2018)","noteIndex":0},"citationItems":[{"id":7069,"uris":["http://zotero.org/users/8977980/items/FTPEZYIW"],"itemData":{"id":7069,"type":"article-journal","abstract":"Drawing on insights from critical citizenship studies and governmentality studies, this article explores and theorizes the changing mobility regime in China and its centerpiece, the household registration (hukou) system, from a global comparative perspective. First, we conceptualize the hukou system within the broader problematique of the spatiality of social citizenship and show how it enables processes of boundary-making that are comparable to the policing of the migrant poor in pre-welfare-state Europe and the subordination of international migrant labor in the contemporary world. Second, we argue that the shifting mobility regime envisaged by the current hukou reforms and new urbanization, which moves away from the dualistic structure of inclusion/exclusion to a multiplication of legal statuses and boundaries of citizenship, embodies a neoliberal-authoritarian rationality of government. Engaging with the debate on the hybrid governmentalities of post-socialist China, we focus particularly on new techniques of mobility management in China’s first-tier cities, whose national positioning resembles that of Northern countries in the global hierarchy of power. Through examples of the point-based system and the strategy of functional dispersal, we demonstrate how these globalizing cities actively engineer a highly polarized mobility regime in their pursuit of generating globally competitive spaces. The article contributes to the critique of methodological nationalism by denaturalizing national citizenship as a pre-given point of departure in examining mobility and socio-spatial boundaries. It also offers new insights into the converging trends of neoliberal authoritarianism and authoritarian neoliberalism in governing the ‘glocal’ hierarchies of citizenship and mobility.","container-title":"Citizenship Studies","DOI":"10.1080/13621025.2018.1531824","ISSN":"1362-1025","issue":"8","note":"_eprint: https://doi.org/10.1080/13621025.2018.1531824","page":"855-881","publisher":"Routledge","source":"Taylor and Francis+NEJM","title":"Governing neoliberal authoritarian citizenship: theorizing hukou and the changing mobility regime in China","title-short":"Governing neoliberal authoritarian citizenship","volume":"22","author":[{"family":"Zhang","given":"Chenchen"}],"issued":{"date-parts":[["2018",11,17]]}},"suppress-author":true}],"schema":"https://github.com/citation-style-language/schema/raw/master/csl-citation.json"} </w:instrText>
      </w:r>
      <w:r w:rsidRPr="00662E51">
        <w:rPr>
          <w:szCs w:val="24"/>
        </w:rPr>
        <w:fldChar w:fldCharType="separate"/>
      </w:r>
      <w:r w:rsidR="0095662D" w:rsidRPr="00662E51">
        <w:t>(2018)</w:t>
      </w:r>
      <w:r w:rsidRPr="00662E51">
        <w:rPr>
          <w:szCs w:val="24"/>
        </w:rPr>
        <w:fldChar w:fldCharType="end"/>
      </w:r>
      <w:r w:rsidRPr="00662E51">
        <w:rPr>
          <w:szCs w:val="24"/>
        </w:rPr>
        <w:t xml:space="preserve"> finds in research on </w:t>
      </w:r>
      <w:r w:rsidRPr="00662E51">
        <w:rPr>
          <w:szCs w:val="24"/>
        </w:rPr>
        <w:lastRenderedPageBreak/>
        <w:t>rural-to-urban internal migrants.</w:t>
      </w:r>
      <w:r w:rsidR="00BB6340">
        <w:rPr>
          <w:szCs w:val="24"/>
        </w:rPr>
        <w:t xml:space="preserve"> </w:t>
      </w:r>
      <w:r w:rsidRPr="00662E51">
        <w:rPr>
          <w:szCs w:val="24"/>
        </w:rPr>
        <w:t xml:space="preserve">These two examples indicate the interdependence of AN, moral and cultural discourses, and the rights and obligations of citizens living in illiberal times. </w:t>
      </w:r>
      <w:r w:rsidR="00C142A2">
        <w:rPr>
          <w:szCs w:val="24"/>
        </w:rPr>
        <w:t>As will be analysed in Section 3.</w:t>
      </w:r>
      <w:r w:rsidR="0093198B">
        <w:rPr>
          <w:szCs w:val="24"/>
        </w:rPr>
        <w:t>4</w:t>
      </w:r>
      <w:r w:rsidR="00C142A2">
        <w:rPr>
          <w:szCs w:val="24"/>
        </w:rPr>
        <w:t>.2</w:t>
      </w:r>
      <w:r w:rsidR="008C1DA5">
        <w:rPr>
          <w:szCs w:val="24"/>
        </w:rPr>
        <w:t xml:space="preserve"> using Isin’s </w:t>
      </w:r>
      <w:r w:rsidR="008C1DA5">
        <w:rPr>
          <w:szCs w:val="24"/>
        </w:rPr>
        <w:fldChar w:fldCharType="begin"/>
      </w:r>
      <w:r w:rsidR="008C1DA5">
        <w:rPr>
          <w:szCs w:val="24"/>
        </w:rPr>
        <w:instrText xml:space="preserve"> ADDIN ZOTERO_ITEM CSL_CITATION {"citationID":"Gr8MtGue","properties":{"formattedCitation":"(2008)","plainCitation":"(2008)","noteIndex":0},"citationItems":[{"id":256,"uris":["http://zotero.org/users/8977980/items/ZRWP6PIY"],"itemData":{"id":256,"type":"chapter","abstract":"Politics,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Marc"}],"author":[{"family":"Isin","given":"Engin"}],"accessed":{"date-parts":[["2022",2,3]]},"issued":{"date-parts":[["2008"]]}},"suppress-author":true}],"schema":"https://github.com/citation-style-language/schema/raw/master/csl-citation.json"} </w:instrText>
      </w:r>
      <w:r w:rsidR="008C1DA5">
        <w:rPr>
          <w:szCs w:val="24"/>
        </w:rPr>
        <w:fldChar w:fldCharType="separate"/>
      </w:r>
      <w:r w:rsidR="008C1DA5" w:rsidRPr="008C1DA5">
        <w:t>(2008)</w:t>
      </w:r>
      <w:r w:rsidR="008C1DA5">
        <w:rPr>
          <w:szCs w:val="24"/>
        </w:rPr>
        <w:fldChar w:fldCharType="end"/>
      </w:r>
      <w:r w:rsidR="003B5E99">
        <w:rPr>
          <w:szCs w:val="24"/>
        </w:rPr>
        <w:t xml:space="preserve"> acts of citizenship framework, citizenship</w:t>
      </w:r>
      <w:r w:rsidR="004C3BCA">
        <w:rPr>
          <w:szCs w:val="24"/>
        </w:rPr>
        <w:t xml:space="preserve"> is never static. </w:t>
      </w:r>
      <w:r w:rsidRPr="00662E51">
        <w:rPr>
          <w:szCs w:val="24"/>
        </w:rPr>
        <w:t>Beyond being a simple entry point to understanding how AN works at the</w:t>
      </w:r>
      <w:r w:rsidR="00184066">
        <w:rPr>
          <w:szCs w:val="24"/>
        </w:rPr>
        <w:t xml:space="preserve"> national scale</w:t>
      </w:r>
      <w:r w:rsidRPr="00662E51">
        <w:rPr>
          <w:szCs w:val="24"/>
        </w:rPr>
        <w:t xml:space="preserve">, citizenship studies allows me to further explore the </w:t>
      </w:r>
      <w:r w:rsidR="00372F39">
        <w:rPr>
          <w:szCs w:val="24"/>
        </w:rPr>
        <w:t>multiscalar</w:t>
      </w:r>
      <w:r w:rsidRPr="00662E51">
        <w:rPr>
          <w:szCs w:val="24"/>
        </w:rPr>
        <w:t xml:space="preserve"> nature of contemporary illiberalism. </w:t>
      </w:r>
    </w:p>
    <w:p w14:paraId="734B4330" w14:textId="5A7CA0EB" w:rsidR="007B4EA4" w:rsidRPr="00662E51" w:rsidRDefault="007B4EA4" w:rsidP="00F56305">
      <w:pPr>
        <w:spacing w:line="360" w:lineRule="auto"/>
        <w:ind w:left="0" w:firstLine="720"/>
        <w:rPr>
          <w:szCs w:val="24"/>
        </w:rPr>
      </w:pPr>
      <w:r w:rsidRPr="00662E51">
        <w:rPr>
          <w:szCs w:val="24"/>
        </w:rPr>
        <w:t xml:space="preserve">Moreover, as I explore in Chapter </w:t>
      </w:r>
      <w:r w:rsidR="004B3A55" w:rsidRPr="00662E51">
        <w:rPr>
          <w:szCs w:val="24"/>
        </w:rPr>
        <w:t>5</w:t>
      </w:r>
      <w:r w:rsidRPr="00662E51">
        <w:rPr>
          <w:szCs w:val="24"/>
        </w:rPr>
        <w:t xml:space="preserve"> with an examination of the Broadwater Farm Youth Association (BFYA), the angle of citizenship also allows me to interpret activism in contemporary times. Citizenship is frequently a space </w:t>
      </w:r>
      <w:r w:rsidRPr="00662E51">
        <w:rPr>
          <w:i/>
          <w:iCs/>
          <w:szCs w:val="24"/>
        </w:rPr>
        <w:t>through which</w:t>
      </w:r>
      <w:r w:rsidRPr="00662E51">
        <w:rPr>
          <w:szCs w:val="24"/>
        </w:rPr>
        <w:t xml:space="preserve"> claims to both improved conditions and transformed political subjectivities can be advanced. In addition to reviewing conceptions of citizenship and its changes over time, this section also considers the acts of citizenship concept </w:t>
      </w:r>
      <w:r w:rsidRPr="00662E51">
        <w:rPr>
          <w:szCs w:val="24"/>
        </w:rPr>
        <w:fldChar w:fldCharType="begin"/>
      </w:r>
      <w:r w:rsidR="008E2F28">
        <w:rPr>
          <w:szCs w:val="24"/>
        </w:rPr>
        <w:instrText xml:space="preserve"> ADDIN ZOTERO_ITEM CSL_CITATION {"citationID":"jqOp9lWt","properties":{"formattedCitation":"(Isin 2008)","plainCitation":"(Isin 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Marc"}],"author":[{"family":"Isin","given":"Engin"}],"accessed":{"date-parts":[["2022",2,3]]},"issued":{"date-parts":[["2008"]]}}}],"schema":"https://github.com/citation-style-language/schema/raw/master/csl-citation.json"} </w:instrText>
      </w:r>
      <w:r w:rsidRPr="00662E51">
        <w:rPr>
          <w:szCs w:val="24"/>
        </w:rPr>
        <w:fldChar w:fldCharType="separate"/>
      </w:r>
      <w:r w:rsidR="008E2F28" w:rsidRPr="008E2F28">
        <w:t>(Isin 2008)</w:t>
      </w:r>
      <w:r w:rsidRPr="00662E51">
        <w:rPr>
          <w:szCs w:val="24"/>
        </w:rPr>
        <w:fldChar w:fldCharType="end"/>
      </w:r>
      <w:r w:rsidRPr="00662E51">
        <w:rPr>
          <w:szCs w:val="24"/>
        </w:rPr>
        <w:t xml:space="preserve"> as a helpful framework to interpret the particular claims and discourses of the BFYA, much of which was oriented towards recognition from the state (Chapter </w:t>
      </w:r>
      <w:r w:rsidR="00C775DE" w:rsidRPr="00662E51">
        <w:rPr>
          <w:szCs w:val="24"/>
        </w:rPr>
        <w:t>5</w:t>
      </w:r>
      <w:r w:rsidRPr="00662E51">
        <w:rPr>
          <w:szCs w:val="24"/>
        </w:rPr>
        <w:t xml:space="preserve">). The section ends with a discussion of critique of the theories of acts before concluding. </w:t>
      </w:r>
    </w:p>
    <w:p w14:paraId="295D705D" w14:textId="77777777" w:rsidR="007B4EA4" w:rsidRPr="00662E51" w:rsidRDefault="007B4EA4" w:rsidP="00F56305">
      <w:pPr>
        <w:spacing w:line="360" w:lineRule="auto"/>
        <w:ind w:left="0"/>
        <w:rPr>
          <w:szCs w:val="24"/>
        </w:rPr>
      </w:pPr>
    </w:p>
    <w:p w14:paraId="00AC773B" w14:textId="6FFB788D" w:rsidR="007B4EA4" w:rsidRPr="00662E51" w:rsidRDefault="007B4EA4" w:rsidP="00F56305">
      <w:pPr>
        <w:pStyle w:val="Heading3"/>
      </w:pPr>
      <w:bookmarkStart w:id="176" w:name="_Toc213173935"/>
      <w:bookmarkStart w:id="177" w:name="_Toc221184322"/>
      <w:bookmarkStart w:id="178" w:name="_Toc231215243"/>
      <w:r w:rsidRPr="00662E51">
        <w:t>What is citizenship?</w:t>
      </w:r>
      <w:bookmarkEnd w:id="176"/>
      <w:r w:rsidR="003C3360">
        <w:t xml:space="preserve"> How has it changed?</w:t>
      </w:r>
      <w:bookmarkEnd w:id="177"/>
      <w:bookmarkEnd w:id="178"/>
    </w:p>
    <w:p w14:paraId="7366C4EF" w14:textId="57F1318B" w:rsidR="007B4EA4" w:rsidRPr="00662E51" w:rsidRDefault="007B4EA4" w:rsidP="00F56305">
      <w:pPr>
        <w:spacing w:line="360" w:lineRule="auto"/>
        <w:ind w:left="0" w:firstLine="720"/>
        <w:rPr>
          <w:szCs w:val="24"/>
        </w:rPr>
      </w:pPr>
      <w:r w:rsidRPr="00662E51">
        <w:rPr>
          <w:szCs w:val="24"/>
        </w:rPr>
        <w:t xml:space="preserve">Following Marshall’s (1950) classical description of citizenship as a status that guarantees access to three types of rights (civil, political, and social), modern scholarship has split citizenship in four core components: membership, legal status, rights, and participation. A resident can be included in some but not all, and a ‘full citizen’ is wholly included </w:t>
      </w:r>
      <w:r w:rsidRPr="00662E51">
        <w:rPr>
          <w:szCs w:val="24"/>
        </w:rPr>
        <w:fldChar w:fldCharType="begin"/>
      </w:r>
      <w:r w:rsidR="008835AB" w:rsidRPr="00662E51">
        <w:rPr>
          <w:szCs w:val="24"/>
        </w:rPr>
        <w:instrText xml:space="preserve"> ADDIN ZOTERO_ITEM CSL_CITATION {"citationID":"Q0jVjCvN","properties":{"formattedCitation":"(Stokke 2017)","plainCitation":"(Stokke 2017)","noteIndex":0},"citationItems":[{"id":1483,"uris":["http://zotero.org/users/8977980/items/SAUQAX8H"],"itemData":{"id":1483,"type":"article-journal","abstract":"In the theory-oriented article, the author discusses the meaning of politics of citizenship. He argues that a broad conception of citizenship may provide an integral framework for studying political contentions over cultural, legal, social and political exclusion and inclusion. He starts out from an identification of four key dimensions of citizenship and defines politics of citizenship as contentious interactions over the institutionalisation and realisation of substantive membership, legal status, rights and participation. This is followed by a review of cultural and global turns within the liberal nation-state model of citizenship, demonstrating that the form and substance of citizenship reflect contextual power relations and political contentions. Following from this observation, he discusses the issues at stake in citizenship politics, with special attention to three interrelated dimensions: politics of recognition for cultural inclusion, politics of redistribution for social justice, and politics of representation for political inclusion. This discussion points to fundamental tensions and strategic dilemmas, but also to points of convergence around affirmative and transformative remedies for injustice.","container-title":"Norsk Geografisk Tidsskrift - Norwegian Journal of Geography","DOI":"10.1080/00291951.2017.1369454","ISSN":"0029-1951","issue":"4","note":"_eprint: https://doi.org/10.1080/00291951.2017.1369454","page":"193-207","publisher":"Routledge","source":"Taylor and Francis+NEJM","title":"Politics of citizenship: Towards an analytical framework","title-short":"Politics of citizenship","volume":"71","author":[{"family":"Stokke","given":"Kristian"}],"issued":{"date-parts":[["2017",8,8]]}}}],"schema":"https://github.com/citation-style-language/schema/raw/master/csl-citation.json"} </w:instrText>
      </w:r>
      <w:r w:rsidRPr="00662E51">
        <w:rPr>
          <w:szCs w:val="24"/>
        </w:rPr>
        <w:fldChar w:fldCharType="separate"/>
      </w:r>
      <w:r w:rsidR="0095662D" w:rsidRPr="00662E51">
        <w:t>(Stokke 2017)</w:t>
      </w:r>
      <w:r w:rsidRPr="00662E51">
        <w:rPr>
          <w:szCs w:val="24"/>
        </w:rPr>
        <w:fldChar w:fldCharType="end"/>
      </w:r>
      <w:r w:rsidRPr="00662E51">
        <w:rPr>
          <w:szCs w:val="24"/>
        </w:rPr>
        <w:t xml:space="preserve">. Brubaker’s </w:t>
      </w:r>
      <w:r w:rsidRPr="00662E51">
        <w:rPr>
          <w:szCs w:val="24"/>
        </w:rPr>
        <w:fldChar w:fldCharType="begin"/>
      </w:r>
      <w:r w:rsidR="008835AB" w:rsidRPr="00662E51">
        <w:rPr>
          <w:szCs w:val="24"/>
        </w:rPr>
        <w:instrText xml:space="preserve"> ADDIN ZOTERO_ITEM CSL_CITATION {"citationID":"GXWImIqp","properties":{"formattedCitation":"(2002)","plainCitation":"(2002)","noteIndex":0},"citationItems":[{"id":6627,"uris":["http://zotero.org/users/8977980/items/QGF3P8NI"],"itemData":{"id":6627,"type":"book","edition":"6. print","ISBN":"978-0-674-13178-1","language":"eng","number-of-pages":"270","publisher":"Harvard Univ. Press","publisher-place":"Cambridge, Mass.","source":"K10plus ISBN","title":"Citizenship and nationhood in France and Germany","author":[{"family":"Brubaker","given":"Rogers"}],"issued":{"date-parts":[["2002"]]}},"label":"page","suppress-author":true}],"schema":"https://github.com/citation-style-language/schema/raw/master/csl-citation.json"} </w:instrText>
      </w:r>
      <w:r w:rsidRPr="00662E51">
        <w:rPr>
          <w:szCs w:val="24"/>
        </w:rPr>
        <w:fldChar w:fldCharType="separate"/>
      </w:r>
      <w:r w:rsidR="0095662D" w:rsidRPr="00662E51">
        <w:t>(2002)</w:t>
      </w:r>
      <w:r w:rsidRPr="00662E51">
        <w:rPr>
          <w:szCs w:val="24"/>
        </w:rPr>
        <w:fldChar w:fldCharType="end"/>
      </w:r>
      <w:r w:rsidRPr="00662E51">
        <w:rPr>
          <w:szCs w:val="24"/>
        </w:rPr>
        <w:t xml:space="preserve"> classic book on citizenship speaks to </w:t>
      </w:r>
      <w:r w:rsidRPr="00662E51">
        <w:rPr>
          <w:i/>
          <w:iCs/>
          <w:szCs w:val="24"/>
        </w:rPr>
        <w:t>membership</w:t>
      </w:r>
      <w:r w:rsidRPr="00662E51">
        <w:rPr>
          <w:szCs w:val="24"/>
        </w:rPr>
        <w:t xml:space="preserve">: citizens are those assumed to be members of a defined, bounded, and stable nation state. Although, in practice, membership is not deployed equally, it is a foundation for </w:t>
      </w:r>
      <w:r w:rsidRPr="00662E51">
        <w:rPr>
          <w:i/>
          <w:iCs/>
          <w:szCs w:val="24"/>
        </w:rPr>
        <w:t>legal status.</w:t>
      </w:r>
      <w:r w:rsidRPr="00662E51">
        <w:rPr>
          <w:szCs w:val="24"/>
        </w:rPr>
        <w:t xml:space="preserve"> Associated with status and membership is the set of </w:t>
      </w:r>
      <w:r w:rsidRPr="00662E51">
        <w:rPr>
          <w:i/>
          <w:iCs/>
          <w:szCs w:val="24"/>
        </w:rPr>
        <w:t>rights</w:t>
      </w:r>
      <w:r w:rsidRPr="00662E51">
        <w:rPr>
          <w:szCs w:val="24"/>
        </w:rPr>
        <w:t xml:space="preserve"> that follows, which range from voting to access to welfare</w:t>
      </w:r>
      <w:r w:rsidR="00155E87">
        <w:rPr>
          <w:szCs w:val="24"/>
        </w:rPr>
        <w:t xml:space="preserve">. </w:t>
      </w:r>
      <w:r w:rsidRPr="00662E51">
        <w:rPr>
          <w:szCs w:val="24"/>
        </w:rPr>
        <w:t xml:space="preserve">Stokke </w:t>
      </w:r>
      <w:r w:rsidRPr="00662E51">
        <w:rPr>
          <w:szCs w:val="24"/>
        </w:rPr>
        <w:fldChar w:fldCharType="begin"/>
      </w:r>
      <w:r w:rsidR="008835AB" w:rsidRPr="00662E51">
        <w:rPr>
          <w:szCs w:val="24"/>
        </w:rPr>
        <w:instrText xml:space="preserve"> ADDIN ZOTERO_ITEM CSL_CITATION {"citationID":"Jjf7y18Q","properties":{"formattedCitation":"(2017)","plainCitation":"(2017)","noteIndex":0},"citationItems":[{"id":1483,"uris":["http://zotero.org/users/8977980/items/SAUQAX8H"],"itemData":{"id":1483,"type":"article-journal","abstract":"In the theory-oriented article, the author discusses the meaning of politics of citizenship. He argues that a broad conception of citizenship may provide an integral framework for studying political contentions over cultural, legal, social and political exclusion and inclusion. He starts out from an identification of four key dimensions of citizenship and defines politics of citizenship as contentious interactions over the institutionalisation and realisation of substantive membership, legal status, rights and participation. This is followed by a review of cultural and global turns within the liberal nation-state model of citizenship, demonstrating that the form and substance of citizenship reflect contextual power relations and political contentions. Following from this observation, he discusses the issues at stake in citizenship politics, with special attention to three interrelated dimensions: politics of recognition for cultural inclusion, politics of redistribution for social justice, and politics of representation for political inclusion. This discussion points to fundamental tensions and strategic dilemmas, but also to points of convergence around affirmative and transformative remedies for injustice.","container-title":"Norsk Geografisk Tidsskrift - Norwegian Journal of Geography","DOI":"10.1080/00291951.2017.1369454","ISSN":"0029-1951","issue":"4","note":"_eprint: https://doi.org/10.1080/00291951.2017.1369454","page":"193-207","publisher":"Routledge","source":"Taylor and Francis+NEJM","title":"Politics of citizenship: Towards an analytical framework","title-short":"Politics of citizenship","volume":"71","author":[{"family":"Stokke","given":"Kristian"}],"issued":{"date-parts":[["2017",8,8]]}},"label":"page","suppress-author":true}],"schema":"https://github.com/citation-style-language/schema/raw/master/csl-citation.json"} </w:instrText>
      </w:r>
      <w:r w:rsidRPr="00662E51">
        <w:rPr>
          <w:szCs w:val="24"/>
        </w:rPr>
        <w:fldChar w:fldCharType="separate"/>
      </w:r>
      <w:r w:rsidR="0095662D" w:rsidRPr="00662E51">
        <w:t>(2017)</w:t>
      </w:r>
      <w:r w:rsidRPr="00662E51">
        <w:rPr>
          <w:szCs w:val="24"/>
        </w:rPr>
        <w:fldChar w:fldCharType="end"/>
      </w:r>
      <w:r w:rsidRPr="00662E51">
        <w:rPr>
          <w:szCs w:val="24"/>
        </w:rPr>
        <w:t xml:space="preserve"> notes that rights are unstable, with constantly shifting boundaries. As I develop in the subsequent subsections, the politics of rights is often one of contestation and conflict. Finally, </w:t>
      </w:r>
      <w:r w:rsidR="00B21D17" w:rsidRPr="00662E51">
        <w:rPr>
          <w:szCs w:val="24"/>
        </w:rPr>
        <w:t xml:space="preserve">a </w:t>
      </w:r>
      <w:r w:rsidRPr="00662E51">
        <w:rPr>
          <w:szCs w:val="24"/>
        </w:rPr>
        <w:t xml:space="preserve">sibling to rights is </w:t>
      </w:r>
      <w:r w:rsidRPr="00662E51">
        <w:rPr>
          <w:i/>
          <w:iCs/>
          <w:szCs w:val="24"/>
        </w:rPr>
        <w:t>participation</w:t>
      </w:r>
      <w:r w:rsidRPr="00662E51">
        <w:rPr>
          <w:szCs w:val="24"/>
        </w:rPr>
        <w:t xml:space="preserve">, which may also be understood as </w:t>
      </w:r>
      <w:r w:rsidRPr="00662E51">
        <w:rPr>
          <w:i/>
          <w:iCs/>
          <w:szCs w:val="24"/>
        </w:rPr>
        <w:t>obligations.</w:t>
      </w:r>
      <w:r w:rsidRPr="00662E51">
        <w:rPr>
          <w:szCs w:val="24"/>
        </w:rPr>
        <w:t xml:space="preserve"> Participation in the nation-state </w:t>
      </w:r>
      <w:r w:rsidRPr="00662E51">
        <w:rPr>
          <w:szCs w:val="24"/>
        </w:rPr>
        <w:lastRenderedPageBreak/>
        <w:t xml:space="preserve">need not be restricted to politics: participation in one’s localised community is also increasingly seen as important to understand citizenship </w:t>
      </w:r>
      <w:r w:rsidRPr="00662E51">
        <w:rPr>
          <w:szCs w:val="24"/>
        </w:rPr>
        <w:fldChar w:fldCharType="begin"/>
      </w:r>
      <w:r w:rsidR="008835AB" w:rsidRPr="00662E51">
        <w:rPr>
          <w:szCs w:val="24"/>
        </w:rPr>
        <w:instrText xml:space="preserve"> ADDIN ZOTERO_ITEM CSL_CITATION {"citationID":"JvHj0sIc","properties":{"formattedCitation":"(Stokke 2017)","plainCitation":"(Stokke 2017)","noteIndex":0},"citationItems":[{"id":1483,"uris":["http://zotero.org/users/8977980/items/SAUQAX8H"],"itemData":{"id":1483,"type":"article-journal","abstract":"In the theory-oriented article, the author discusses the meaning of politics of citizenship. He argues that a broad conception of citizenship may provide an integral framework for studying political contentions over cultural, legal, social and political exclusion and inclusion. He starts out from an identification of four key dimensions of citizenship and defines politics of citizenship as contentious interactions over the institutionalisation and realisation of substantive membership, legal status, rights and participation. This is followed by a review of cultural and global turns within the liberal nation-state model of citizenship, demonstrating that the form and substance of citizenship reflect contextual power relations and political contentions. Following from this observation, he discusses the issues at stake in citizenship politics, with special attention to three interrelated dimensions: politics of recognition for cultural inclusion, politics of redistribution for social justice, and politics of representation for political inclusion. This discussion points to fundamental tensions and strategic dilemmas, but also to points of convergence around affirmative and transformative remedies for injustice.","container-title":"Norsk Geografisk Tidsskrift - Norwegian Journal of Geography","DOI":"10.1080/00291951.2017.1369454","ISSN":"0029-1951","issue":"4","note":"_eprint: https://doi.org/10.1080/00291951.2017.1369454","page":"193-207","publisher":"Routledge","source":"Taylor and Francis+NEJM","title":"Politics of citizenship: Towards an analytical framework","title-short":"Politics of citizenship","volume":"71","author":[{"family":"Stokke","given":"Kristian"}],"issued":{"date-parts":[["2017",8,8]]}}}],"schema":"https://github.com/citation-style-language/schema/raw/master/csl-citation.json"} </w:instrText>
      </w:r>
      <w:r w:rsidRPr="00662E51">
        <w:rPr>
          <w:szCs w:val="24"/>
        </w:rPr>
        <w:fldChar w:fldCharType="separate"/>
      </w:r>
      <w:r w:rsidR="0095662D" w:rsidRPr="00662E51">
        <w:t>(Stokke 2017)</w:t>
      </w:r>
      <w:r w:rsidRPr="00662E51">
        <w:rPr>
          <w:szCs w:val="24"/>
        </w:rPr>
        <w:fldChar w:fldCharType="end"/>
      </w:r>
      <w:r w:rsidRPr="00662E51">
        <w:rPr>
          <w:szCs w:val="24"/>
        </w:rPr>
        <w:t xml:space="preserve">. As I contend </w:t>
      </w:r>
      <w:r w:rsidR="004B3A55" w:rsidRPr="00662E51">
        <w:rPr>
          <w:szCs w:val="24"/>
        </w:rPr>
        <w:t>throughout this thesis,</w:t>
      </w:r>
      <w:r w:rsidRPr="00662E51">
        <w:rPr>
          <w:szCs w:val="24"/>
        </w:rPr>
        <w:t xml:space="preserve"> what is considered appropriate or genuine participation often hinges on </w:t>
      </w:r>
      <w:r w:rsidRPr="00662E51">
        <w:rPr>
          <w:i/>
          <w:iCs/>
          <w:szCs w:val="24"/>
        </w:rPr>
        <w:t>who</w:t>
      </w:r>
      <w:r w:rsidRPr="00662E51">
        <w:rPr>
          <w:szCs w:val="24"/>
        </w:rPr>
        <w:t xml:space="preserve"> is in power</w:t>
      </w:r>
      <w:r w:rsidR="004B3A55" w:rsidRPr="00662E51">
        <w:rPr>
          <w:szCs w:val="24"/>
        </w:rPr>
        <w:t xml:space="preserve"> </w:t>
      </w:r>
      <w:r w:rsidR="00CA40BF" w:rsidRPr="00662E51">
        <w:rPr>
          <w:szCs w:val="24"/>
        </w:rPr>
        <w:fldChar w:fldCharType="begin"/>
      </w:r>
      <w:r w:rsidR="008835AB" w:rsidRPr="00662E51">
        <w:rPr>
          <w:szCs w:val="24"/>
        </w:rPr>
        <w:instrText xml:space="preserve"> ADDIN ZOTERO_ITEM CSL_CITATION {"citationID":"gFiP9QA9","properties":{"formattedCitation":"(Ormerod and MacLeod 2019)","plainCitation":"(Ormerod and MacLeod 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00CA40BF" w:rsidRPr="00662E51">
        <w:rPr>
          <w:szCs w:val="24"/>
        </w:rPr>
        <w:fldChar w:fldCharType="separate"/>
      </w:r>
      <w:r w:rsidR="0095662D" w:rsidRPr="00662E51">
        <w:t>(Ormerod and MacLeod 2019)</w:t>
      </w:r>
      <w:r w:rsidR="00CA40BF" w:rsidRPr="00662E51">
        <w:rPr>
          <w:szCs w:val="24"/>
        </w:rPr>
        <w:fldChar w:fldCharType="end"/>
      </w:r>
      <w:r w:rsidRPr="00662E51">
        <w:rPr>
          <w:szCs w:val="24"/>
        </w:rPr>
        <w:t>. In the British post-war era,</w:t>
      </w:r>
      <w:r w:rsidR="00D9739C">
        <w:rPr>
          <w:szCs w:val="24"/>
        </w:rPr>
        <w:t xml:space="preserve"> </w:t>
      </w:r>
      <w:r w:rsidRPr="00662E51">
        <w:rPr>
          <w:szCs w:val="24"/>
        </w:rPr>
        <w:t xml:space="preserve">full citizenship was a “status position that mitigate[d] the negative effects of economic class” because of the security provided by the welfare systems </w:t>
      </w:r>
      <w:r w:rsidR="006E6D7D">
        <w:rPr>
          <w:szCs w:val="24"/>
        </w:rPr>
        <w:t xml:space="preserve">(that is, the </w:t>
      </w:r>
      <w:r w:rsidR="006E6D7D" w:rsidRPr="006E6D7D">
        <w:rPr>
          <w:i/>
          <w:iCs/>
          <w:szCs w:val="24"/>
        </w:rPr>
        <w:t>social</w:t>
      </w:r>
      <w:r w:rsidR="006E6D7D">
        <w:rPr>
          <w:szCs w:val="24"/>
        </w:rPr>
        <w:t xml:space="preserve"> citizenship) </w:t>
      </w:r>
      <w:r w:rsidRPr="006E6D7D">
        <w:rPr>
          <w:szCs w:val="24"/>
        </w:rPr>
        <w:t>that</w:t>
      </w:r>
      <w:r w:rsidRPr="00662E51">
        <w:rPr>
          <w:szCs w:val="24"/>
        </w:rPr>
        <w:t xml:space="preserve"> were institutionalised by the post-war settlement </w:t>
      </w:r>
      <w:r w:rsidRPr="00662E51">
        <w:rPr>
          <w:szCs w:val="24"/>
        </w:rPr>
        <w:fldChar w:fldCharType="begin"/>
      </w:r>
      <w:r w:rsidRPr="00662E51">
        <w:rPr>
          <w:szCs w:val="24"/>
        </w:rPr>
        <w:instrText xml:space="preserve"> ADDIN ZOTERO_ITEM CSL_CITATION {"citationID":"85xxYWQ2","properties":{"formattedCitation":"(Turner 2001, 190)","plainCitation":"(Turner 2001, 190)","noteIndex":0},"citationItems":[{"id":2072,"uris":["http://zotero.org/users/8977980/items/VRBTJ87G","http://zotero.org/users/8977980/items/YNSIANMH"],"itemData":{"id":2072,"type":"article-journal","abstract":"The Marshallian paradigm of social citizenship has been eroded because the social and economic conditions that supported postwar British welfare consensus have been transformed by economic and technological change. This article argues that effective entitlement was based on participation in work, war and reproduction, resulting in three types of social identity: worker-citizens, warrior-citizens and parent-citizens. The casualization of labour and the technological development of war have eroded work and war as routes to active citizenship. Social participation through reproduction remains important, despite massive changes to marriage and family as institutions. In fact the growth of new reproductive technologies have reinforced the normative dominance of marriage as a social relation. These rights of reproduction are described as ‘reproductive citizenship’. The article also considers the role of voluntary associations in Third-Way strategies as sources of social cohesion in societies where social capital is in decline, and argues that the voluntary sector is increasingly driven by an economic logic of accumulation. With the erosion of national citizenship, Marshall's three forms of rights (legal, political and social) have been augmented by rights that are global, namely environmental, aboriginal and cultural rights. These are driven by global concerns about the relationship between environment, community and body such that the quest for social security has been replaced by concerns for ontological security.","container-title":"The British Journal of Sociology","DOI":"10.1080/00071310120044944","ISSN":"1468-4446","issue":"2","language":"en","note":"_eprint: https://onlinelibrary.wiley.com/doi/pdf/10.1080/00071310120044944","page":"189-209","source":"Wiley Online Library","title":"The erosion of citizenship","volume":"52","author":[{"family":"Turner","given":"Bryan S."}],"issued":{"date-parts":[["2001"]]}},"locator":"190"}],"schema":"https://github.com/citation-style-language/schema/raw/master/csl-citation.json"} </w:instrText>
      </w:r>
      <w:r w:rsidRPr="00662E51">
        <w:rPr>
          <w:szCs w:val="24"/>
        </w:rPr>
        <w:fldChar w:fldCharType="separate"/>
      </w:r>
      <w:r w:rsidR="0095662D" w:rsidRPr="00662E51">
        <w:t>(Turner 2001, 190)</w:t>
      </w:r>
      <w:r w:rsidRPr="00662E51">
        <w:rPr>
          <w:szCs w:val="24"/>
        </w:rPr>
        <w:fldChar w:fldCharType="end"/>
      </w:r>
      <w:r w:rsidRPr="00662E51">
        <w:rPr>
          <w:szCs w:val="24"/>
        </w:rPr>
        <w:t xml:space="preserve">. However, as Joppke </w:t>
      </w:r>
      <w:r w:rsidRPr="00662E51">
        <w:rPr>
          <w:szCs w:val="24"/>
        </w:rPr>
        <w:fldChar w:fldCharType="begin"/>
      </w:r>
      <w:r w:rsidRPr="00662E51">
        <w:rPr>
          <w:szCs w:val="24"/>
        </w:rPr>
        <w:instrText xml:space="preserve"> ADDIN ZOTERO_ITEM CSL_CITATION {"citationID":"qOpJALSm","properties":{"formattedCitation":"(2021, 182; see also Sparke 2006)","plainCitation":"(2021, 182; see also Sparke 2006)","noteIndex":0},"citationItems":[{"id":3287,"uris":["http://zotero.org/users/8977980/items/6Q7IKMY6"],"itemData":{"id":3287,"type":"article-journal","abstract":"I argue that Marion Fourcade`s “ordinal citizenship”, which is an obsession with scoring and ranking, is part of a larger change of citizenship, from liberal to neoliberal. This is a citizenship whose equality promise has been hollowed-out by the inequalities of global capitalism, and in which not only redistributive benefits (once called “social rights”) but even the access to citizenship itself (qua naturalization) are tied to individual merit and performance. If T.H. Marshall had hailed the evolution of liberal citizenship, with its social rights crown, as one from “contract to status”, thus reversing H.S. Maine`s famous “movement of the progressive societies”, the arrival of neoliberal citizenship marks the “reverse reverse”, back from status to capitalism`s original position of contract.","container-title":"The British Journal of Sociology","DOI":"10.1111/1468-4446.12825","ISSN":"1468-4446","issue":"2","language":"en","note":"_eprint: https://onlinelibrary.wiley.com/doi/pdf/10.1111/1468-4446.12825","page":"181-189","source":"Wiley Online Library","title":"From liberal to neoliberal citizenship: A commentary on Marion Fourcade","title-short":"From liberal to neoliberal citizenship","volume":"72","author":[{"family":"Joppke","given":"Christian"}],"issued":{"date-parts":[["2021"]]}},"locator":"182","label":"page","suppress-author":true},{"id":7067,"uris":["http://zotero.org/users/8977980/items/LYFS5TTM"],"itemData":{"id":7067,"type":"article-journal","abstract":"In this paper I explore what the development of an expedited border-crossing program called NEXUS reveals about the changing political geography of citizenship in contemporary North America. Developed after 9/11 as a high-tech solution to competing demands for both heightened border security and ongoing cross-border business movement, NEXUS and other so-called Smart Border programs exemplify how a business class civil citizenship has been extended across transnational space at the very same time as economic liberalization and national securitization have curtailed citizenship for others. The biopolitical production of this privileged business class citizenship is explored vis-à-vis the macroscale entrenchment of neoliberal policy through NAFTA and the microscale production of entrepreneurial selfhood. By examining how this transnational privileging of business class rights has happened in an American context of exclusionary nationalism, the paper also explores the relationship between neoliberalism and the development of new spaces of exception defined by exclusion from civil rights. Examples of such exclusion include ‘expedited removal’ and ‘extraordinary rendition’, two forms of American anti-immigrant control that have been developed in concert with expedited border-crossing programs. Examining these forms of expedited exclusion and comparing the carceral cosmopolitanism they produce with the soft cosmopolitanism of the NEXUS lane, the paper ends by offering an argument about the relationship between the neoliberal privileging of transnational mobility rights and its exclusionary counterparts.","container-title":"Political Geography","DOI":"10.1016/j.polgeo.2005.10.002","ISSN":"0962-6298","issue":"2","journalAbbreviation":"Political Geography","page":"151-180","source":"ScienceDirect","title":"A neoliberal nexus: Economy, security and the biopolitics of citizenship on the border","title-short":"A neoliberal nexus","volume":"25","author":[{"family":"Sparke","given":"Matthew B."}],"issued":{"date-parts":[["2006",2,1]]}},"prefix":"see also"}],"schema":"https://github.com/citation-style-language/schema/raw/master/csl-citation.json"} </w:instrText>
      </w:r>
      <w:r w:rsidRPr="00662E51">
        <w:rPr>
          <w:szCs w:val="24"/>
        </w:rPr>
        <w:fldChar w:fldCharType="separate"/>
      </w:r>
      <w:r w:rsidR="0095662D" w:rsidRPr="00662E51">
        <w:t>(2021, 182; see also Sparke 2006)</w:t>
      </w:r>
      <w:r w:rsidRPr="00662E51">
        <w:rPr>
          <w:szCs w:val="24"/>
        </w:rPr>
        <w:fldChar w:fldCharType="end"/>
      </w:r>
      <w:r w:rsidRPr="00662E51">
        <w:rPr>
          <w:szCs w:val="24"/>
        </w:rPr>
        <w:t xml:space="preserve"> writes, this status position has been “hollow[ed]-out” by the “inequalities of global capitalism, the tying of recompensing rewards to individual desert and performance, and the evaporation” of expectations—how?</w:t>
      </w:r>
    </w:p>
    <w:p w14:paraId="0F9823F8" w14:textId="54377082" w:rsidR="007B4EA4" w:rsidRPr="00662E51" w:rsidRDefault="003C3360" w:rsidP="003C3360">
      <w:pPr>
        <w:spacing w:line="360" w:lineRule="auto"/>
        <w:ind w:left="0" w:firstLine="720"/>
        <w:rPr>
          <w:szCs w:val="24"/>
        </w:rPr>
      </w:pPr>
      <w:r>
        <w:rPr>
          <w:szCs w:val="24"/>
        </w:rPr>
        <w:t xml:space="preserve">Neoliberalism has significantly changed citizenship in the Global North. </w:t>
      </w:r>
      <w:r w:rsidR="007B4EA4" w:rsidRPr="00662E51">
        <w:rPr>
          <w:szCs w:val="24"/>
        </w:rPr>
        <w:t>Authoritarian neoliberalism in the UK</w:t>
      </w:r>
      <w:r w:rsidR="00152C9E">
        <w:rPr>
          <w:szCs w:val="24"/>
        </w:rPr>
        <w:t xml:space="preserve"> (Section 3.3)</w:t>
      </w:r>
      <w:r w:rsidR="007B4EA4" w:rsidRPr="00662E51">
        <w:rPr>
          <w:szCs w:val="24"/>
        </w:rPr>
        <w:t xml:space="preserve">, for instance, </w:t>
      </w:r>
      <w:r w:rsidR="005E3D71">
        <w:rPr>
          <w:szCs w:val="24"/>
        </w:rPr>
        <w:t>h</w:t>
      </w:r>
      <w:r w:rsidR="007B4EA4" w:rsidRPr="00662E51">
        <w:rPr>
          <w:szCs w:val="24"/>
        </w:rPr>
        <w:t xml:space="preserve">as meant significant restrictions on rights to protest </w:t>
      </w:r>
      <w:r w:rsidR="007B4EA4" w:rsidRPr="00662E51">
        <w:rPr>
          <w:szCs w:val="24"/>
        </w:rPr>
        <w:fldChar w:fldCharType="begin"/>
      </w:r>
      <w:r w:rsidR="008835AB" w:rsidRPr="00662E51">
        <w:rPr>
          <w:szCs w:val="24"/>
        </w:rPr>
        <w:instrText xml:space="preserve"> ADDIN ZOTERO_ITEM CSL_CITATION {"citationID":"T4EZY5xx","properties":{"formattedCitation":"(Selmini and Di Ronco 2023)","plainCitation":"(Selmini and Di Ronco 2023)","noteIndex":0},"citationItems":[{"id":5614,"uris":["http://zotero.org/users/8977980/items/3PS6VJAW"],"itemData":{"id":5614,"type":"article-journal","abstract":"Increasing criminalization of dissent and protest in Western liberal democracies received relatively little attention in the past but is now becoming a significant field of research within criminology and the social sciences more generally. The specialist literature can usefully be linked to a wider literature that extends to work on protest policing and social movements and to sociolegal analyses of criminalization. There is a striking connection, still relatively unexplored, between criminalization of ordinary crime and urban marginality and criminalization of protest. Both are often treated by policy makers as serious threats to the use of public space in the neoliberal city and are increasingly being dealt with by means of similar criminal and noncriminal measures. The literature on the “punitive turn,” mostly related to street crime, for example, provides theoretical insights and concepts that illuminate efforts to understand punitive responses to activists in the context of profit-driven neoliberal societies. Recent experience and research, particularly in Spain, Italy, and England and Wales, demonstrate these processes of criminalization and the existence of strong similarities between punitive methods targeting ordinary crime, urban marginality and disorder, and political protest, including recent eco-activism.","container-title":"Crime and Justice","DOI":"10.1086/727553","ISSN":"0192-3234","page":"197-231","publisher":"The University of Chicago Press","source":"journals.uchicago.edu (Atypon)","title":"The Criminalization of Dissent and Protest","volume":"52","author":[{"family":"Selmini","given":"Rossella"},{"family":"Di Ronco","given":"Anna"}],"issued":{"date-parts":[["2023",11]]}}}],"schema":"https://github.com/citation-style-language/schema/raw/master/csl-citation.json"} </w:instrText>
      </w:r>
      <w:r w:rsidR="007B4EA4" w:rsidRPr="00662E51">
        <w:rPr>
          <w:szCs w:val="24"/>
        </w:rPr>
        <w:fldChar w:fldCharType="separate"/>
      </w:r>
      <w:r w:rsidR="0095662D" w:rsidRPr="00662E51">
        <w:t>(Selmini and Di Ronco 2023)</w:t>
      </w:r>
      <w:r w:rsidR="007B4EA4" w:rsidRPr="00662E51">
        <w:rPr>
          <w:szCs w:val="24"/>
        </w:rPr>
        <w:fldChar w:fldCharType="end"/>
      </w:r>
      <w:r w:rsidR="007B4EA4" w:rsidRPr="00662E51">
        <w:rPr>
          <w:szCs w:val="24"/>
        </w:rPr>
        <w:t xml:space="preserve"> and the proscription of non-violent direct action groups like Palestine Action </w:t>
      </w:r>
      <w:r w:rsidR="007B4EA4" w:rsidRPr="00662E51">
        <w:rPr>
          <w:szCs w:val="24"/>
        </w:rPr>
        <w:fldChar w:fldCharType="begin"/>
      </w:r>
      <w:r w:rsidR="007B4EA4" w:rsidRPr="00662E51">
        <w:rPr>
          <w:szCs w:val="24"/>
        </w:rPr>
        <w:instrText xml:space="preserve"> ADDIN ZOTERO_ITEM CSL_CITATION {"citationID":"dOpbMzsd","properties":{"formattedCitation":"(Reilly 2025)","plainCitation":"(Reilly 2025)","noteIndex":0},"citationItems":[{"id":6640,"uris":["http://zotero.org/users/8977980/items/46UUJIYZ"],"itemData":{"id":6640,"type":"webpage","abstract":"Amnesty International UK: BANNING PALESTINE ACTION ‘A DISTURBING LEGAL OVERREACH’ BY GOVERNMENT","genre":"Press Release","language":"en","title":"UK: Banning Palestine Action 'a disturbing legal overreach' by UK Government, Amnesty International UK Chief Executive warns","title-short":"Amnesty International UK","URL":"https://www.amnesty.org.uk/press-releases/uk-banning-palestine-action-disturbing-legal-overreach-uk-government-amnesty","author":[{"family":"Reilly","given":"Rachel"}],"accessed":{"date-parts":[["2025",7,4]]},"issued":{"date-parts":[["2025",7,2]]}}}],"schema":"https://github.com/citation-style-language/schema/raw/master/csl-citation.json"} </w:instrText>
      </w:r>
      <w:r w:rsidR="007B4EA4" w:rsidRPr="00662E51">
        <w:rPr>
          <w:szCs w:val="24"/>
        </w:rPr>
        <w:fldChar w:fldCharType="separate"/>
      </w:r>
      <w:r w:rsidR="0095662D" w:rsidRPr="00662E51">
        <w:t>(Reilly 2025)</w:t>
      </w:r>
      <w:r w:rsidR="007B4EA4" w:rsidRPr="00662E51">
        <w:rPr>
          <w:szCs w:val="24"/>
        </w:rPr>
        <w:fldChar w:fldCharType="end"/>
      </w:r>
      <w:r w:rsidR="007B4EA4" w:rsidRPr="00662E51">
        <w:rPr>
          <w:szCs w:val="24"/>
        </w:rPr>
        <w:t xml:space="preserve">. </w:t>
      </w:r>
      <w:r w:rsidR="005162D4">
        <w:rPr>
          <w:szCs w:val="24"/>
        </w:rPr>
        <w:t>S</w:t>
      </w:r>
      <w:r w:rsidR="007B4EA4" w:rsidRPr="00662E51">
        <w:rPr>
          <w:szCs w:val="24"/>
        </w:rPr>
        <w:t xml:space="preserve">uch limitations on forms of political speech are </w:t>
      </w:r>
      <w:r w:rsidR="000F132C">
        <w:rPr>
          <w:szCs w:val="24"/>
        </w:rPr>
        <w:t xml:space="preserve">meaningful </w:t>
      </w:r>
      <w:r w:rsidR="007B4EA4" w:rsidRPr="00662E51">
        <w:rPr>
          <w:szCs w:val="24"/>
        </w:rPr>
        <w:t>restrictions on both political and civil rights. After the COVID pandemic, austerity continues. The breadth of social citizenship</w:t>
      </w:r>
      <w:r w:rsidR="00A54E1F">
        <w:rPr>
          <w:szCs w:val="24"/>
        </w:rPr>
        <w:t xml:space="preserve"> established in the post-war settlement</w:t>
      </w:r>
      <w:r w:rsidR="007B4EA4" w:rsidRPr="00662E51">
        <w:rPr>
          <w:szCs w:val="24"/>
        </w:rPr>
        <w:t xml:space="preserve">—still limbering on even after decades of austerity—is ever shrinking. Recent moves to implement welfare austerity </w:t>
      </w:r>
      <w:r w:rsidR="007B4EA4" w:rsidRPr="00662E51">
        <w:rPr>
          <w:szCs w:val="24"/>
        </w:rPr>
        <w:fldChar w:fldCharType="begin"/>
      </w:r>
      <w:r w:rsidR="00213B80">
        <w:rPr>
          <w:szCs w:val="24"/>
        </w:rPr>
        <w:instrText xml:space="preserve"> ADDIN ZOTERO_ITEM CSL_CITATION {"citationID":"89sOy1Uf","properties":{"formattedCitation":"(F. Ryan 2025)","plainCitation":"(F. Ryan 2025)","noteIndex":0},"citationItems":[{"id":6642,"uris":["http://zotero.org/users/8977980/items/45VCM6ZT"],"itemData":{"id":6642,"type":"article-newspaper","abstract":"Campaigners call government’s climbdown on personal independence payments ‘desperate’ and vow to fight on","container-title":"The Guardian","ISSN":"0261-3077","language":"en-GB","section":"Politics","source":"The Guardian","title":"‘This isn’t a U-turn’: disabled people react to passing of watered-down welfare bill","title-short":"‘This isn’t a U-turn’","URL":"https://www.theguardian.com/politics/2025/jul/02/disabled-people-react-watered-down-welfare-reform-bill-passes","author":[{"family":"Ryan","given":"Frances"}],"accessed":{"date-parts":[["2025",7,4]]},"issued":{"date-parts":[["2025",7,2]]}}}],"schema":"https://github.com/citation-style-language/schema/raw/master/csl-citation.json"} </w:instrText>
      </w:r>
      <w:r w:rsidR="007B4EA4" w:rsidRPr="00662E51">
        <w:rPr>
          <w:szCs w:val="24"/>
        </w:rPr>
        <w:fldChar w:fldCharType="separate"/>
      </w:r>
      <w:r w:rsidR="00213B80" w:rsidRPr="00213B80">
        <w:t>(F. Ryan 2025)</w:t>
      </w:r>
      <w:r w:rsidR="007B4EA4" w:rsidRPr="00662E51">
        <w:rPr>
          <w:szCs w:val="24"/>
        </w:rPr>
        <w:fldChar w:fldCharType="end"/>
      </w:r>
      <w:r w:rsidR="007B4EA4" w:rsidRPr="00662E51">
        <w:rPr>
          <w:szCs w:val="24"/>
        </w:rPr>
        <w:t xml:space="preserve"> have only exacerbated the sharp edge of citizenship. Now, contemporary citizens are meant to be ‘</w:t>
      </w:r>
      <w:r w:rsidR="00A72FC5">
        <w:rPr>
          <w:szCs w:val="24"/>
        </w:rPr>
        <w:t>active</w:t>
      </w:r>
      <w:r w:rsidR="007B4EA4" w:rsidRPr="00662E51">
        <w:rPr>
          <w:szCs w:val="24"/>
        </w:rPr>
        <w:t>,</w:t>
      </w:r>
      <w:r w:rsidR="00A72FC5">
        <w:rPr>
          <w:szCs w:val="24"/>
        </w:rPr>
        <w:t>’</w:t>
      </w:r>
      <w:r w:rsidR="007B4EA4" w:rsidRPr="00662E51">
        <w:rPr>
          <w:szCs w:val="24"/>
        </w:rPr>
        <w:t xml:space="preserve"> with the effect of casting passive denizens out of the fold. </w:t>
      </w:r>
      <w:r w:rsidR="00A72FC5">
        <w:rPr>
          <w:szCs w:val="24"/>
        </w:rPr>
        <w:t>I contrast this idea of citizenry with ‘activist’ citizens in Section 3.</w:t>
      </w:r>
      <w:r w:rsidR="0093198B">
        <w:rPr>
          <w:szCs w:val="24"/>
        </w:rPr>
        <w:t>4</w:t>
      </w:r>
      <w:r w:rsidR="00A72FC5">
        <w:rPr>
          <w:szCs w:val="24"/>
        </w:rPr>
        <w:t>.2</w:t>
      </w:r>
      <w:r w:rsidR="00316BDE">
        <w:rPr>
          <w:szCs w:val="24"/>
        </w:rPr>
        <w:t>.</w:t>
      </w:r>
    </w:p>
    <w:p w14:paraId="061C0945" w14:textId="25859CDC" w:rsidR="00017F29" w:rsidRDefault="007B4EA4" w:rsidP="00F56305">
      <w:pPr>
        <w:spacing w:line="360" w:lineRule="auto"/>
        <w:ind w:left="0" w:firstLine="720"/>
        <w:rPr>
          <w:szCs w:val="24"/>
        </w:rPr>
      </w:pPr>
      <w:r w:rsidRPr="00662E51">
        <w:rPr>
          <w:szCs w:val="24"/>
        </w:rPr>
        <w:t xml:space="preserve">Active citizenship is broadly understood as being active in civic engagement, volunteering, neighbourhood associations, and politics </w:t>
      </w:r>
      <w:r w:rsidRPr="00662E51">
        <w:rPr>
          <w:szCs w:val="24"/>
        </w:rPr>
        <w:fldChar w:fldCharType="begin"/>
      </w:r>
      <w:r w:rsidR="008835AB" w:rsidRPr="00662E51">
        <w:rPr>
          <w:szCs w:val="24"/>
        </w:rPr>
        <w:instrText xml:space="preserve"> ADDIN ZOTERO_ITEM CSL_CITATION {"citationID":"Qb2sFrOk","properties":{"formattedCitation":"(Kim 2010)","plainCitation":"(Kim 2010)","noteIndex":0},"citationItems":[{"id":6638,"uris":["http://zotero.org/users/8977980/items/DTK8PWTL"],"itemData":{"id":6638,"type":"article-journal","abstract":"The aim of this article is to examine the rationales that Thatcher’s Britain employed in dealing with immigration and multicultural policies. With a focus on the responsible political elite hypothesis, I trace the role of New Right citizenship discourse as a combined reflection of elite behaviors as well as mass concerns. I analyze various writings and remarks of Enoch Powell as a precursor of the New Right, and those of Margaret Thatcher as an executor of the New Right, discourses of the reconstruction of the British nation and the bringing back of the active citizen as the main campaign of the New Right, and the emergence of two nations and controversies over the cause of this cleavage as a probable policy outcome of the New Right. Through the theoretical account of New Right citizenship as an unstable combination of libertarian individualism and republican conservatism, I offer an interpretation of post-war Britain that can explain the relationship between the shift toward neo-liberalism and shifts in immigration conceptions and multicultural policies.","container-title":"Ethnicities","DOI":"10.1177/1468796810361819","ISSN":"1468-7968","issue":"2","journalAbbreviation":"Ethnicities","language":"EN","page":"208-235","publisher":"SAGE Publications","source":"SAGE Journals","title":"Revisiting New Right citizenship discourse in Thatcher’s Britain","volume":"10","author":[{"family":"Kim","given":"Nam-Kook"}],"issued":{"date-parts":[["2010",6,1]]}}}],"schema":"https://github.com/citation-style-language/schema/raw/master/csl-citation.json"} </w:instrText>
      </w:r>
      <w:r w:rsidRPr="00662E51">
        <w:rPr>
          <w:szCs w:val="24"/>
        </w:rPr>
        <w:fldChar w:fldCharType="separate"/>
      </w:r>
      <w:r w:rsidR="0095662D" w:rsidRPr="00662E51">
        <w:t>(Kim 2010)</w:t>
      </w:r>
      <w:r w:rsidRPr="00662E51">
        <w:rPr>
          <w:szCs w:val="24"/>
        </w:rPr>
        <w:fldChar w:fldCharType="end"/>
      </w:r>
      <w:r w:rsidRPr="00662E51">
        <w:rPr>
          <w:szCs w:val="24"/>
        </w:rPr>
        <w:t xml:space="preserve">. </w:t>
      </w:r>
      <w:r w:rsidR="008400B9">
        <w:rPr>
          <w:szCs w:val="24"/>
        </w:rPr>
        <w:t>T</w:t>
      </w:r>
      <w:r w:rsidRPr="00662E51">
        <w:rPr>
          <w:szCs w:val="24"/>
        </w:rPr>
        <w:t xml:space="preserve">he Thatcher and Major governments of the 1980s and 90s ‘rediscovered’ </w:t>
      </w:r>
      <w:r w:rsidRPr="00662E51">
        <w:rPr>
          <w:szCs w:val="24"/>
        </w:rPr>
        <w:fldChar w:fldCharType="begin"/>
      </w:r>
      <w:r w:rsidR="008835AB" w:rsidRPr="00662E51">
        <w:rPr>
          <w:szCs w:val="24"/>
        </w:rPr>
        <w:instrText xml:space="preserve"> ADDIN ZOTERO_ITEM CSL_CITATION {"citationID":"iF7mqYtl","properties":{"formattedCitation":"(Brehony 1992; Maschette 2023)","plainCitation":"(Brehony 1992; Maschette 2023)","noteIndex":0},"citationItems":[{"id":6644,"uris":["http://zotero.org/users/8977980/items/VHUR7VSU"],"itemData":{"id":6644,"type":"article-journal","abstract":"This article reviews current and historical debates about active, participant citizens and related conceptions of citizenship. In particular it focusses on the prospects for the participation of citizens in the administration of public bodies. It discusses critically the notion of participative citizenship and active citizenship as articulated by Douglas Hurd (when Home Secretary) and also the version contained in the report of the Speaker's Commission on Citizenship. The article then draws upon research conducted for the Volunteer Centre, by the National Foundation for Educational Research and that by Brehony and Deem which is funded by an Economic and Social Research Council Grant (R000 23 1799), on voluntary activity and school governors, respectively. The applicability of the concept of active citizenship to the oversight of schools by school governing bodies is then considered alongside recent work in the United States. The article then considers the constraints upon active citizenship which prevent many governors from participating as much as the role demands and it ends with a reference to the tension between those who see governing bodies as an arena for democratic accountability and the active participation of citizens and those who view them principally as a means by which the local state is weakened and its functions increasingly transferred to the voluntary sector.","container-title":"International Studies in Sociology of Education","DOI":"10.1080/0962021920020206","ISSN":"0962-0214","issue":"2","note":"_eprint: https://doi.org/10.1080/0962021920020206","page":"199-217","publisher":"Routledge","source":"Taylor and Francis+NEJM","title":"‘Active Citizens’: the case of school governors","title-short":"‘Active Citizens’","volume":"2","author":[{"family":"Brehony","given":"Kevin J."}],"issued":{"date-parts":[["1992",1,1]]}}},{"id":6656,"uris":["http://zotero.org/users/8977980/items/7NTI5VMH"],"itemData":{"id":6656,"type":"article-journal","abstract":"This article aims to re-evaluate Margaret Thatcher’s concept of citizenship and analyse its evolution during her government (1979–1990). It argues that her ideas concerning individuals and their relationship with the state and civil society were a crucial element of her belief system since at least the 1970s. Despite their importance, however, most analyses of Thatcherism have relegated these ideas to a marginal place. A rigorous analysis of speeches, interviews, memoirs and documents shows that Thatcher had reconceptualized the idea of citizenship long before her home secretary Douglas Hurd attempted to rationalize and re-package her ideas for public consumption. However, by the end of the 1980s, when moderate Conservatives such as Hurd turned their attention to this question, it was widely perceived that the Conservative Party required a more humane and coherent concept of citizenship. The article concludes that Thatcher’s ideas about the relationship between individuals, the state and community had a lasting influence on the Conservative and New Labour parties’ concept of citizenship.","container-title":"Journal of Political Ideologies","DOI":"10.1080/13569317.2021.1954815","ISSN":"1356-9317","issue":"2","note":"_eprint: https://doi.org/10.1080/13569317.2021.1954815","page":"180-198","publisher":"Routledge","source":"Taylor and Francis+NEJM","title":"Revisiting the concept of citizenship in Margaret Thatcher’s government: the individual, the state, and civil society","title-short":"Revisiting the concept of citizenship in Margaret Thatcher’s government","volume":"28","author":[{"family":"Maschette","given":"Lenon Campos"}],"issued":{"date-parts":[["2023",5,4]]}}}],"schema":"https://github.com/citation-style-language/schema/raw/master/csl-citation.json"} </w:instrText>
      </w:r>
      <w:r w:rsidRPr="00662E51">
        <w:rPr>
          <w:szCs w:val="24"/>
        </w:rPr>
        <w:fldChar w:fldCharType="separate"/>
      </w:r>
      <w:r w:rsidR="0095662D" w:rsidRPr="00662E51">
        <w:t>(Brehony 1992; Maschette 2023)</w:t>
      </w:r>
      <w:r w:rsidRPr="00662E51">
        <w:rPr>
          <w:szCs w:val="24"/>
        </w:rPr>
        <w:fldChar w:fldCharType="end"/>
      </w:r>
      <w:r w:rsidRPr="00662E51">
        <w:rPr>
          <w:szCs w:val="24"/>
        </w:rPr>
        <w:t xml:space="preserve"> the idea of active citizenship with the goal of fostering new entrepreneurial values in local communities</w:t>
      </w:r>
      <w:r w:rsidR="00EA438D" w:rsidRPr="00662E51">
        <w:rPr>
          <w:szCs w:val="24"/>
        </w:rPr>
        <w:t xml:space="preserve">. </w:t>
      </w:r>
      <w:r w:rsidRPr="00662E51">
        <w:rPr>
          <w:szCs w:val="24"/>
        </w:rPr>
        <w:t>strengthening engagement of the citizenry through volunteering</w:t>
      </w:r>
      <w:r w:rsidR="00EA438D" w:rsidRPr="00662E51">
        <w:rPr>
          <w:szCs w:val="24"/>
        </w:rPr>
        <w:t xml:space="preserve">, </w:t>
      </w:r>
      <w:r w:rsidRPr="00662E51">
        <w:rPr>
          <w:szCs w:val="24"/>
        </w:rPr>
        <w:t xml:space="preserve">and decreasing perceived dependency on the state </w:t>
      </w:r>
      <w:r w:rsidRPr="00662E51">
        <w:rPr>
          <w:szCs w:val="24"/>
        </w:rPr>
        <w:fldChar w:fldCharType="begin"/>
      </w:r>
      <w:r w:rsidR="0055559D">
        <w:rPr>
          <w:szCs w:val="24"/>
        </w:rPr>
        <w:instrText xml:space="preserve"> ADDIN ZOTERO_ITEM CSL_CITATION {"citationID":"AqAnLpOo","properties":{"formattedCitation":"(Bee and Pachi 2014; Kearns 1995; Kim 2010)","plainCitation":"(Bee and Pachi 2014; Kearns 1995; Kim 2010)","noteIndex":0},"citationItems":[{"id":3246,"uris":["http://zotero.org/users/8977980/items/X5XGABUP"],"itemData":{"id":3246,"type":"article-journal","abstract":"Shaping active citizenship, motivating civic engagement, and increasing political participation of minority groups have become some of the key political priorities in the UK since at least the end of the 1980s. Academic research shows that this shift goes hand-in-hand with a review of the integration policies in the country. The ‘politics of integration’ correspond in fact to a policy response to various social problems (such as discrimination, racism, intolerance) that emerged in various areas, and represent a new political discourse regarding active citizenship. This reﬂects an overall strategy meant to reframe the basis for civic and political engagement and participation in Britain. Our article is thus meant to highlight the dynamics underlying the development of the concept of active citizenship in the UK by looking at the factors that intervene in its shaping and enhancement. We identify political priorities and key mechanisms of participation that enable engagement in the public sphere. This article ﬁrst considers the development of the speciﬁc ‘British discourse’ regarding active citizenship by taking into consideration the political priorities that emerged as part of the New Right discourse in the 1980s and then New Labour after 1997. We then refer to a set of data collected during our ﬁeld work conducted in the UK between 2010 and 2011 with civil society activists and policy-makers in order to underline the meaning, practices, and feasibility of active citizenship.","container-title":"Journal of Civil Society","DOI":"10.1080/17448689.2014.895604","ISSN":"1744-8689, 1744-8697","issue":"1","journalAbbreviation":"Journal of Civil Society","language":"en","page":"100-117","source":"DOI.org (Crossref)","title":"Active Citizenship in the UK: Assessing Institutional Political Strategies and Mechanisms of Civic Engagement","title-short":"Active Citizenship in the UK","volume":"10","author":[{"family":"Bee","given":"Cristiano"},{"family":"Pachi","given":"Dimitra"}],"issued":{"date-parts":[["2014",1,2]]}}},{"id":2061,"uris":["http://zotero.org/users/8977980/items/CXVGTNAX"],"itemData":{"id":2061,"type":"article-journal","abstract":"This paper discusses the possibility of a participatory form of democracy emerging in the UK out of the confluence of ‘active citizenship’ and ‘local governance’ and through reform of the state and civil society. A consideration of the type of ‘active citizenship’ strategy being pursued, an examination of the institutional and constitutional nature of ‘local governance’, and a review of patterns of participation in voluntary sector governance all serve to raise doubts about the potential outcome. It is important to recognize that both the citizen's inclination to participate or ‘get active’ in local governance, and the institutional structures and arrangements of local governance, have crucial geographical dimensions. The nature of places affects the citizen's capacity for governance and yet, although local governance exacerbates territorial fragmentation, disjuncture and conflict, the improvement of places can be a beneficial outcome of local governance. A study of the role of place as both mediator and outcome of active citizenship and local governance is relevant as an empirical question relating to the impacts of modernism and Thatcherism, but also affords opportunities to consider the causes and significance of ‘place-uniqueness’, and to evaluate their consequences for postmodernist epistemologies which eschew the notion of generalized theories of place.","collection-title":"Spaces of citizenship","container-title":"Political Geography","DOI":"10.1016/0962-6298(95)91662-N","ISSN":"0962-6298","issue":"2","journalAbbreviation":"Political Geography","language":"en","page":"155-175","source":"ScienceDirect","title":"Active citizenship and local governance: political and geographical dimensions","title-short":"Active citizenship and local governance","volume":"14","author":[{"family":"Kearns","given":"Ade"}],"issued":{"date-parts":[["1995",2,1]]}}},{"id":6638,"uris":["http://zotero.org/users/8977980/items/DTK8PWTL"],"itemData":{"id":6638,"type":"article-journal","abstract":"The aim of this article is to examine the rationales that Thatcher’s Britain employed in dealing with immigration and multicultural policies. With a focus on the responsible political elite hypothesis, I trace the role of New Right citizenship discourse as a combined reflection of elite behaviors as well as mass concerns. I analyze various writings and remarks of Enoch Powell as a precursor of the New Right, and those of Margaret Thatcher as an executor of the New Right, discourses of the reconstruction of the British nation and the bringing back of the active citizen as the main campaign of the New Right, and the emergence of two nations and controversies over the cause of this cleavage as a probable policy outcome of the New Right. Through the theoretical account of New Right citizenship as an unstable combination of libertarian individualism and republican conservatism, I offer an interpretation of post-war Britain that can explain the relationship between the shift toward neo-liberalism and shifts in immigration conceptions and multicultural policies.","container-title":"Ethnicities","DOI":"10.1177/1468796810361819","ISSN":"1468-7968","issue":"2","journalAbbreviation":"Ethnicities","language":"EN","page":"208-235","publisher":"SAGE Publications","source":"SAGE Journals","title":"Revisiting New Right citizenship discourse in Thatcher’s Britain","volume":"10","author":[{"family":"Kim","given":"Nam-Kook"}],"issued":{"date-parts":[["2010",6,1]]}}}],"schema":"https://github.com/citation-style-language/schema/raw/master/csl-citation.json"} </w:instrText>
      </w:r>
      <w:r w:rsidRPr="00662E51">
        <w:rPr>
          <w:szCs w:val="24"/>
        </w:rPr>
        <w:fldChar w:fldCharType="separate"/>
      </w:r>
      <w:r w:rsidR="0055559D" w:rsidRPr="0055559D">
        <w:t>(Bee and Pachi 2014; Kearns 1995; Kim 2010)</w:t>
      </w:r>
      <w:r w:rsidRPr="00662E51">
        <w:rPr>
          <w:szCs w:val="24"/>
        </w:rPr>
        <w:fldChar w:fldCharType="end"/>
      </w:r>
      <w:r w:rsidRPr="00662E51">
        <w:rPr>
          <w:szCs w:val="24"/>
        </w:rPr>
        <w:t>.</w:t>
      </w:r>
      <w:r w:rsidR="002E3EAA">
        <w:rPr>
          <w:szCs w:val="24"/>
        </w:rPr>
        <w:t xml:space="preserve"> The case study of the Broadwater Farm Youth Association </w:t>
      </w:r>
      <w:r w:rsidR="00017F29">
        <w:rPr>
          <w:szCs w:val="24"/>
        </w:rPr>
        <w:t xml:space="preserve">(Chapter 5) </w:t>
      </w:r>
      <w:r w:rsidR="002E3EAA">
        <w:rPr>
          <w:szCs w:val="24"/>
        </w:rPr>
        <w:t xml:space="preserve">occurs during this timeframe, in which active </w:t>
      </w:r>
      <w:r w:rsidR="002E3EAA">
        <w:rPr>
          <w:szCs w:val="24"/>
        </w:rPr>
        <w:lastRenderedPageBreak/>
        <w:t xml:space="preserve">citizenship was promoted by the national government </w:t>
      </w:r>
      <w:r w:rsidR="002E3EAA">
        <w:rPr>
          <w:szCs w:val="24"/>
        </w:rPr>
        <w:fldChar w:fldCharType="begin"/>
      </w:r>
      <w:r w:rsidR="002E3EAA">
        <w:rPr>
          <w:szCs w:val="24"/>
        </w:rPr>
        <w:instrText xml:space="preserve"> ADDIN ZOTERO_ITEM CSL_CITATION {"citationID":"e7ceRNzn","properties":{"formattedCitation":"(Da Costa Vieira 2023)","plainCitation":"(Da Costa Vieira 2023)","noteIndex":0},"citationItems":[{"id":5759,"uris":["http://zotero.org/users/8977980/items/QJQY2YCJ"],"itemData":{"id":5759,"type":"article-journal","abstract":"In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Vieira","given":"Thomas"}],"issued":{"date-parts":[["2023",10,1]]}}}],"schema":"https://github.com/citation-style-language/schema/raw/master/csl-citation.json"} </w:instrText>
      </w:r>
      <w:r w:rsidR="002E3EAA">
        <w:rPr>
          <w:szCs w:val="24"/>
        </w:rPr>
        <w:fldChar w:fldCharType="separate"/>
      </w:r>
      <w:r w:rsidR="002E3EAA" w:rsidRPr="002E3EAA">
        <w:t>(Da Costa Vieira 2023)</w:t>
      </w:r>
      <w:r w:rsidR="002E3EAA">
        <w:rPr>
          <w:szCs w:val="24"/>
        </w:rPr>
        <w:fldChar w:fldCharType="end"/>
      </w:r>
      <w:r w:rsidR="00017F29">
        <w:rPr>
          <w:szCs w:val="24"/>
        </w:rPr>
        <w:t xml:space="preserve"> in ways that did not correspond to BFYA’s activism. </w:t>
      </w:r>
    </w:p>
    <w:p w14:paraId="679A6EA2" w14:textId="2CD677FF" w:rsidR="007B4EA4" w:rsidRPr="00662E51" w:rsidRDefault="007B4EA4" w:rsidP="0093198B">
      <w:pPr>
        <w:spacing w:line="360" w:lineRule="auto"/>
        <w:ind w:left="0" w:firstLine="720"/>
        <w:rPr>
          <w:szCs w:val="24"/>
        </w:rPr>
      </w:pPr>
      <w:r w:rsidRPr="00662E51">
        <w:rPr>
          <w:szCs w:val="24"/>
        </w:rPr>
        <w:t xml:space="preserve">Active citizenship did not end with election of New Labour, </w:t>
      </w:r>
      <w:r w:rsidR="00170119">
        <w:rPr>
          <w:szCs w:val="24"/>
        </w:rPr>
        <w:t>who</w:t>
      </w:r>
      <w:r w:rsidRPr="00662E51">
        <w:rPr>
          <w:szCs w:val="24"/>
        </w:rPr>
        <w:t xml:space="preserve"> shifted the underpinnings of social citizenship to stress an “equality of lifelong opportunity and social inclusion. This meant that the redistribution of opportunities through education and other forms of investment in human capital in order to achieve greater </w:t>
      </w:r>
      <w:r w:rsidRPr="00662E51">
        <w:rPr>
          <w:i/>
          <w:iCs/>
          <w:szCs w:val="24"/>
        </w:rPr>
        <w:t>future</w:t>
      </w:r>
      <w:r w:rsidRPr="00662E51">
        <w:rPr>
          <w:szCs w:val="24"/>
        </w:rPr>
        <w:t xml:space="preserve"> prosperity” instead of a redistribution of existing capital, now </w:t>
      </w:r>
      <w:r w:rsidRPr="00662E51">
        <w:rPr>
          <w:szCs w:val="24"/>
        </w:rPr>
        <w:fldChar w:fldCharType="begin"/>
      </w:r>
      <w:r w:rsidR="00213B80">
        <w:rPr>
          <w:szCs w:val="24"/>
        </w:rPr>
        <w:instrText xml:space="preserve"> ADDIN ZOTERO_ITEM CSL_CITATION {"citationID":"BCm70v8z","properties":{"formattedCitation":"(Lister 2012, 125, see also 2005; J. S. Davies 2012)","plainCitation":"(Lister 2012, 125, see also 2005; J. S. Davies 2012)","noteIndex":0},"citationItems":[{"id":6645,"uris":["http://zotero.org/users/8977980/items/3SD49E9B"],"itemData":{"id":6645,"type":"chapter","abstract":"The chapter begins with a general section on social citizenship, which covers its theoretical framework and the context of how social citizenship has been understood and debated in the UK, leading to New Labour’s philosophy on social citizenship. As the main area in which this philosophy has been translated into policy has been the social security system, this is the main focus of the policy analysis. The central section discusses the relationship between rights and responsibilities in the social security system. The chapter also assesses the social investment approach, with particular reference to policy in the areas of child poverty, childcare, and social exclusion, and the shift to greater emphasis on means-testing in the name of “progressive universalism.” The conclusion briefly reflects on the factors underlying the shift in social citizenship and looks ahead to the implications of the change of government.","container-title":"Social Policy and Citizenship: The Changing Landscape","ISBN":"978-0-19-975404-5","note":"DOI: 10.1093/acprof:oso/9780199754045.003.0029","page":"0","publisher":"Oxford University Press","source":"Silverchair","title":"Social Citizenship in new Labour’s new “Active” Welfare State: The case of the United Kingdom","title-short":"Social Citizenship in new Labour’S new “Active” Welfare State","URL":"https://doi.org/10.1093/acprof:oso/9780199754045.003.0029","author":[{"family":"Lister","given":"Ruth"}],"editor":[{"family":"Evers","given":"Adalbert"},{"family":"Guillemard","given":"Anne-Marie"}],"accessed":{"date-parts":[["2025",7,4]]},"issued":{"date-parts":[["2012",11,2]]}},"locator":"125"},{"id":6648,"uris":["http://zotero.org/users/8977980/items/73YTJJZN"],"itemData":{"id":6648,"type":"chapter","abstract":"In a recent scientific report, commissioned by the Belgian Presidency of the European Union in 2001, Gøsta Esping-Andersen and colleagues presented “a set of building blocks” for the creation of a “new welfare architecture”. The architecture’s foundation stone is “a child-centred social investment strategy” (Esping-Andersen et al, 2002, pp 6, 26)1. The foundation stone is, in fact, already being laid in some countries – most notably the liberal-oriented welfare states of Canada and the UK. This [chapter] offers a critical analysis of the strategy’s genesis and implications in the UK, in the context of a brief overview of the more general transformations of citizenship and the state under New Labour. The [chapter] focuses in particular on the emergent “social investment state”’s construction of children – its main beneficiaries – as citizen-workers of the future. “No rights without responsibilities”, described by Anthony Giddens as “a prime motto” for third-way politics, sums up New Labour’s position on citizenship (1998, p 65). It is reflected in a range of social policies designed to regulate behaviour (Deacon, 2002). These include use of the benefits system not merely to promote the paid work ethic in the name of social inclusion but also to discourage and punish anti-social behaviour. In the words of Alistair Darling (when Work and Pensions Secretary): there is no unconditional right to benefit.... It’s not only possible, but entirely desirable that we should look at making sure the social security system and the benefits system are matched by responsibility.... It is right that we should ask ourselves if there is a role for the benefits system as part of the wider system in asserting the values we hold and asserting the kind of behaviour that we want to see.","container-title":"Child welfare and social policy: an essential reader","ISBN":"978-1-4473-4241-0","language":"en","note":"section: Child welfare and social policy","publisher":"Bristol University Press","publisher-place":"Bristol, UNITED KINGDOM","source":"bristoluniversitypressdigital.com","title":"Investing in the citizen-workers of the future: transformations in citizenship and the state under New Labour","title-short":"Chapter Twenty-Five","URL":"https://bristoluniversitypressdigital.com/display/book/9781447342410/ch025.xml","author":[{"family":"Lister","given":"Ruth"}],"container-author":[{"family":"Hendrick","given":"Harry"}],"accessed":{"date-parts":[["2025",7,4]]},"issued":{"date-parts":[["2005",3,16]]}},"prefix":"see also"},{"id":6647,"uris":["http://zotero.org/users/8977980/items/TIJFAEXY"],"itemData":{"id":6647,"type":"article-journal","abstract":"This article develops a distinct perspective on the continuities and contrasts between Thatcherite Conservatism and New Labour, interpreted through active citizenship policy. Revisiting Thatcherism, it argues that the roots of the New Labour approach to active citizenship can be traced to the late-Thatcher period. It explores six facets of New Labour's agenda, arguing in each case that there were affinities with Conservatism. These affinities further highlight continuities in the ‘social dimension’ of an ongoing hegemonic project, whose objective is to overcome the ‘weak citizenship’ characteristic of neoliberalism by mobilising citizen assent. Judged against this benchmark, the project may have had only limited success.","DOI":"10.1332/147084411X581781","language":"en","section":"Policy &amp; Politics","source":"bristoluniversitypressdigital.com","title":"Active citizenship: navigating the Conservative heartlands of the New Labour project","title-short":"Active citizenship","URL":"https://bristoluniversitypressdigital.com/view/journals/pp/40/1/article-p3.xml","author":[{"family":"Davies","given":"Jonathan S."}],"accessed":{"date-parts":[["2025",7,4]]},"issued":{"date-parts":[["2012",1,1]]}}}],"schema":"https://github.com/citation-style-language/schema/raw/master/csl-citation.json"} </w:instrText>
      </w:r>
      <w:r w:rsidRPr="00662E51">
        <w:rPr>
          <w:szCs w:val="24"/>
        </w:rPr>
        <w:fldChar w:fldCharType="separate"/>
      </w:r>
      <w:r w:rsidR="00213B80" w:rsidRPr="00213B80">
        <w:t>(Lister 2012, 125, see also 2005; J. S. Davies 2012)</w:t>
      </w:r>
      <w:r w:rsidRPr="00662E51">
        <w:rPr>
          <w:szCs w:val="24"/>
        </w:rPr>
        <w:fldChar w:fldCharType="end"/>
      </w:r>
      <w:r w:rsidRPr="00662E51">
        <w:rPr>
          <w:szCs w:val="24"/>
        </w:rPr>
        <w:t xml:space="preserve">. </w:t>
      </w:r>
      <w:r w:rsidR="00EF2F3E" w:rsidRPr="00662E51">
        <w:rPr>
          <w:szCs w:val="24"/>
        </w:rPr>
        <w:t xml:space="preserve">David </w:t>
      </w:r>
      <w:r w:rsidRPr="00662E51">
        <w:rPr>
          <w:szCs w:val="24"/>
        </w:rPr>
        <w:t xml:space="preserve">Cameron’s ‘Big Society’ offered little change in state conceptions of the citizen either </w:t>
      </w:r>
      <w:r w:rsidRPr="00662E51">
        <w:rPr>
          <w:szCs w:val="24"/>
        </w:rPr>
        <w:fldChar w:fldCharType="begin"/>
      </w:r>
      <w:r w:rsidR="003219E1">
        <w:rPr>
          <w:szCs w:val="24"/>
        </w:rPr>
        <w:instrText xml:space="preserve"> ADDIN ZOTERO_ITEM CSL_CITATION {"citationID":"3qNr5UFU","properties":{"formattedCitation":"(Espiet-Kilty 2016; Kisby 2010)","plainCitation":"(Espiet-Kilty 2016; Kisby 2010)","noteIndex":0},"citationItems":[{"id":6654,"uris":["http://zotero.org/users/8977980/items/ZCSYTHBD"],"itemData":{"id":6654,"type":"article-journal","abstract":"David Cameron’s Big Society Programme was his flagship programme for the 2010 general election. Its main objective was to help the Conservative Party distance itself from Thatcherism, notably by bringing about change for Britain’s society. The government was to help society regenerate itself by giving British citizens the means to look after their communities. Was the Big Society the sign that the Conservative Party had managed to break away from Thatcherism? Was it the programme of a whole party or just the Prime Minister’s “toy”? Did the programme find an echo amongst British citizens?","container-title":"Revue Française de Civilisation Britannique. French Journal of British Studies","DOI":"10.4000/rfcb.796","ISSN":"0248-9015","issue":"1","language":"en","license":"https://creativecommons.org/licenses/by-nc-nd/4.0/","note":"number: 1","publisher":"CRECIB","source":"journals.openedition.org","title":"David Cameron, Citizenship and the Big Society: a New Social Model?","title-short":"David Cameron, Citizenship and the Big Society","URL":"https://journals.openedition.org/rfcb/796","volume":"21","author":[{"family":"Espiet-Kilty","given":"Raphaële"}],"accessed":{"date-parts":[["2025",7,4]]},"issued":{"date-parts":[["2016",7,20]]}}},{"id":657,"uris":["http://zotero.org/users/8977980/items/AG4CK37B"],"itemData":{"id":657,"type":"article-journal","abstract":"The Prime Minister, David Cameron, recently set out his vision of a ‘big society’. Its core themes are empowering communities, redistributing power from the state to citizens and promoting a culture of volunteering. The idea is badly flawed. It overlooks the crucial role that needs to be played by the state in promoting social justice, which is vital to the development of active citizenship and vibrant communities. Moreover, Cameron views the active citizen as simply a philanthropist and volunteer rather than as a politically literate individual, knowledgeable about the major political issues of the day and actively involved in debates about how public or private services ought to be run. The initiative is particularly perverse in the context of the credit crunch, a vitally important cause of which was precisely not the development of an over-mighty state but rather the inadequate state regulation of free market trading activities by banks.","container-title":"The Political Quarterly","DOI":"10.1111/j.1467-923X.2010.02133.x","ISSN":"1467-923X","issue":"4","language":"en","note":"_eprint: https://onlinelibrary.wiley.com/doi/pdf/10.1111/j.1467-923X.2010.02133.x","page":"484-491","source":"Wiley Online Library","title":"The Big Society: Power to the People?","title-short":"The Big Society","volume":"81","author":[{"family":"Kisby","given":"Ben"}],"issued":{"date-parts":[["2010"]]}}}],"schema":"https://github.com/citation-style-language/schema/raw/master/csl-citation.json"} </w:instrText>
      </w:r>
      <w:r w:rsidRPr="00662E51">
        <w:rPr>
          <w:szCs w:val="24"/>
        </w:rPr>
        <w:fldChar w:fldCharType="separate"/>
      </w:r>
      <w:r w:rsidR="003219E1" w:rsidRPr="003219E1">
        <w:t>(Espiet-Kilty 2016; Kisby 2010)</w:t>
      </w:r>
      <w:r w:rsidRPr="00662E51">
        <w:rPr>
          <w:szCs w:val="24"/>
        </w:rPr>
        <w:fldChar w:fldCharType="end"/>
      </w:r>
      <w:r w:rsidRPr="00662E51">
        <w:rPr>
          <w:szCs w:val="24"/>
        </w:rPr>
        <w:t xml:space="preserve">. </w:t>
      </w:r>
      <w:r w:rsidR="0093198B">
        <w:rPr>
          <w:szCs w:val="24"/>
        </w:rPr>
        <w:t xml:space="preserve">Active </w:t>
      </w:r>
      <w:r w:rsidRPr="00662E51">
        <w:rPr>
          <w:szCs w:val="24"/>
        </w:rPr>
        <w:t xml:space="preserve">citizenship remains a key element of British citizenship even as the Big Society faded away </w:t>
      </w:r>
      <w:r w:rsidRPr="00662E51">
        <w:rPr>
          <w:szCs w:val="24"/>
        </w:rPr>
        <w:fldChar w:fldCharType="begin"/>
      </w:r>
      <w:r w:rsidR="00C73E22">
        <w:rPr>
          <w:szCs w:val="24"/>
        </w:rPr>
        <w:instrText xml:space="preserve"> ADDIN ZOTERO_ITEM CSL_CITATION {"citationID":"oYpnkUBt","properties":{"formattedCitation":"(Bee 2017; Bee and Guerrina 2014; Bee and Pachi 2014)","plainCitation":"(Bee 2017; Bee and Guerrina 2014; Bee and Pachi 2014)","noteIndex":0},"citationItems":[{"id":6653,"uris":["http://zotero.org/users/8977980/items/CIMFNSTR"],"itemData":{"id":6653,"type":"chapter","abstract":"In this chapter, I outline the core characteristics of the British model of active citizenship. The institutionalization of practices of civic and political participation has been a clear objective of both New Right and New Labour governments and more recently of the coalition government led by the Conservatives and Liberal Democrats. Regardless of the ideological differences, across time active citizenship has developed assuming common patterns, with specific characteristics that put emphasis on individual and collective responsibility, on the development of community cohesion to solve specific social problems and on the provision to the Third Sector of specific tasks in order to deliver public services. This approach is not free from ambiguities, as it is argued in the presentation of the data from the analysis. Activists vindicate their autonomy, claiming that New Labour reforms as well as the recent Big Society approach have been one sided and in some cases favored the emergence of coalition groups in spite of the survival of smaller organizations. The chapter also focuses on the active participation of British organizations in European networks and at the opportunities that EU funding has opened for activating projects of transnational solidarity. Under this perspective, the chapter presents some first insights on the scenarios opened by the Brexit and the consequences of the leave vote for civil society organizations.","container-title":"Active Citizenship in Europe: Practices and Demands in the EU, Italy, Turkey and the UK","DOI":"10.1057/978-1-137-45317-4_9","ISBN":"978-1-137-45317-4","language":"en","page":"185-209","publisher":"Palgrave Macmillan UK","publisher-place":"London","source":"Springer Link","title":"Active Citizenship in the UK","URL":"https://doi.org/10.1057/978-1-137-45317-4_9","author":[{"family":"Bee","given":"Cristiano"}],"editor":[{"family":"Bee","given":"Cristiano"}],"accessed":{"date-parts":[["2025",7,4]]},"issued":{"date-parts":[["2017"]]}}},{"id":6634,"uris":["http://zotero.org/users/8977980/items/UXFEGB3P"],"itemData":{"id":6634,"type":"article-journal","container-title":"Journal of Civil Society","DOI":"10.1080/17448689.2014.897021","ISSN":"1744-8689","issue":"1","note":"_eprint: https://doi.org/10.1080/17448689.2014.897021","page":"1-4","publisher":"Routledge","source":"Taylor and Francis+NEJM","title":"Framing Civic Engagement, Political Participation and Active Citizenship in Europe","volume":"10","author":[{"family":"Bee","given":"Cristiano"},{"family":"Guerrina","given":"Roberta"}],"issued":{"date-parts":[["2014",1,2]]}}},{"id":3246,"uris":["http://zotero.org/users/8977980/items/X5XGABUP"],"itemData":{"id":3246,"type":"article-journal","abstract":"Shaping active citizenship, motivating civic engagement, and increasing political participation of minority groups have become some of the key political priorities in the UK since at least the end of the 1980s. Academic research shows that this shift goes hand-in-hand with a review of the integration policies in the country. The ‘politics of integration’ correspond in fact to a policy response to various social problems (such as discrimination, racism, intolerance) that emerged in various areas, and represent a new political discourse regarding active citizenship. This reﬂects an overall strategy meant to reframe the basis for civic and political engagement and participation in Britain. Our article is thus meant to highlight the dynamics underlying the development of the concept of active citizenship in the UK by looking at the factors that intervene in its shaping and enhancement. We identify political priorities and key mechanisms of participation that enable engagement in the public sphere. This article ﬁrst considers the development of the speciﬁc ‘British discourse’ regarding active citizenship by taking into consideration the political priorities that emerged as part of the New Right discourse in the 1980s and then New Labour after 1997. We then refer to a set of data collected during our ﬁeld work conducted in the UK between 2010 and 2011 with civil society activists and policy-makers in order to underline the meaning, practices, and feasibility of active citizenship.","container-title":"Journal of Civil Society","DOI":"10.1080/17448689.2014.895604","ISSN":"1744-8689, 1744-8697","issue":"1","journalAbbreviation":"Journal of Civil Society","language":"en","page":"100-117","source":"DOI.org (Crossref)","title":"Active Citizenship in the UK: Assessing Institutional Political Strategies and Mechanisms of Civic Engagement","title-short":"Active Citizenship in the UK","volume":"10","author":[{"family":"Bee","given":"Cristiano"},{"family":"Pachi","given":"Dimitra"}],"issued":{"date-parts":[["2014",1,2]]}}}],"schema":"https://github.com/citation-style-language/schema/raw/master/csl-citation.json"} </w:instrText>
      </w:r>
      <w:r w:rsidRPr="00662E51">
        <w:rPr>
          <w:szCs w:val="24"/>
        </w:rPr>
        <w:fldChar w:fldCharType="separate"/>
      </w:r>
      <w:r w:rsidR="00C73E22" w:rsidRPr="00C73E22">
        <w:t>(Bee 2017; Bee and Guerrina 2014; Bee and Pachi 2014)</w:t>
      </w:r>
      <w:r w:rsidRPr="00662E51">
        <w:rPr>
          <w:szCs w:val="24"/>
        </w:rPr>
        <w:fldChar w:fldCharType="end"/>
      </w:r>
      <w:r w:rsidRPr="00662E51">
        <w:rPr>
          <w:szCs w:val="24"/>
        </w:rPr>
        <w:t>. Its institutionalisation after decades of promotion is best captured by rhetoric around an active citizenry</w:t>
      </w:r>
      <w:r w:rsidR="00533633">
        <w:rPr>
          <w:szCs w:val="24"/>
        </w:rPr>
        <w:t xml:space="preserve"> during the COVID-19 pandemic</w:t>
      </w:r>
      <w:r w:rsidRPr="00662E51">
        <w:rPr>
          <w:szCs w:val="24"/>
        </w:rPr>
        <w:t xml:space="preserve">, using health workers as exemplars </w:t>
      </w:r>
      <w:r w:rsidRPr="00662E51">
        <w:rPr>
          <w:szCs w:val="24"/>
        </w:rPr>
        <w:fldChar w:fldCharType="begin"/>
      </w:r>
      <w:r w:rsidRPr="00662E51">
        <w:rPr>
          <w:szCs w:val="24"/>
        </w:rPr>
        <w:instrText xml:space="preserve"> ADDIN ZOTERO_ITEM CSL_CITATION {"citationID":"uULv22fe","properties":{"formattedCitation":"(Andreouli and Brice 2022)","plainCitation":"(Andreouli and Brice 2022)","noteIndex":0},"citationItems":[{"id":6676,"uris":["http://zotero.org/users/8977980/items/E57737K9"],"itemData":{"id":6676,"type":"article-journal","abstract":"The paper presents an analysis of the UK government discourse on citizenship during the first 9 months of the COVID-19 pandemic (March–November 2020). We adopted a socio-cultural approach to citizenship drawing on the scholarly tradition of ideological dilemmas and rhetorical psychology as well as interdisciplinary work on neoliberalism. In our analysis of over one hundred briefings and other material by the Prime Minister and members of the Cabinet, we identified five interrelated constructions of the ‘good citizen’: the confined, the heroic, the sacrificial, the unfree and the responsible citizen. The paper maps these constructions onto the ideological dilemmas of freedom/control, passive/active citizenship and individualism/collectivism. We show that, through the rhetorical use of notions of gratefulness for citizens' sacrifice and shared responsibility, the UK government's discourse appears to challenge the dominant model of the neoliberal citizen. However, it solidifies this very same model by responsibilizing individual citizens whilst abdicating itself from responsibility. Please refer to the Supplementary Material section to find this article's Community and Social Impact Statement.","container-title":"Journal of Community &amp; Applied Social Psychology","DOI":"10.1002/casp.2526","ISSN":"1099-1298","issue":"3","language":"en","license":"© 2021 John Wiley &amp; Sons Ltd.","note":"_eprint: https://onlinelibrary.wiley.com/doi/pdf/10.1002/casp.2526","page":"555-572","source":"Wiley Online Library","title":"Citizenship under COVID-19: An analysis of UK political rhetoric during the first wave of the 2020 pandemic","title-short":"Citizenship under COVID-19","volume":"32","author":[{"family":"Andreouli","given":"Eleni"},{"family":"Brice","given":"Emma"}],"issued":{"date-parts":[["2022"]]}}}],"schema":"https://github.com/citation-style-language/schema/raw/master/csl-citation.json"} </w:instrText>
      </w:r>
      <w:r w:rsidRPr="00662E51">
        <w:rPr>
          <w:szCs w:val="24"/>
        </w:rPr>
        <w:fldChar w:fldCharType="separate"/>
      </w:r>
      <w:r w:rsidR="0095662D" w:rsidRPr="00662E51">
        <w:t>(Andreouli and Brice 2022)</w:t>
      </w:r>
      <w:r w:rsidRPr="00662E51">
        <w:rPr>
          <w:szCs w:val="24"/>
        </w:rPr>
        <w:fldChar w:fldCharType="end"/>
      </w:r>
      <w:r w:rsidRPr="00662E51">
        <w:rPr>
          <w:szCs w:val="24"/>
        </w:rPr>
        <w:t xml:space="preserve">. The active citizen remains an important part of social policy in the United Kingdom. As reviewed below, the binary also plays continues to play an important role in the expectations of citizens, and thus who counts as citizen or not. </w:t>
      </w:r>
    </w:p>
    <w:p w14:paraId="2A93199D" w14:textId="29F2DC52" w:rsidR="007B4EA4" w:rsidRPr="00662E51" w:rsidRDefault="007B4EA4" w:rsidP="00F56305">
      <w:pPr>
        <w:spacing w:line="360" w:lineRule="auto"/>
        <w:ind w:left="0" w:firstLine="720"/>
        <w:rPr>
          <w:szCs w:val="24"/>
        </w:rPr>
      </w:pPr>
      <w:r w:rsidRPr="00662E51">
        <w:rPr>
          <w:szCs w:val="24"/>
        </w:rPr>
        <w:t xml:space="preserve">Across these two (and other) categories, then, British citizenship and its relevant social protections are becoming a privilege to be earned rather than a right </w:t>
      </w:r>
      <w:r w:rsidRPr="00662E51">
        <w:rPr>
          <w:szCs w:val="24"/>
        </w:rPr>
        <w:fldChar w:fldCharType="begin"/>
      </w:r>
      <w:r w:rsidR="00213B80">
        <w:rPr>
          <w:szCs w:val="24"/>
        </w:rPr>
        <w:instrText xml:space="preserve"> ADDIN ZOTERO_ITEM CSL_CITATION {"citationID":"mRp4iA2y","properties":{"formattedCitation":"(Andreouli and Dashtipour 2014; F. Webber 2022)","plainCitation":"(Andreouli and Dashtipour 2014; F. Webber 2022)","noteIndex":0},"citationItems":[{"id":1486,"uris":["http://zotero.org/users/8977980/items/W2TXD5U6"],"itemData":{"id":1486,"type":"article-journal","abstract":"This paper presents an analysis of interviews conducted with citizenship officers in London, working within the field of British naturalisation. We draw from a rhetorical psychology perspective to study the dilemmatic tensions that exist in the participants' discourse about naturalisation applicants who are constructed as ‘good’ and ‘bad’, as both ‘deserving’ and ‘undeserving’ of British citizenship. In line with a rhetorical approach, we argue that these different constructions of the migrant are strategic and are associated with different constructions of Britain as humanitarian and tolerant, on the one hand, and as being under threat by the influx of immigration, on the other hand. We conclude with a discussion of the implications of this ambivalence for processes of inclusion and exclusion. Copyright © 2013 John Wiley &amp; Sons, Ltd.","container-title":"Journal of Community &amp; Applied Social Psychology","DOI":"10.1002/casp.2154","ISSN":"1099-1298","issue":"2","language":"en","note":"_eprint: https://onlinelibrary.wiley.com/doi/pdf/10.1002/casp.2154","page":"100-110","source":"Wiley Online Library","title":"British Citizenship and the ‘Other’: An Analysis of the Earned Citizenship Discourse","title-short":"British Citizenship and the ‘Other’","volume":"24","author":[{"family":"Andreouli","given":"Eleni"},{"family":"Dashtipour","given":"Parisa"}],"issued":{"date-parts":[["2014"]]}},"label":"page"},{"id":3192,"uris":["http://zotero.org/users/8977980/items/LM8M4MDA"],"itemData":{"id":3192,"type":"report","publisher":"London","publisher-place":"Institute of Race Relations","title":"Citizenship: from right to privilege","URL":"https://irr.org.uk/wp-content/uploads/2022/09/Deprivation-of-citizenship-Final-LR.pdf","author":[{"family":"Webber","given":"Frances"}],"issued":{"date-parts":[["2022"]]}}}],"schema":"https://github.com/citation-style-language/schema/raw/master/csl-citation.json"} </w:instrText>
      </w:r>
      <w:r w:rsidRPr="00662E51">
        <w:rPr>
          <w:szCs w:val="24"/>
        </w:rPr>
        <w:fldChar w:fldCharType="separate"/>
      </w:r>
      <w:r w:rsidR="00213B80" w:rsidRPr="00213B80">
        <w:t>(Andreouli and Dashtipour 2014; F. Webber 2022)</w:t>
      </w:r>
      <w:r w:rsidRPr="00662E51">
        <w:rPr>
          <w:szCs w:val="24"/>
        </w:rPr>
        <w:fldChar w:fldCharType="end"/>
      </w:r>
      <w:r w:rsidRPr="00662E51">
        <w:rPr>
          <w:szCs w:val="24"/>
        </w:rPr>
        <w:t xml:space="preserve">. The transformation from (a broadly) full citizenship that derives from community membership to a conditional model has consequently created groups of citizens who lack full access to fundamental welfare programs like social housing </w:t>
      </w:r>
      <w:r w:rsidRPr="00662E51">
        <w:rPr>
          <w:szCs w:val="24"/>
        </w:rPr>
        <w:fldChar w:fldCharType="begin"/>
      </w:r>
      <w:r w:rsidR="008835AB" w:rsidRPr="00662E51">
        <w:rPr>
          <w:szCs w:val="24"/>
        </w:rPr>
        <w:instrText xml:space="preserve"> ADDIN ZOTERO_ITEM CSL_CITATION {"citationID":"438akkuH","properties":{"formattedCitation":"(Stokke 2017)","plainCitation":"(Stokke 2017)","noteIndex":0},"citationItems":[{"id":1483,"uris":["http://zotero.org/users/8977980/items/SAUQAX8H"],"itemData":{"id":1483,"type":"article-journal","abstract":"In the theory-oriented article, the author discusses the meaning of politics of citizenship. He argues that a broad conception of citizenship may provide an integral framework for studying political contentions over cultural, legal, social and political exclusion and inclusion. He starts out from an identification of four key dimensions of citizenship and defines politics of citizenship as contentious interactions over the institutionalisation and realisation of substantive membership, legal status, rights and participation. This is followed by a review of cultural and global turns within the liberal nation-state model of citizenship, demonstrating that the form and substance of citizenship reflect contextual power relations and political contentions. Following from this observation, he discusses the issues at stake in citizenship politics, with special attention to three interrelated dimensions: politics of recognition for cultural inclusion, politics of redistribution for social justice, and politics of representation for political inclusion. This discussion points to fundamental tensions and strategic dilemmas, but also to points of convergence around affirmative and transformative remedies for injustice.","container-title":"Norsk Geografisk Tidsskrift - Norwegian Journal of Geography","DOI":"10.1080/00291951.2017.1369454","ISSN":"0029-1951","issue":"4","note":"_eprint: https://doi.org/10.1080/00291951.2017.1369454","page":"193-207","publisher":"Routledge","source":"Taylor and Francis+NEJM","title":"Politics of citizenship: Towards an analytical framework","title-short":"Politics of citizenship","volume":"71","author":[{"family":"Stokke","given":"Kristian"}],"issued":{"date-parts":[["2017",8,8]]}}}],"schema":"https://github.com/citation-style-language/schema/raw/master/csl-citation.json"} </w:instrText>
      </w:r>
      <w:r w:rsidRPr="00662E51">
        <w:rPr>
          <w:szCs w:val="24"/>
        </w:rPr>
        <w:fldChar w:fldCharType="separate"/>
      </w:r>
      <w:r w:rsidR="0095662D" w:rsidRPr="00662E51">
        <w:t>(Stokke 2017)</w:t>
      </w:r>
      <w:r w:rsidRPr="00662E51">
        <w:rPr>
          <w:szCs w:val="24"/>
        </w:rPr>
        <w:fldChar w:fldCharType="end"/>
      </w:r>
      <w:r w:rsidRPr="00662E51">
        <w:rPr>
          <w:szCs w:val="24"/>
        </w:rPr>
        <w:t xml:space="preserve">. </w:t>
      </w:r>
    </w:p>
    <w:p w14:paraId="684A70ED" w14:textId="2C43D96B" w:rsidR="007B4EA4" w:rsidRDefault="007B4EA4" w:rsidP="00F56305">
      <w:pPr>
        <w:spacing w:line="360" w:lineRule="auto"/>
        <w:ind w:left="0" w:firstLine="720"/>
        <w:rPr>
          <w:szCs w:val="24"/>
        </w:rPr>
      </w:pPr>
      <w:r w:rsidRPr="00662E51">
        <w:rPr>
          <w:szCs w:val="24"/>
        </w:rPr>
        <w:t xml:space="preserve">Before discussing one of my thesis’s central theories—acts of citizenship </w:t>
      </w:r>
      <w:r w:rsidRPr="00662E51">
        <w:rPr>
          <w:szCs w:val="24"/>
        </w:rPr>
        <w:fldChar w:fldCharType="begin"/>
      </w:r>
      <w:r w:rsidR="008E2F28">
        <w:rPr>
          <w:szCs w:val="24"/>
        </w:rPr>
        <w:instrText xml:space="preserve"> ADDIN ZOTERO_ITEM CSL_CITATION {"citationID":"lLBeRwSJ","properties":{"formattedCitation":"(Isin 2008)","plainCitation":"(Isin 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Marc"}],"author":[{"family":"Isin","given":"Engin"}],"accessed":{"date-parts":[["2022",2,3]]},"issued":{"date-parts":[["2008"]]}}}],"schema":"https://github.com/citation-style-language/schema/raw/master/csl-citation.json"} </w:instrText>
      </w:r>
      <w:r w:rsidRPr="00662E51">
        <w:rPr>
          <w:szCs w:val="24"/>
        </w:rPr>
        <w:fldChar w:fldCharType="separate"/>
      </w:r>
      <w:r w:rsidR="008E2F28" w:rsidRPr="008E2F28">
        <w:t>(Isin 2008)</w:t>
      </w:r>
      <w:r w:rsidRPr="00662E51">
        <w:rPr>
          <w:szCs w:val="24"/>
        </w:rPr>
        <w:fldChar w:fldCharType="end"/>
      </w:r>
      <w:r w:rsidRPr="00662E51">
        <w:rPr>
          <w:szCs w:val="24"/>
        </w:rPr>
        <w:t xml:space="preserve">—it is important to link authoritarian neoliberalism and citizenship. Davey and Koch </w:t>
      </w:r>
      <w:r w:rsidRPr="00662E51">
        <w:rPr>
          <w:szCs w:val="24"/>
        </w:rPr>
        <w:fldChar w:fldCharType="begin"/>
      </w:r>
      <w:r w:rsidRPr="00662E51">
        <w:rPr>
          <w:szCs w:val="24"/>
        </w:rPr>
        <w:instrText xml:space="preserve"> ADDIN ZOTERO_ITEM CSL_CITATION {"citationID":"IN771M0u","properties":{"formattedCitation":"(2021)","plainCitation":"(2021)","noteIndex":0},"citationItems":[{"id":5121,"uris":["http://zotero.org/users/8977980/items/RGMNPPDQ"],"itemData":{"id":5121,"type":"article-journal","abstract":"In Britain, especially in the 2010s, neoliberal reform involved an extension of legal coercion into the domestic and community lives of marginalized citizens. On two postindustrial housing estates in Britain, working-class residents experience this “everyday authoritarianism” in areas that the liberal state typically constructs as private and purports to leave alone: the home and the intimate relations that frame it. Residents engage this legal coercion by adopting responses that range from defensive avoidance to co-opting officials to acts of vigilantism. By doing so, they negotiate the presence of an authority that is often out of sync with their own expectations for protection, and in some cases actively undermines their efforts to remain safe. Their pluralism can be framed neither in terms of an acceptance of state authority nor as a straightforward refusal to be governed. Rather, it reveals the contradictory ways in which marginalized citizens define their relationship to the state under contemporary conditions of class fragmentation. By adding detail on everyday life to meta-narratives of an authoritarian turn, this article theorizes the political potential and limits of people's daily engagements with the state for contesting the latter's authority. [class, coercion, liberal governance]","container-title":"PoLAR: Political and Legal Anthropology Review","DOI":"10.1111/plar.12422","ISSN":"1555-2934","issue":"1","language":"en","note":"_eprint: https://onlinelibrary.wiley.com/doi/pdf/10.1111/plar.12422","page":"43-59","source":"Wiley Online Library","title":"Everyday Authoritarianism: Class and Coercion on Housing Estates in Neoliberal Britain","title-short":"Everyday Authoritarianism","volume":"44","author":[{"family":"Davey","given":"Ryan"},{"family":"Koch","given":"Insa Lee"}],"issued":{"date-parts":[["2021"]]}},"label":"page","suppress-author":true}],"schema":"https://github.com/citation-style-language/schema/raw/master/csl-citation.json"} </w:instrText>
      </w:r>
      <w:r w:rsidRPr="00662E51">
        <w:rPr>
          <w:szCs w:val="24"/>
        </w:rPr>
        <w:fldChar w:fldCharType="separate"/>
      </w:r>
      <w:r w:rsidR="0095662D" w:rsidRPr="00662E51">
        <w:t>(2021)</w:t>
      </w:r>
      <w:r w:rsidRPr="00662E51">
        <w:rPr>
          <w:szCs w:val="24"/>
        </w:rPr>
        <w:fldChar w:fldCharType="end"/>
      </w:r>
      <w:r w:rsidRPr="00662E51">
        <w:rPr>
          <w:szCs w:val="24"/>
        </w:rPr>
        <w:t xml:space="preserve"> offer a helpful guide here by linking the disciplining arm of AN to citizenship. Recall that AN involves insulation and coercion </w:t>
      </w:r>
      <w:r w:rsidRPr="00662E51">
        <w:rPr>
          <w:szCs w:val="24"/>
        </w:rPr>
        <w:fldChar w:fldCharType="begin"/>
      </w:r>
      <w:r w:rsidRPr="00662E51">
        <w:rPr>
          <w:szCs w:val="24"/>
        </w:rPr>
        <w:instrText xml:space="preserve"> ADDIN ZOTERO_ITEM CSL_CITATION {"citationID":"ZrQyls2W","properties":{"formattedCitation":"(Bruff 2014)","plainCitation":"(Bruff 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Neoliberalism","volume":"26","author":[{"family":"Bruff","given":"Ian"}],"issued":{"date-parts":[["2014",1,2]]}}}],"schema":"https://github.com/citation-style-language/schema/raw/master/csl-citation.json"} </w:instrText>
      </w:r>
      <w:r w:rsidRPr="00662E51">
        <w:rPr>
          <w:szCs w:val="24"/>
        </w:rPr>
        <w:fldChar w:fldCharType="separate"/>
      </w:r>
      <w:r w:rsidR="0095662D" w:rsidRPr="00662E51">
        <w:t>(Bruff 2014)</w:t>
      </w:r>
      <w:r w:rsidRPr="00662E51">
        <w:rPr>
          <w:szCs w:val="24"/>
        </w:rPr>
        <w:fldChar w:fldCharType="end"/>
      </w:r>
      <w:r w:rsidRPr="00662E51">
        <w:rPr>
          <w:szCs w:val="24"/>
        </w:rPr>
        <w:t xml:space="preserve">. Coercion is not just about increasingly violent police </w:t>
      </w:r>
      <w:r w:rsidRPr="00662E51">
        <w:rPr>
          <w:szCs w:val="24"/>
        </w:rPr>
        <w:fldChar w:fldCharType="begin"/>
      </w:r>
      <w:r w:rsidR="00213B80">
        <w:rPr>
          <w:szCs w:val="24"/>
        </w:rPr>
        <w:instrText xml:space="preserve"> ADDIN ZOTERO_ITEM CSL_CITATION {"citationID":"KPti7aoS","properties":{"formattedCitation":"(though that is a longstanding feature of neoliberalism; S. Hall et al. [1978] 2019)","plainCitation":"(though that is a longstanding feature of neoliberalism; S. Hall et al. [1978] 2019)","noteIndex":0},"citationItems":[{"id":5777,"uris":["http://zotero.org/users/8977980/items/3K89WG2H"],"itemData":{"id":5777,"type":"book","edition":"2nd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label":"page","prefix":"though that is a longstanding feature of neoliberalism; "}],"schema":"https://github.com/citation-style-language/schema/raw/master/csl-citation.json"} </w:instrText>
      </w:r>
      <w:r w:rsidRPr="00662E51">
        <w:rPr>
          <w:szCs w:val="24"/>
        </w:rPr>
        <w:fldChar w:fldCharType="separate"/>
      </w:r>
      <w:r w:rsidR="00213B80" w:rsidRPr="00213B80">
        <w:t>(though that is a longstanding feature of neoliberalism; S. Hall et al. [1978] 2019)</w:t>
      </w:r>
      <w:r w:rsidRPr="00662E51">
        <w:rPr>
          <w:szCs w:val="24"/>
        </w:rPr>
        <w:fldChar w:fldCharType="end"/>
      </w:r>
      <w:r w:rsidRPr="00662E51">
        <w:rPr>
          <w:szCs w:val="24"/>
        </w:rPr>
        <w:t>. Instead, AN is also about the further expansion of the state’s control over the social sphere, that is, how neoliberalism maintains power over social reproductive functions</w:t>
      </w:r>
      <w:r w:rsidR="0009598F">
        <w:rPr>
          <w:szCs w:val="24"/>
        </w:rPr>
        <w:t>.</w:t>
      </w:r>
      <w:r w:rsidRPr="00662E51">
        <w:rPr>
          <w:szCs w:val="24"/>
        </w:rPr>
        <w:t xml:space="preserve"> </w:t>
      </w:r>
      <w:r w:rsidR="00E735A8" w:rsidRPr="00662E51">
        <w:rPr>
          <w:szCs w:val="24"/>
        </w:rPr>
        <w:t xml:space="preserve">Sarah Marie </w:t>
      </w:r>
      <w:r w:rsidRPr="00662E51">
        <w:rPr>
          <w:szCs w:val="24"/>
        </w:rPr>
        <w:t xml:space="preserve">Hall </w:t>
      </w:r>
      <w:r w:rsidRPr="00662E51">
        <w:rPr>
          <w:szCs w:val="24"/>
        </w:rPr>
        <w:fldChar w:fldCharType="begin"/>
      </w:r>
      <w:r w:rsidR="008835AB" w:rsidRPr="00662E51">
        <w:rPr>
          <w:szCs w:val="24"/>
        </w:rPr>
        <w:instrText xml:space="preserve"> ADDIN ZOTERO_ITEM CSL_CITATION {"citationID":"FhBlABlJ","properties":{"formattedCitation":"(2019b)","plainCitation":"(2019b)","noteIndex":0},"citationItems":[{"id":6733,"uris":["http://zotero.org/users/8977980/items/5A2FK487"],"itemData":{"id":6733,"type":"article-journal","abstract":"This paper advances ideas about relational geographies to explore ‘everyday austerity’. Whilst geographers have analysed the causes and aftermath of the recent financial crisis, the focus largely remains on problems within economic systems and urban governance, rather than austerity as lived experience. I outline how focusing on everyday relationships and relational spaces – family, friendship and intimate relations – provides exciting opportunities for thinking geographically about everyday life in austerity. Using examples of care and support and mundane mobilities, I demonstrate how a relational approach extends current understandings of how austerity cuts through, across and between spaces.","container-title":"Progress in Human Geography","DOI":"10.1177/0309132518796280","ISSN":"0309-1325, 1477-0288","issue":"5","language":"en","license":"https://journals.sagepub.com/page/policies/text-and-data-mining-license","page":"769-789","publisher":"SAGE Publications","source":"Crossref","title":"Everyday austerity: Towards relational geographies of family, friendship and intimacy","title-short":"Everyday austerity","volume":"43","author":[{"family":"Hall","given":"Sarah Marie"}],"issued":{"date-parts":[["2019",10]]}},"label":"page","suppress-author":true}],"schema":"https://github.com/citation-style-language/schema/raw/master/csl-citation.json"} </w:instrText>
      </w:r>
      <w:r w:rsidRPr="00662E51">
        <w:rPr>
          <w:szCs w:val="24"/>
        </w:rPr>
        <w:fldChar w:fldCharType="separate"/>
      </w:r>
      <w:r w:rsidR="0095662D" w:rsidRPr="00662E51">
        <w:t>(2019b)</w:t>
      </w:r>
      <w:r w:rsidRPr="00662E51">
        <w:rPr>
          <w:szCs w:val="24"/>
        </w:rPr>
        <w:fldChar w:fldCharType="end"/>
      </w:r>
      <w:r w:rsidRPr="00662E51">
        <w:rPr>
          <w:szCs w:val="24"/>
        </w:rPr>
        <w:t xml:space="preserve"> calls </w:t>
      </w:r>
      <w:r w:rsidR="0009598F">
        <w:rPr>
          <w:szCs w:val="24"/>
        </w:rPr>
        <w:t xml:space="preserve">this </w:t>
      </w:r>
      <w:r w:rsidRPr="00662E51">
        <w:rPr>
          <w:szCs w:val="24"/>
        </w:rPr>
        <w:t xml:space="preserve">‘everyday austerity.’ Individual life progression, too, is not </w:t>
      </w:r>
      <w:r w:rsidRPr="00662E51">
        <w:rPr>
          <w:szCs w:val="24"/>
        </w:rPr>
        <w:lastRenderedPageBreak/>
        <w:t>insulated from AN—“in austere times questions are therefore raised about how people’s lives play out alongside imagined life</w:t>
      </w:r>
      <w:r w:rsidR="002E7BAC">
        <w:rPr>
          <w:szCs w:val="24"/>
        </w:rPr>
        <w:t>-</w:t>
      </w:r>
      <w:r w:rsidRPr="00662E51">
        <w:rPr>
          <w:szCs w:val="24"/>
        </w:rPr>
        <w:t xml:space="preserve">courses, aspirations, and expectations, of the spaces, times, and social relations in which they situate their lives” </w:t>
      </w:r>
      <w:r w:rsidRPr="00662E51">
        <w:rPr>
          <w:szCs w:val="24"/>
        </w:rPr>
        <w:fldChar w:fldCharType="begin"/>
      </w:r>
      <w:r w:rsidR="00213B80">
        <w:rPr>
          <w:szCs w:val="24"/>
        </w:rPr>
        <w:instrText xml:space="preserve"> ADDIN ZOTERO_ITEM CSL_CITATION {"citationID":"4MF8j7vC","properties":{"formattedCitation":"(S. M. Hall 2019a, 488)","plainCitation":"(S. M. Hall 2019a, 488)","noteIndex":0},"citationItems":[{"id":6732,"uris":["http://zotero.org/users/8977980/items/Q7DA475F"],"itemData":{"id":6732,"type":"article-journal","abstract":"This paper brings together key ideas from across economic and social theory to expand geographical understandings of crisis at the personal scale. Drawing on ethnographic research with families in Greater Manchester, UK, together with literatures on the geographies of crises and conjunctures, I argue that economic crises, such as austerity, can be revealing of the fragilities within familial and personal relationships and as such constitute a very personal crisis. In times of austerity and economic crisis, questions are raised about how people imagine themselves, and the relationships, spaces, and times in which they situate their lives – previously, presently, and prospectively. I advance conceptualisations of the ways austerity and economic crisis “play out” to illustrate how everyday life is punctuated and disrupted by crises and conjunctures of various types. Personal conditions of austerity are knotted within personal inventories of important life experiences, relational comparators, and memories, of social, emotional, or financial hardship, which resonate strongly. Furthermore, I identify the way in which crises are woven within imaginaries of the future, personal biographies, and lifecourse trajectories, whereby economic crises and austerity can be felt as life crises. Providing added depth to current geographical literature focused on the personal scale, in this paper economic crises and austerity are shown to be personally affective, having lasting impacts on social relationships. Ultimately, I make the case for how an economic crisis is almost always and inevitable felt as a personal crisis; a vital conjuncture, the crescendo of circumstance, opening up the sores of memories and creating new ones, compromising familial and financial fragility.","container-title":"Transactions of the Institute of British Geographers","DOI":"10.1111/tran.12300","ISSN":"0020-2754, 1475-5661","issue":"3","journalAbbreviation":"Trans Inst British Geog","language":"en","license":"http://onlinelibrary.wiley.com/termsAndConditions#vor","page":"479-492","publisher":"Wiley","source":"Crossref","title":"A very personal crisis: Family fragilities and everyday conjunctures within lived experiences of austerity","title-short":"A very personal crisis","volume":"44","author":[{"family":"Hall","given":"Sarah Marie"}],"issued":{"date-parts":[["2019",9]]}},"locator":"488","label":"page"}],"schema":"https://github.com/citation-style-language/schema/raw/master/csl-citation.json"} </w:instrText>
      </w:r>
      <w:r w:rsidRPr="00662E51">
        <w:rPr>
          <w:szCs w:val="24"/>
        </w:rPr>
        <w:fldChar w:fldCharType="separate"/>
      </w:r>
      <w:r w:rsidR="00213B80" w:rsidRPr="00213B80">
        <w:t>(S. M. Hall 2019a, 488)</w:t>
      </w:r>
      <w:r w:rsidRPr="00662E51">
        <w:rPr>
          <w:szCs w:val="24"/>
        </w:rPr>
        <w:fldChar w:fldCharType="end"/>
      </w:r>
      <w:r w:rsidRPr="00662E51">
        <w:rPr>
          <w:szCs w:val="24"/>
        </w:rPr>
        <w:t xml:space="preserve">. In the urban realm, everyday austerity displaces working class people, severing their connections from relations of kinship and care </w:t>
      </w:r>
      <w:r w:rsidRPr="00662E51">
        <w:rPr>
          <w:szCs w:val="24"/>
        </w:rPr>
        <w:fldChar w:fldCharType="begin"/>
      </w:r>
      <w:r w:rsidR="001B2CAA">
        <w:rPr>
          <w:szCs w:val="24"/>
        </w:rPr>
        <w:instrText xml:space="preserve"> ADDIN ZOTERO_ITEM CSL_CITATION {"citationID":"H8oKJ4Ua","properties":{"formattedCitation":"(Gillespie et al. 2021; N. Smith 2005)","plainCitation":"(Gillespie et al. 2021; N. Smith 2005)","noteIndex":0},"citationItems":[{"id":"n0Saldgp/Pfek5KeZ","uris":["http://zotero.org/users/8977980/items/LK7WKKQI"],"itemData":{"id":"PsHzkz75/iO7f37Ni","type":"article-journal","abstract":"Urban scholars have traditionally associated displacement in cities of the global North with gentriﬁcation, generally understood as a class-based process of neighbourhood change. This article expands this scalar focus and adopts the larger scale of the local authority district (in this case the London borough) as its epistemological starting point to study the displacement of homeless people by the local state. Participatory action research was undertaken with housing campaigners in the East London borough of Newham to explore who is being displaced, their experiences of displacement and the impacts of displacement on their lives. Empirically, the article argues that displacement in this case is a product of national welfare state restructuring – or ‘austerity urbanism’ – implemented through a localised regime of ‘welfare chauvinism’ in which some groups are framed as economically unproductive and therefore undeserving of access to social housing. Displacement has the effect of reinforcing the surplus status of these groups by separating them from employment, education and care networks and eroding their physical and mental health. The article draws on research on the biopolitics of surplus populations in the global South to develop an original theorisation of the relationship between welfare state restructuring and displacement. This theorisation reveals that displacement is the spatial expression of a biopolitical shift away from the logic of ‘making live’ associated with the post-war welfare state towards a logic of ‘letting die’ more traditionally associated with postcolonial contexts.","container-title":"Environment and Planning A: Economy and Space","DOI":"10.1177/0308518X211026323","ISSN":"0308-518X, 1472-3409","issue":"7","journalAbbreviation":"Environ Plan A","language":"en","page":"1713-1729","source":"DOI.org (Crossref)","title":"Surplus to the city: Austerity urbanism, displacement and ‘letting die’","title-short":"Surplus to the city","volume":"53","author":[{"family":"Gillespie","given":"Tom"},{"family":"Hardy","given":"Kate"},{"family":"Watt","given":"Paul"}],"issued":{"date-parts":[["2021",10]]}}},{"id":6626,"uris":["http://zotero.org/users/8977980/items/Z4PVAQFD"],"itemData":{"id":6626,"type":"book","abstract":"Why have so many central and inner cities in Europe, North America and Australia been so radically revamped in the last three decades, converting urban decay into new chic? Will the process continue in the twenty-first century or has it ended? What does this mean for the people who live there? Can they do anything about it? This book challenges conventional wisdom, which holds gentrification to be the simple outcome of new middle-class tastes and a demand for urban living. It reveals gentrification as part of a much larger shift in the political economy and culture of the late twentieth century. Documenting in gritty detail the conflicts that gentrification brings to the new urban 'frontiers', the author explores the interconnections of urban policy, patterns of investment, eviction, and homelessness. The failure of liberal urban policy and the end of the 1980s financial boom have made the end-of-the-century city a darker and more dangerous place. Public policy and the private market are conspiring against minorities, working people, the poor, and the homeless as never before. In the emerging revanchist city, gentrification has become part of this policy of revenge.","DOI":"10.4324/9780203975640","ISBN":"978-0-203-97564-0","number-of-pages":"288","publisher":"Routledge","publisher-place":"London","title":"The New Urban Frontier: Gentrification and the Revanchist City","title-short":"The New Urban Frontier","author":[{"family":"Smith","given":"Neil"}],"issued":{"date-parts":[["2005",10,26]]}}}],"schema":"https://github.com/citation-style-language/schema/raw/master/csl-citation.json"} </w:instrText>
      </w:r>
      <w:r w:rsidRPr="00662E51">
        <w:rPr>
          <w:szCs w:val="24"/>
        </w:rPr>
        <w:fldChar w:fldCharType="separate"/>
      </w:r>
      <w:r w:rsidR="00213B80" w:rsidRPr="00213B80">
        <w:t>(Gillespie et al. 2021; N. Smith 2005)</w:t>
      </w:r>
      <w:r w:rsidRPr="00662E51">
        <w:rPr>
          <w:szCs w:val="24"/>
        </w:rPr>
        <w:fldChar w:fldCharType="end"/>
      </w:r>
      <w:r w:rsidRPr="00662E51">
        <w:rPr>
          <w:szCs w:val="24"/>
        </w:rPr>
        <w:t xml:space="preserve">. Davey and Koch </w:t>
      </w:r>
      <w:r w:rsidRPr="00662E51">
        <w:rPr>
          <w:szCs w:val="24"/>
        </w:rPr>
        <w:fldChar w:fldCharType="begin"/>
      </w:r>
      <w:r w:rsidRPr="00662E51">
        <w:rPr>
          <w:szCs w:val="24"/>
        </w:rPr>
        <w:instrText xml:space="preserve"> ADDIN ZOTERO_ITEM CSL_CITATION {"citationID":"qPqxK6s0","properties":{"formattedCitation":"(2021, 46)","plainCitation":"(2021, 46)","noteIndex":0},"citationItems":[{"id":5121,"uris":["http://zotero.org/users/8977980/items/RGMNPPDQ"],"itemData":{"id":5121,"type":"article-journal","abstract":"In Britain, especially in the 2010s, neoliberal reform involved an extension of legal coercion into the domestic and community lives of marginalized citizens. On two postindustrial housing estates in Britain, working-class residents experience this “everyday authoritarianism” in areas that the liberal state typically constructs as private and purports to leave alone: the home and the intimate relations that frame it. Residents engage this legal coercion by adopting responses that range from defensive avoidance to co-opting officials to acts of vigilantism. By doing so, they negotiate the presence of an authority that is often out of sync with their own expectations for protection, and in some cases actively undermines their efforts to remain safe. Their pluralism can be framed neither in terms of an acceptance of state authority nor as a straightforward refusal to be governed. Rather, it reveals the contradictory ways in which marginalized citizens define their relationship to the state under contemporary conditions of class fragmentation. By adding detail on everyday life to meta-narratives of an authoritarian turn, this article theorizes the political potential and limits of people's daily engagements with the state for contesting the latter's authority. [class, coercion, liberal governance]","container-title":"PoLAR: Political and Legal Anthropology Review","DOI":"10.1111/plar.12422","ISSN":"1555-2934","issue":"1","language":"en","note":"_eprint: https://onlinelibrary.wiley.com/doi/pdf/10.1111/plar.12422","page":"43-59","source":"Wiley Online Library","title":"Everyday Authoritarianism: Class and Coercion on Housing Estates in Neoliberal Britain","title-short":"Everyday Authoritarianism","volume":"44","author":[{"family":"Davey","given":"Ryan"},{"family":"Koch","given":"Insa Lee"}],"issued":{"date-parts":[["2021"]]}},"locator":"46","label":"page","suppress-author":true}],"schema":"https://github.com/citation-style-language/schema/raw/master/csl-citation.json"} </w:instrText>
      </w:r>
      <w:r w:rsidRPr="00662E51">
        <w:rPr>
          <w:szCs w:val="24"/>
        </w:rPr>
        <w:fldChar w:fldCharType="separate"/>
      </w:r>
      <w:r w:rsidR="0095662D" w:rsidRPr="00662E51">
        <w:t>(2021, 46)</w:t>
      </w:r>
      <w:r w:rsidRPr="00662E51">
        <w:rPr>
          <w:szCs w:val="24"/>
        </w:rPr>
        <w:fldChar w:fldCharType="end"/>
      </w:r>
      <w:r w:rsidRPr="00662E51">
        <w:rPr>
          <w:szCs w:val="24"/>
        </w:rPr>
        <w:t xml:space="preserve"> refer to the link with AN as a “top-down expansion of legal coercion into many working class people’s daily lives.” Such an expansion is encapsulated by the </w:t>
      </w:r>
    </w:p>
    <w:p w14:paraId="5728D841" w14:textId="77777777" w:rsidR="006A23BC" w:rsidRPr="00662E51" w:rsidRDefault="006A23BC" w:rsidP="006A23BC">
      <w:pPr>
        <w:ind w:left="0" w:firstLine="720"/>
        <w:rPr>
          <w:szCs w:val="24"/>
        </w:rPr>
      </w:pPr>
    </w:p>
    <w:p w14:paraId="0ADB2C96" w14:textId="7ACFE264" w:rsidR="007B4EA4" w:rsidRDefault="007B4EA4" w:rsidP="006A23BC">
      <w:pPr>
        <w:ind w:left="720"/>
        <w:rPr>
          <w:szCs w:val="24"/>
        </w:rPr>
      </w:pPr>
      <w:r w:rsidRPr="00662E51">
        <w:rPr>
          <w:szCs w:val="24"/>
        </w:rPr>
        <w:t>omnipresence of state and state-like officials, or what people amorphously framed as “Them.” “They” included local officials, such as social workers and the police; public bodies, including the Department of Work and Pensions; and private actors to whom the government outsourced responsibilities, such as housing associations and bailiffs</w:t>
      </w:r>
      <w:r w:rsidR="006A23BC">
        <w:rPr>
          <w:szCs w:val="24"/>
        </w:rPr>
        <w:t>.</w:t>
      </w:r>
      <w:r w:rsidRPr="00662E51">
        <w:rPr>
          <w:szCs w:val="24"/>
        </w:rPr>
        <w:t xml:space="preserve"> </w:t>
      </w:r>
      <w:r w:rsidRPr="00662E51">
        <w:rPr>
          <w:szCs w:val="24"/>
        </w:rPr>
        <w:fldChar w:fldCharType="begin"/>
      </w:r>
      <w:r w:rsidRPr="00662E51">
        <w:rPr>
          <w:szCs w:val="24"/>
        </w:rPr>
        <w:instrText xml:space="preserve"> ADDIN ZOTERO_ITEM CSL_CITATION {"citationID":"2AEXRQVQ","properties":{"formattedCitation":"(Davey and Koch 2021, 48)","plainCitation":"(Davey and Koch 2021, 48)","noteIndex":0},"citationItems":[{"id":5121,"uris":["http://zotero.org/users/8977980/items/RGMNPPDQ"],"itemData":{"id":5121,"type":"article-journal","abstract":"In Britain, especially in the 2010s, neoliberal reform involved an extension of legal coercion into the domestic and community lives of marginalized citizens. On two postindustrial housing estates in Britain, working-class residents experience this “everyday authoritarianism” in areas that the liberal state typically constructs as private and purports to leave alone: the home and the intimate relations that frame it. Residents engage this legal coercion by adopting responses that range from defensive avoidance to co-opting officials to acts of vigilantism. By doing so, they negotiate the presence of an authority that is often out of sync with their own expectations for protection, and in some cases actively undermines their efforts to remain safe. Their pluralism can be framed neither in terms of an acceptance of state authority nor as a straightforward refusal to be governed. Rather, it reveals the contradictory ways in which marginalized citizens define their relationship to the state under contemporary conditions of class fragmentation. By adding detail on everyday life to meta-narratives of an authoritarian turn, this article theorizes the political potential and limits of people's daily engagements with the state for contesting the latter's authority. [class, coercion, liberal governance]","container-title":"PoLAR: Political and Legal Anthropology Review","DOI":"10.1111/plar.12422","ISSN":"1555-2934","issue":"1","language":"en","note":"_eprint: https://onlinelibrary.wiley.com/doi/pdf/10.1111/plar.12422","page":"43-59","source":"Wiley Online Library","title":"Everyday Authoritarianism: Class and Coercion on Housing Estates in Neoliberal Britain","title-short":"Everyday Authoritarianism","volume":"44","author":[{"family":"Davey","given":"Ryan"},{"family":"Koch","given":"Insa Lee"}],"issued":{"date-parts":[["2021"]]}},"locator":"48"}],"schema":"https://github.com/citation-style-language/schema/raw/master/csl-citation.json"} </w:instrText>
      </w:r>
      <w:r w:rsidRPr="00662E51">
        <w:rPr>
          <w:szCs w:val="24"/>
        </w:rPr>
        <w:fldChar w:fldCharType="separate"/>
      </w:r>
      <w:r w:rsidR="0095662D" w:rsidRPr="00662E51">
        <w:t>(Davey and Koch 2021, 48)</w:t>
      </w:r>
      <w:r w:rsidRPr="00662E51">
        <w:rPr>
          <w:szCs w:val="24"/>
        </w:rPr>
        <w:fldChar w:fldCharType="end"/>
      </w:r>
    </w:p>
    <w:p w14:paraId="0BCDC0BD" w14:textId="77777777" w:rsidR="006A23BC" w:rsidRPr="00662E51" w:rsidRDefault="006A23BC" w:rsidP="006A23BC">
      <w:pPr>
        <w:ind w:left="720"/>
        <w:rPr>
          <w:szCs w:val="24"/>
        </w:rPr>
      </w:pPr>
    </w:p>
    <w:p w14:paraId="154A2CF8" w14:textId="058D6EB8" w:rsidR="007B4EA4" w:rsidRPr="00662E51" w:rsidRDefault="007B4EA4" w:rsidP="00F56305">
      <w:pPr>
        <w:spacing w:line="360" w:lineRule="auto"/>
        <w:ind w:left="0"/>
        <w:rPr>
          <w:szCs w:val="24"/>
        </w:rPr>
      </w:pPr>
      <w:r w:rsidRPr="00662E51">
        <w:rPr>
          <w:szCs w:val="24"/>
        </w:rPr>
        <w:t xml:space="preserve">Surveillance, oversight, intrusion, and “privation and punitiveness” are all everyday expressions of an authoritarian neoliberalism that seeks to control the working class in the pursuit of profitability and accumulation. It is also telling that private contractors are equally omnipresent as are state officials </w:t>
      </w:r>
      <w:r w:rsidRPr="00662E51">
        <w:rPr>
          <w:szCs w:val="24"/>
        </w:rPr>
        <w:fldChar w:fldCharType="begin"/>
      </w:r>
      <w:r w:rsidRPr="00662E51">
        <w:rPr>
          <w:szCs w:val="24"/>
        </w:rPr>
        <w:instrText xml:space="preserve"> ADDIN ZOTERO_ITEM CSL_CITATION {"citationID":"jiuqojp4","properties":{"formattedCitation":"(Davey and Koch 2021, 50)","plainCitation":"(Davey and Koch 2021, 50)","noteIndex":0},"citationItems":[{"id":5121,"uris":["http://zotero.org/users/8977980/items/RGMNPPDQ"],"itemData":{"id":5121,"type":"article-journal","abstract":"In Britain, especially in the 2010s, neoliberal reform involved an extension of legal coercion into the domestic and community lives of marginalized citizens. On two postindustrial housing estates in Britain, working-class residents experience this “everyday authoritarianism” in areas that the liberal state typically constructs as private and purports to leave alone: the home and the intimate relations that frame it. Residents engage this legal coercion by adopting responses that range from defensive avoidance to co-opting officials to acts of vigilantism. By doing so, they negotiate the presence of an authority that is often out of sync with their own expectations for protection, and in some cases actively undermines their efforts to remain safe. Their pluralism can be framed neither in terms of an acceptance of state authority nor as a straightforward refusal to be governed. Rather, it reveals the contradictory ways in which marginalized citizens define their relationship to the state under contemporary conditions of class fragmentation. By adding detail on everyday life to meta-narratives of an authoritarian turn, this article theorizes the political potential and limits of people's daily engagements with the state for contesting the latter's authority. [class, coercion, liberal governance]","container-title":"PoLAR: Political and Legal Anthropology Review","DOI":"10.1111/plar.12422","ISSN":"1555-2934","issue":"1","language":"en","note":"_eprint: https://onlinelibrary.wiley.com/doi/pdf/10.1111/plar.12422","page":"43-59","source":"Wiley Online Library","title":"Everyday Authoritarianism: Class and Coercion on Housing Estates in Neoliberal Britain","title-short":"Everyday Authoritarianism","volume":"44","author":[{"family":"Davey","given":"Ryan"},{"family":"Koch","given":"Insa Lee"}],"issued":{"date-parts":[["2021"]]}},"locator":"50","label":"page"}],"schema":"https://github.com/citation-style-language/schema/raw/master/csl-citation.json"} </w:instrText>
      </w:r>
      <w:r w:rsidRPr="00662E51">
        <w:rPr>
          <w:szCs w:val="24"/>
        </w:rPr>
        <w:fldChar w:fldCharType="separate"/>
      </w:r>
      <w:r w:rsidR="0095662D" w:rsidRPr="00662E51">
        <w:t>(Davey and Koch 2021, 50)</w:t>
      </w:r>
      <w:r w:rsidRPr="00662E51">
        <w:rPr>
          <w:szCs w:val="24"/>
        </w:rPr>
        <w:fldChar w:fldCharType="end"/>
      </w:r>
      <w:r w:rsidRPr="00662E51">
        <w:rPr>
          <w:szCs w:val="24"/>
        </w:rPr>
        <w:t xml:space="preserve">. Although AN applies widely, its intensity necessarily varies, with certain groups bearing the brunt of its punitiveness. Simultaneously, as I have reviewed above, it relies on discourses of stigma to justify punitive welfare regimes. As a mode of governance, then, AN not only especially oppresses the working class but also works to sustain certain discourses as necessary for capital accumulation </w:t>
      </w:r>
      <w:r w:rsidRPr="00662E51">
        <w:rPr>
          <w:szCs w:val="24"/>
        </w:rPr>
        <w:fldChar w:fldCharType="begin"/>
      </w:r>
      <w:r w:rsidR="008835AB" w:rsidRPr="00662E51">
        <w:rPr>
          <w:szCs w:val="24"/>
        </w:rPr>
        <w:instrText xml:space="preserve"> ADDIN ZOTERO_ITEM CSL_CITATION {"citationID":"dFZwKCoa","properties":{"formattedCitation":"(Da Costa Vieira 2023; Kurt-\\uc0\\u214{}zman and Tasan-Kok 2025)","plainCitation":"(Da Costa Vieira 2023; Kurt-Özman and Tasan-Kok 2025)","noteIndex":0},"citationItems":[{"id":5759,"uris":["http://zotero.org/users/8977980/items/QJQY2YCJ"],"itemData":{"id":5759,"type":"article-journal","abstract":"In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Vieira","given":"Thomas"}],"issued":{"date-parts":[["2023",10,1]]}}},{"id":6846,"uris":["http://zotero.org/users/8977980/items/VI6B2WWD"],"itemData":{"id":6846,"type":"article-journal","abstract":"This article explores the authoritarian entrepreneurial approach to urban governance and its transformative influence on community dynamics in Istanbul’s Fikirtepe Urban Regeneration Project. As a large-scale urban redevelopment initiative, Fikirtepe has become a contested ground of competing interests, where strict regulations coexist with flexible planning practices, forming a complex governance model that turns community actors into quasi-developers. We argue that a governance framework characterised by a fusion of authoritarian and entrepreneurial traits, through mechanisms like the Disaster Law No. 6306 and the 2/3 majority rule, embeds profit-seeking behaviours within regulatory practices and state–market alliances, sidelining local authorities, marginalising stakeholders and intensifying conflicts. Unlike typical capitalist frameworks, this model compels both developers and residents to adopt opportunistic, profit-driven strategies, a phenomenon termed ‘entrepreneurial citizenship’. This redefines the roles of urban actors and disrupts traditional planning processes. In connection with this convergence of governance extremes, negotiation-orientated approaches to planning emerge, where all stakeholders, from residents to property developers to policy networks, engage in competitive adaptation. By illustrating the distinctive challenges unique to Fikirtepe, we conclude by evidencing an imperative trend in urban governance, subject to both progressively authoritarian and entrepreneurial turns, and issue an urgent call to examine its broader implications for urban studies.","container-title":"Urban Studies","DOI":"10.1177/00420980251345701","ISSN":"0042-0980","language":"EN","page":"00420980251345701","publisher":"SAGE Publications Ltd","source":"SAGE Journals","title":"Community politics in urban regeneration under authoritarian entrepreneurial governance","author":[{"family":"Kurt-Özman","given":"Ebru"},{"family":"Tasan-Kok","given":"Tuna"}],"issued":{"date-parts":[["2025",7,23]]}}}],"schema":"https://github.com/citation-style-language/schema/raw/master/csl-citation.json"} </w:instrText>
      </w:r>
      <w:r w:rsidRPr="00662E51">
        <w:rPr>
          <w:szCs w:val="24"/>
        </w:rPr>
        <w:fldChar w:fldCharType="separate"/>
      </w:r>
      <w:r w:rsidR="0095662D" w:rsidRPr="00662E51">
        <w:rPr>
          <w:rFonts w:cs="Times New Roman"/>
          <w:kern w:val="0"/>
        </w:rPr>
        <w:t>(Da Costa Vieira 2023; Kurt-Özman and Tasan-Kok 2025)</w:t>
      </w:r>
      <w:r w:rsidRPr="00662E51">
        <w:rPr>
          <w:szCs w:val="24"/>
        </w:rPr>
        <w:fldChar w:fldCharType="end"/>
      </w:r>
      <w:r w:rsidRPr="00662E51">
        <w:rPr>
          <w:szCs w:val="24"/>
        </w:rPr>
        <w:t>.</w:t>
      </w:r>
    </w:p>
    <w:p w14:paraId="59ABDB97" w14:textId="77777777" w:rsidR="007B4EA4" w:rsidRPr="00662E51" w:rsidRDefault="007B4EA4" w:rsidP="00F56305">
      <w:pPr>
        <w:spacing w:line="360" w:lineRule="auto"/>
        <w:ind w:left="0" w:firstLine="720"/>
        <w:rPr>
          <w:szCs w:val="24"/>
        </w:rPr>
      </w:pPr>
    </w:p>
    <w:p w14:paraId="31142438" w14:textId="77777777" w:rsidR="007B4EA4" w:rsidRPr="00662E51" w:rsidRDefault="007B4EA4" w:rsidP="00F56305">
      <w:pPr>
        <w:pStyle w:val="Heading3"/>
      </w:pPr>
      <w:bookmarkStart w:id="179" w:name="_Toc213173937"/>
      <w:bookmarkStart w:id="180" w:name="_Toc221184323"/>
      <w:bookmarkStart w:id="181" w:name="_Toc231215244"/>
      <w:r w:rsidRPr="00662E51">
        <w:t>How to obtain full citizenship? Acts of Citizenship Theory</w:t>
      </w:r>
      <w:bookmarkEnd w:id="179"/>
      <w:bookmarkEnd w:id="180"/>
      <w:bookmarkEnd w:id="181"/>
    </w:p>
    <w:p w14:paraId="6CBE558D" w14:textId="61C6CE56" w:rsidR="007B4EA4" w:rsidRPr="00662E51" w:rsidRDefault="007B4EA4" w:rsidP="00F56305">
      <w:pPr>
        <w:spacing w:line="360" w:lineRule="auto"/>
        <w:ind w:left="0" w:firstLine="720"/>
        <w:rPr>
          <w:szCs w:val="24"/>
        </w:rPr>
      </w:pPr>
      <w:r w:rsidRPr="00662E51">
        <w:rPr>
          <w:szCs w:val="24"/>
        </w:rPr>
        <w:t xml:space="preserve">How groups attain full citizenship is still unclear. Full citizenship is understood as inclusion across the categories of membership, legal status, rights, and participation </w:t>
      </w:r>
      <w:r w:rsidRPr="00662E51">
        <w:rPr>
          <w:szCs w:val="24"/>
        </w:rPr>
        <w:fldChar w:fldCharType="begin"/>
      </w:r>
      <w:r w:rsidR="008835AB" w:rsidRPr="00662E51">
        <w:rPr>
          <w:szCs w:val="24"/>
        </w:rPr>
        <w:instrText xml:space="preserve"> ADDIN ZOTERO_ITEM CSL_CITATION {"citationID":"Qcz9Fqgh","properties":{"formattedCitation":"(Stokke 2017)","plainCitation":"(Stokke 2017)","noteIndex":0},"citationItems":[{"id":1483,"uris":["http://zotero.org/users/8977980/items/SAUQAX8H"],"itemData":{"id":1483,"type":"article-journal","abstract":"In the theory-oriented article, the author discusses the meaning of politics of citizenship. He argues that a broad conception of citizenship may provide an integral framework for studying political contentions over cultural, legal, social and political exclusion and inclusion. He starts out from an identification of four key dimensions of citizenship and defines politics of citizenship as contentious interactions over the institutionalisation and realisation of substantive membership, legal status, rights and participation. This is followed by a review of cultural and global turns within the liberal nation-state model of citizenship, demonstrating that the form and substance of citizenship reflect contextual power relations and political contentions. Following from this observation, he discusses the issues at stake in citizenship politics, with special attention to three interrelated dimensions: politics of recognition for cultural inclusion, politics of redistribution for social justice, and politics of representation for political inclusion. This discussion points to fundamental tensions and strategic dilemmas, but also to points of convergence around affirmative and transformative remedies for injustice.","container-title":"Norsk Geografisk Tidsskrift - Norwegian Journal of Geography","DOI":"10.1080/00291951.2017.1369454","ISSN":"0029-1951","issue":"4","note":"_eprint: https://doi.org/10.1080/00291951.2017.1369454","page":"193-207","publisher":"Routledge","source":"Taylor and Francis+NEJM","title":"Politics of citizenship: Towards an analytical framework","title-short":"Politics of citizenship","volume":"71","author":[{"family":"Stokke","given":"Kristian"}],"issued":{"date-parts":[["2017",8,8]]}}}],"schema":"https://github.com/citation-style-language/schema/raw/master/csl-citation.json"} </w:instrText>
      </w:r>
      <w:r w:rsidRPr="00662E51">
        <w:rPr>
          <w:szCs w:val="24"/>
        </w:rPr>
        <w:fldChar w:fldCharType="separate"/>
      </w:r>
      <w:r w:rsidR="0095662D" w:rsidRPr="00662E51">
        <w:t>(Stokke 2017)</w:t>
      </w:r>
      <w:r w:rsidRPr="00662E51">
        <w:rPr>
          <w:szCs w:val="24"/>
        </w:rPr>
        <w:fldChar w:fldCharType="end"/>
      </w:r>
      <w:r w:rsidRPr="00662E51">
        <w:rPr>
          <w:szCs w:val="24"/>
        </w:rPr>
        <w:t xml:space="preserve">. Scholarship has long bifurcated citizenship between formal citizenship (granted by legal status) and substantive citizenship (full inclusion across the other three categories mentioned above) </w:t>
      </w:r>
      <w:r w:rsidRPr="00662E51">
        <w:rPr>
          <w:szCs w:val="24"/>
        </w:rPr>
        <w:fldChar w:fldCharType="begin"/>
      </w:r>
      <w:r w:rsidR="008835AB" w:rsidRPr="00662E51">
        <w:rPr>
          <w:szCs w:val="24"/>
        </w:rPr>
        <w:instrText xml:space="preserve"> ADDIN ZOTERO_ITEM CSL_CITATION {"citationID":"o1iDKpYg","properties":{"formattedCitation":"(Brubaker 2002; Roy and Neveu 2023; Stewart 1995)","plainCitation":"(Brubaker 2002; Roy and Neveu 2023; Stewart 1995)","noteIndex":0},"citationItems":[{"id":6627,"uris":["http://zotero.org/users/8977980/items/QGF3P8NI"],"itemData":{"id":6627,"type":"book","edition":"6. print","ISBN":"978-0-674-13178-1","language":"eng","number-of-pages":"270","publisher":"Harvard Univ. Press","publisher-place":"Cambridge, Mass.","source":"K10plus ISBN","title":"Citizenship and nationhood in France and Germany","author":[{"family":"Brubaker","given":"Rogers"}],"issued":{"date-parts":[["2002"]]}}},{"id":6273,"uris":["http://zotero.org/users/8977980/items/DA7DH2T6"],"itemData":{"id":6273,"type":"article-journal","container-title":"Citizenship Studies","DOI":"10.1080/13621025.2023.2171254","ISSN":"1362-1025, 1469-3593","issue":"3","journalAbbreviation":"Citizenship Studies","language":"en","page":"385-405","source":"DOI.org (Crossref)","title":"A philosophy of the theory of “acts of citizenship” woven into the fabric of a political anthropology of citizenship","volume":"27","author":[{"family":"Roy","given":"Martin"},{"family":"Neveu","given":"Catherine"}],"issued":{"date-parts":[["2023",4,3]]}}},{"id":6735,"uris":["http://zotero.org/users/8977980/items/UIFVE59T"],"itemData":{"id":6735,"type":"article-journal","abstract":"With the collapse of the Leninist project in the Soviet Union and Eastern Europe and the fluid relations between market and state consequent upon the New Right project of the Reagan and Thatcher eras in the West, citizenship analysis has assumed a central place in the political sociology of democratic societies. However, such analysis is presently characterized by a variety of divergent and, on occasion, contradictory positions. This article proposes that the debates around citizenship can be clarified by recognizing the existence of two conceptions of citizenship. The first of these, state citizenship, involves the identification of citizenship with the elaboration of a formal legal status, co-terminous with the emergence of nation-states and their diverse lineages. The article discusses the two main forms in which this conception appears in the relevant literature: that of full formal membership of a nation-state and that of a distinctive welfare-rights version. Some limitations of the status conception of citizenship are considered and recent political developments in relation to its use in the British context are discussed. A second conception, that of democratic citizenship, is then proposed which involves the elaboration of citizenship around shared membership of a political community, in which conception citizens are political actors constituting political spaces. Some implications of this alternative conception are discussed and exemplified with reference to the possibilities for a European political community.","container-title":"The British Journal of Sociology","DOI":"10.2307/591623","ISSN":"0007-1315","issue":"1","page":"63-78","publisher":"[Wiley, London School of Economics and Political Science, London School of Economics]","source":"JSTOR","title":"Two Conceptions of Citizenship","volume":"46","author":[{"family":"Stewart","given":"Angus"}],"issued":{"date-parts":[["1995"]]}}}],"schema":"https://github.com/citation-style-language/schema/raw/master/csl-citation.json"} </w:instrText>
      </w:r>
      <w:r w:rsidRPr="00662E51">
        <w:rPr>
          <w:szCs w:val="24"/>
        </w:rPr>
        <w:fldChar w:fldCharType="separate"/>
      </w:r>
      <w:r w:rsidR="00AC1182" w:rsidRPr="00662E51">
        <w:t>(Brubaker 2002; Roy and Neveu 2023; Stewart 1995)</w:t>
      </w:r>
      <w:r w:rsidRPr="00662E51">
        <w:rPr>
          <w:szCs w:val="24"/>
        </w:rPr>
        <w:fldChar w:fldCharType="end"/>
      </w:r>
      <w:r w:rsidRPr="00662E51">
        <w:rPr>
          <w:szCs w:val="24"/>
        </w:rPr>
        <w:t xml:space="preserve">. Studies of substantive citizenship typically emphasise an individual’s habitus, the “internalized or embodied ways of thought </w:t>
      </w:r>
      <w:r w:rsidRPr="00662E51">
        <w:rPr>
          <w:szCs w:val="24"/>
        </w:rPr>
        <w:lastRenderedPageBreak/>
        <w:t xml:space="preserve">and conduct” that goes into the ‘stuff’ of citizenship </w:t>
      </w:r>
      <w:r w:rsidRPr="00662E51">
        <w:rPr>
          <w:szCs w:val="24"/>
        </w:rPr>
        <w:fldChar w:fldCharType="begin"/>
      </w:r>
      <w:r w:rsidR="008E2F28">
        <w:rPr>
          <w:szCs w:val="24"/>
        </w:rPr>
        <w:instrText xml:space="preserve"> ADDIN ZOTERO_ITEM CSL_CITATION {"citationID":"UWKFahyx","properties":{"formattedCitation":"(Isin 2008, 17)","plainCitation":"(Isin 2008, 17)","noteIndex":0},"citationItems":[{"id":256,"uris":["http://zotero.org/users/8977980/items/ZRWP6PIY"],"itemData":{"id":256,"type":"chapter","abstract":"Politics,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Marc"}],"author":[{"family":"Isin","given":"Engin"}],"accessed":{"date-parts":[["2022",2,3]]},"issued":{"date-parts":[["2008"]]}},"locator":"17"}],"schema":"https://github.com/citation-style-language/schema/raw/master/csl-citation.json"} </w:instrText>
      </w:r>
      <w:r w:rsidRPr="00662E51">
        <w:rPr>
          <w:szCs w:val="24"/>
        </w:rPr>
        <w:fldChar w:fldCharType="separate"/>
      </w:r>
      <w:r w:rsidR="008E2F28" w:rsidRPr="008E2F28">
        <w:t>(Isin 2008, 17)</w:t>
      </w:r>
      <w:r w:rsidRPr="00662E51">
        <w:rPr>
          <w:szCs w:val="24"/>
        </w:rPr>
        <w:fldChar w:fldCharType="end"/>
      </w:r>
      <w:r w:rsidRPr="00662E51">
        <w:rPr>
          <w:szCs w:val="24"/>
        </w:rPr>
        <w:t xml:space="preserve">. This literature assumes these two aspects of citizenship are detachable, which various thinkers have critiqued through a focus on scale, politics, bordering, and gender </w:t>
      </w:r>
      <w:r w:rsidRPr="00662E51">
        <w:rPr>
          <w:szCs w:val="24"/>
        </w:rPr>
        <w:fldChar w:fldCharType="begin"/>
      </w:r>
      <w:r w:rsidR="008835AB" w:rsidRPr="00662E51">
        <w:rPr>
          <w:szCs w:val="24"/>
        </w:rPr>
        <w:instrText xml:space="preserve"> ADDIN ZOTERO_ITEM CSL_CITATION {"citationID":"lkjrnmcb","properties":{"formattedCitation":"(Andrijasevic 2013; Guillaume 2014; Lister 2007; Nyers 2018; Roy and Neveu 2023)","plainCitation":"(Andrijasevic 2013; Guillaume 2014; Lister 2007; Nyers 2018; Roy and Neveu 2023)","noteIndex":0},"citationItems":[{"id":5117,"uris":["http://zotero.org/users/8977980/items/E4D94GS2"],"itemData":{"id":5117,"type":"chapter","container-title":"Enacting European Citizenship","DOI":"10.1017/CBO9781139524025.008","ISBN":"978-1-139-52402-5","page":"47-65","publisher":"Cambridge University Press","publisher-place":"Cambridge","source":"Cambridge University Press","title":"Acts of citizenship as methodology","URL":"https://www.cambridge.org/core/books/abs/enacting-european-citizenship/acts-of-citizenship-as-methodology/D7E1D119E9593A67BD34D2027FD555F9","editor":[{"family":"Isin","given":"Engin"},{"family":"Saward","given":"Michael"}],"author":[{"family":"Andrijasevic","given":"Rutvica"}],"accessed":{"date-parts":[["2022",10,5]]},"issued":{"date-parts":[["2013"]]}}},{"id":6739,"uris":["http://zotero.org/users/8977980/items/ZUGZTBFV"],"itemData":{"id":6739,"type":"chapter","abstract":"Regimes of citizenship - 1","container-title":"Routledge Handbook of Global Citizenship Studies","ISBN":"978-0-203-10201-5","note":"number-of-pages: 9","publisher":"Routledge","title":"Regimes of citizenship","author":[{"family":"Guillaume","given":"Xavier"}],"issued":{"date-parts":[["2014"]]}}},{"id":6741,"uris":["http://zotero.org/users/8977980/items/HA3GZIQD"],"itemData":{"id":6741,"type":"article-journal","abstract":"Citizenship has been described as a “momentum concept”. One important development over the past decade has been the various ways in which scholars and activists have developed citizenship's inclusionary potential. The first part of the article explores these developments in general terms with regard to the values underpinning inclusive citizenship; the implications of the notion of cultural citizenship; and the theorization of differentiated forms of citizenship, which nevertheless appeal to universalist principles. These principles provide the basis for the citizenship claims of people living in poverty, a group largely ignored in citizenship studies. Other lacunae have been disability and, until recently, childhood. The second part of the article discusses how citizenship studies has reworked the concept in a more inclusionary direction through the development of a multi-tiered analysis, which pays attention to the spaces and places in which lived citizenship is practised. It focuses in particular on the intimate and domestic sphere, with particular reference to debates around care and citizenship, and on the interconnections between the intimate/domestic and the global, using “global care chains” and ecological citizenship as examples.","container-title":"Citizenship Studies","DOI":"10.1080/13621020601099856","ISSN":"1362-1025","issue":"1","note":"_eprint: https://doi.org/10.1080/13621020601099856","page":"49-61","publisher":"Routledge","source":"Taylor and Francis+NEJM","title":"Inclusive Citizenship: Realizing the Potential","title-short":"Inclusive Citizenship","volume":"11","author":[{"family":"Lister","given":"Ruth"}],"issued":{"date-parts":[["2007",2,1]]}}},{"id":6738,"uris":["http://zotero.org/users/8977980/items/679P5H4I"],"itemData":{"id":6738,"type":"book","abstract":"Deportation has again taken a prominent place within the immigration policies of nation-states. Irregular Citizenship, Immigration, and Deportation addresses the social responses to deportation, in particular the growing movements against deportation and detention, and for freedom of movement and the regularization of status. \nThe book brings deportation and anti-deportation together with the aim of understanding the political subjects that emerge in this contested field of governance and control, freedom and struggle. However, rather than focusing on the typical subjects of removal – refugees, the undocumented, and irregular migrants – Irregular Citizenship, Immigration, and Deportation looks at the ways that citizens get caught up in the deportation apparatus and must struggle to remain in or return to their country of citizenship. The transformation of ‘regular’ citizens into deportable ‘irregular’ citizens involves the removal of the rights, duties, and obligations of citizenship. This includes unmaking citizenship through official revocation or denationalization, as well as through informal, extra-legal, and unofficial means. The book features stories about struggles over removal and return, deportation and repatriation, rescue and abandonment. The book features eleven ‘acts of citizenship’ that occur in the context of deportation and anti-deportation, arguing that these struggles for rights, recognition, and return are fundamentally struggles over political subjectivity – of citizenship.\nThis book will be of interest to students and scholars of citizenship, migration and security studies.","DOI":"10.4324/9780429442704","ISBN":"978-0-429-44270-4","number-of-pages":"182","publisher":"Routledge","publisher-place":"London","title":"Irregular Citizenship, Immigration, and Deportation","author":[{"family":"Nyers","given":"Peter"}],"issued":{"date-parts":[["2018",12,14]]}}},{"id":6273,"uris":["http://zotero.org/users/8977980/items/DA7DH2T6"],"itemData":{"id":6273,"type":"article-journal","container-title":"Citizenship Studies","DOI":"10.1080/13621025.2023.2171254","ISSN":"1362-1025, 1469-3593","issue":"3","journalAbbreviation":"Citizenship Studies","language":"en","page":"385-405","source":"DOI.org (Crossref)","title":"A philosophy of the theory of “acts of citizenship” woven into the fabric of a political anthropology of citizenship","volume":"27","author":[{"family":"Roy","given":"Martin"},{"family":"Neveu","given":"Catherine"}],"issued":{"date-parts":[["2023",4,3]]}}}],"schema":"https://github.com/citation-style-language/schema/raw/master/csl-citation.json"} </w:instrText>
      </w:r>
      <w:r w:rsidRPr="00662E51">
        <w:rPr>
          <w:szCs w:val="24"/>
        </w:rPr>
        <w:fldChar w:fldCharType="separate"/>
      </w:r>
      <w:r w:rsidR="00C417B4" w:rsidRPr="00662E51">
        <w:t>(Andrijasevic 2013; Guillaume 2014; Lister 2007; Nyers 2018; Roy and Neveu 2023)</w:t>
      </w:r>
      <w:r w:rsidRPr="00662E51">
        <w:rPr>
          <w:szCs w:val="24"/>
        </w:rPr>
        <w:fldChar w:fldCharType="end"/>
      </w:r>
      <w:r w:rsidRPr="00662E51">
        <w:rPr>
          <w:szCs w:val="24"/>
        </w:rPr>
        <w:t xml:space="preserve">. </w:t>
      </w:r>
      <w:r w:rsidR="002624FE">
        <w:rPr>
          <w:szCs w:val="24"/>
        </w:rPr>
        <w:t xml:space="preserve">As is shown in Chapter 5, </w:t>
      </w:r>
      <w:r w:rsidR="00143264">
        <w:rPr>
          <w:szCs w:val="24"/>
        </w:rPr>
        <w:t xml:space="preserve">citizenship is necessarily uneven based on an individual’s position. </w:t>
      </w:r>
      <w:r w:rsidRPr="00662E51">
        <w:rPr>
          <w:szCs w:val="24"/>
        </w:rPr>
        <w:t xml:space="preserve">The scene and script of citizenship are already set in these analyses, with groups merely (re-)acting them out </w:t>
      </w:r>
      <w:r w:rsidRPr="00662E51">
        <w:rPr>
          <w:szCs w:val="24"/>
        </w:rPr>
        <w:fldChar w:fldCharType="begin"/>
      </w:r>
      <w:r w:rsidR="008E2F28">
        <w:rPr>
          <w:szCs w:val="24"/>
        </w:rPr>
        <w:instrText xml:space="preserve"> ADDIN ZOTERO_ITEM CSL_CITATION {"citationID":"iM6tYIKu","properties":{"formattedCitation":"(Artero and Ambrosini 2022; Isin 2017)","plainCitation":"(Artero and Ambrosini 2022; Isin 2017)","noteIndex":0},"citationItems":[{"id":6742,"uris":["http://zotero.org/users/8977980/items/AEFVXQZN"],"itemData":{"id":6742,"type":"article-journal","abstract":"Immigrant volunteering is usually absent from the debate on the reconfiguration of citizenship ‘from below’. Indeed, it has been generally considered a conservative force, if anything, an instrument of fuller integration. Building on 25 interviews with young migrant volunteers, this paper aims to fill this gap. It shows that, even if immigrant volunteering may reinforce some conventional categorizations, it achieves the primary result of showing that people with an immigrant background deserve to be fully recognized as citizens. Moreover, voluntary work appears to shape how young immigrants perceive both their belonging and citizenship in a way that defies restrictive politics of belonging and traditional conceptions of citizenship.","container-title":"Citizenship Studies","DOI":"10.1080/13621025.2022.2053504","ISSN":"1362-1025","issue":"2","note":"_eprint: https://doi.org/10.1080/13621025.2022.2053504","page":"203-220","publisher":"Routledge","source":"Taylor and Francis+NEJM","title":"Citizenship beyond the normative script: young immigrants’ volunteering as a practice of ‘citizenship from below’","title-short":"Citizenship beyond the normative script","volume":"26","author":[{"family":"Artero","given":"Maurizio"},{"family":"Ambrosini","given":"Maurizio"}],"issued":{"date-parts":[["2022",2,17]]}}},{"id":28,"uris":["http://zotero.org/users/8977980/items/6QP49N43"],"itemData":{"id":28,"type":"chapter","abstract":"This chapter outlines a perspective that broadens the conventional view of citizenship as a legal institution by expanding on its performative force. A performative perspective on citizenship as making rights claims across multiple social groups and polities reveals its creative and transformative possibilities. By focusing our attention on performative acts or on how people creatively perform citizenship and not merely follow rules, the chapter invites us to appreciate that how people perform citizenship plays an important role in contesting and constructing citizenship and in attaching meanings to rights. By highlighting that those perform citizenship are not always citizens in the conventional sense of members of a nation-state and that they do not always act in the context of democratic or Euro-American polities, the chapter illustrates how to study multiple meanings and functions of citizenship in and across multiple polities.","container-title":"The Oxford Handbook of Citizenship","DOI":"10.1093/oxfordhb/9780198805854.013.22","ISBN":"978-0-19-880585-4","language":"en","page":"499-523","publisher":"Oxford University Press","source":"DOI.org (Crossref)","title":"Performative Citizenship","URL":"http://oxfordhandbooks.com/view/10.1093/oxfordhb/9780198805854.001.0001/oxfordhb-9780198805854-e-22","editor":[{"family":"Shachar","given":"Ayelet"},{"family":"Bauböck","given":"Rainer"},{"family":"Bloemraad","given":"Irene"},{"family":"Vink","given":"Maarten"}],"author":[{"family":"Isin","given":"Engin"}],"accessed":{"date-parts":[["2022",1,18]]},"issued":{"date-parts":[["2017",8,3]]}}}],"schema":"https://github.com/citation-style-language/schema/raw/master/csl-citation.json"} </w:instrText>
      </w:r>
      <w:r w:rsidRPr="00662E51">
        <w:rPr>
          <w:szCs w:val="24"/>
        </w:rPr>
        <w:fldChar w:fldCharType="separate"/>
      </w:r>
      <w:r w:rsidR="008E2F28" w:rsidRPr="008E2F28">
        <w:t>(Artero and Ambrosini 2022; Isin 2017)</w:t>
      </w:r>
      <w:r w:rsidRPr="00662E51">
        <w:rPr>
          <w:szCs w:val="24"/>
        </w:rPr>
        <w:fldChar w:fldCharType="end"/>
      </w:r>
      <w:r w:rsidRPr="00662E51">
        <w:rPr>
          <w:szCs w:val="24"/>
        </w:rPr>
        <w:t xml:space="preserve">. In other words, this perspective leaves out the </w:t>
      </w:r>
      <w:r w:rsidRPr="00662E51">
        <w:rPr>
          <w:i/>
          <w:iCs/>
          <w:szCs w:val="24"/>
        </w:rPr>
        <w:t>processual</w:t>
      </w:r>
      <w:r w:rsidRPr="00662E51">
        <w:rPr>
          <w:szCs w:val="24"/>
        </w:rPr>
        <w:t xml:space="preserve"> element of citizenship—the “importance of mobilisation, contestation and claims to rights to the ways in which citizenship is negotiated on the ground” </w:t>
      </w:r>
      <w:r w:rsidRPr="00662E51">
        <w:rPr>
          <w:szCs w:val="24"/>
        </w:rPr>
        <w:fldChar w:fldCharType="begin"/>
      </w:r>
      <w:r w:rsidR="008835AB" w:rsidRPr="00662E51">
        <w:rPr>
          <w:szCs w:val="24"/>
        </w:rPr>
        <w:instrText xml:space="preserve"> ADDIN ZOTERO_ITEM CSL_CITATION {"citationID":"51QdHfre","properties":{"formattedCitation":"(Andrijasevic 2013, 50)","plainCitation":"(Andrijasevic 2013, 50)","noteIndex":0},"citationItems":[{"id":5117,"uris":["http://zotero.org/users/8977980/items/E4D94GS2"],"itemData":{"id":5117,"type":"chapter","container-title":"Enacting European Citizenship","DOI":"10.1017/CBO9781139524025.008","ISBN":"978-1-139-52402-5","page":"47-65","publisher":"Cambridge University Press","publisher-place":"Cambridge","source":"Cambridge University Press","title":"Acts of citizenship as methodology","URL":"https://www.cambridge.org/core/books/abs/enacting-european-citizenship/acts-of-citizenship-as-methodology/D7E1D119E9593A67BD34D2027FD555F9","editor":[{"family":"Isin","given":"Engin"},{"family":"Saward","given":"Michael"}],"author":[{"family":"Andrijasevic","given":"Rutvica"}],"accessed":{"date-parts":[["2022",10,5]]},"issued":{"date-parts":[["2013"]]}},"locator":"50"}],"schema":"https://github.com/citation-style-language/schema/raw/master/csl-citation.json"} </w:instrText>
      </w:r>
      <w:r w:rsidRPr="00662E51">
        <w:rPr>
          <w:szCs w:val="24"/>
        </w:rPr>
        <w:fldChar w:fldCharType="separate"/>
      </w:r>
      <w:r w:rsidR="0095662D" w:rsidRPr="00662E51">
        <w:t>(Andrijasevic 2013, 50)</w:t>
      </w:r>
      <w:r w:rsidRPr="00662E51">
        <w:rPr>
          <w:szCs w:val="24"/>
        </w:rPr>
        <w:fldChar w:fldCharType="end"/>
      </w:r>
      <w:r w:rsidRPr="00662E51">
        <w:rPr>
          <w:szCs w:val="24"/>
        </w:rPr>
        <w:t xml:space="preserve">. </w:t>
      </w:r>
    </w:p>
    <w:p w14:paraId="5CE500ED" w14:textId="197F55D4" w:rsidR="007B4EA4" w:rsidRPr="00662E51" w:rsidRDefault="007B4EA4" w:rsidP="00F56305">
      <w:pPr>
        <w:spacing w:line="360" w:lineRule="auto"/>
        <w:ind w:left="0" w:firstLine="720"/>
        <w:rPr>
          <w:szCs w:val="24"/>
        </w:rPr>
      </w:pPr>
      <w:r w:rsidRPr="00662E51">
        <w:rPr>
          <w:szCs w:val="24"/>
        </w:rPr>
        <w:t xml:space="preserve">One solution is to shift the lens towards citizenship-related activity that “constitute[s] actors who claim and assert rights and obligations, [and] enact themselves ” as citizens  </w:t>
      </w:r>
      <w:r w:rsidRPr="00662E51">
        <w:rPr>
          <w:szCs w:val="24"/>
        </w:rPr>
        <w:fldChar w:fldCharType="begin"/>
      </w:r>
      <w:r w:rsidR="008E2F28">
        <w:rPr>
          <w:szCs w:val="24"/>
        </w:rPr>
        <w:instrText xml:space="preserve"> ADDIN ZOTERO_ITEM CSL_CITATION {"citationID":"bdqpxOCk","properties":{"formattedCitation":"(Isin 2008, 39)","plainCitation":"(Isin 2008, 39)","noteIndex":0},"citationItems":[{"id":256,"uris":["http://zotero.org/users/8977980/items/ZRWP6PIY"],"itemData":{"id":256,"type":"chapter","abstract":"Politics,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Marc"}],"author":[{"family":"Isin","given":"Engin"}],"accessed":{"date-parts":[["2022",2,3]]},"issued":{"date-parts":[["2008"]]}},"locator":"39","label":"page"}],"schema":"https://github.com/citation-style-language/schema/raw/master/csl-citation.json"} </w:instrText>
      </w:r>
      <w:r w:rsidRPr="00662E51">
        <w:rPr>
          <w:szCs w:val="24"/>
        </w:rPr>
        <w:fldChar w:fldCharType="separate"/>
      </w:r>
      <w:r w:rsidR="008E2F28" w:rsidRPr="008E2F28">
        <w:t>(Isin 2008, 39)</w:t>
      </w:r>
      <w:r w:rsidRPr="00662E51">
        <w:rPr>
          <w:szCs w:val="24"/>
        </w:rPr>
        <w:fldChar w:fldCharType="end"/>
      </w:r>
      <w:r w:rsidRPr="00662E51">
        <w:rPr>
          <w:szCs w:val="24"/>
        </w:rPr>
        <w:t xml:space="preserve">. That is, it is a process of differentiation and defining through which a group claims entrance into the category of ‘citizen.’  These are ‘acts of citizenship,’ and </w:t>
      </w:r>
      <w:r w:rsidR="009C3CFA" w:rsidRPr="00662E51">
        <w:rPr>
          <w:szCs w:val="24"/>
        </w:rPr>
        <w:t>inform this thesis’s research on the Broadwater Farm Youth Association (Chapter 5)</w:t>
      </w:r>
      <w:r w:rsidRPr="00662E51">
        <w:rPr>
          <w:szCs w:val="24"/>
        </w:rPr>
        <w:t>. Acts are more than the “routinized social actions,” or scripts, of citizenship. Indeed, acts “</w:t>
      </w:r>
      <w:r w:rsidRPr="00662E51">
        <w:rPr>
          <w:i/>
          <w:iCs/>
          <w:szCs w:val="24"/>
        </w:rPr>
        <w:t>stand in contrast to habitus and other concepts that emphasize the relatively enduring disposition</w:t>
      </w:r>
      <w:r w:rsidRPr="00662E51">
        <w:rPr>
          <w:szCs w:val="24"/>
        </w:rPr>
        <w:t xml:space="preserve">” of citizenship as they “break routines, understandings, and practices.” Typical scripts of citizenship like “voting, taxpaying and enlisting may make a difference under certain conditions” but they are not </w:t>
      </w:r>
      <w:r w:rsidRPr="00662E51">
        <w:rPr>
          <w:i/>
          <w:iCs/>
          <w:szCs w:val="24"/>
        </w:rPr>
        <w:t>inherently</w:t>
      </w:r>
      <w:r w:rsidRPr="00662E51">
        <w:rPr>
          <w:szCs w:val="24"/>
        </w:rPr>
        <w:t xml:space="preserve"> different: they are expected from (active) citizens. To engage in an act of citizenship is to “enact the unexpected and unpredictable” and different </w:t>
      </w:r>
      <w:r w:rsidRPr="00662E51">
        <w:rPr>
          <w:szCs w:val="24"/>
        </w:rPr>
        <w:fldChar w:fldCharType="begin"/>
      </w:r>
      <w:r w:rsidR="008E2F28">
        <w:rPr>
          <w:szCs w:val="24"/>
        </w:rPr>
        <w:instrText xml:space="preserve"> ADDIN ZOTERO_ITEM CSL_CITATION {"citationID":"gkZPmasU","properties":{"formattedCitation":"(Isin 2009, 379\\uc0\\u8211{}80)","plainCitation":"(Isin 2009, 379–80)","noteIndex":0},"citationItems":[{"id":3264,"uris":["http://zotero.org/users/8977980/items/NL6Y98JU"],"itemData":{"id":3264,"type":"article-journal","abstract":"Throughout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flux","volume":"29","author":[{"family":"Isin","given":"Engin"}],"issued":{"date-parts":[["2009",12,1]]}},"locator":"379-380","label":"page"}],"schema":"https://github.com/citation-style-language/schema/raw/master/csl-citation.json"} </w:instrText>
      </w:r>
      <w:r w:rsidRPr="00662E51">
        <w:rPr>
          <w:szCs w:val="24"/>
        </w:rPr>
        <w:fldChar w:fldCharType="separate"/>
      </w:r>
      <w:r w:rsidR="008E2F28" w:rsidRPr="008E2F28">
        <w:rPr>
          <w:rFonts w:cs="Times New Roman"/>
          <w:kern w:val="0"/>
        </w:rPr>
        <w:t>(Isin 2009, 379–80)</w:t>
      </w:r>
      <w:r w:rsidRPr="00662E51">
        <w:rPr>
          <w:szCs w:val="24"/>
        </w:rPr>
        <w:fldChar w:fldCharType="end"/>
      </w:r>
      <w:r w:rsidRPr="00662E51">
        <w:rPr>
          <w:szCs w:val="24"/>
        </w:rPr>
        <w:t xml:space="preserve">. In sum, acts of citizenship occur when “individuals and groups articulate a claim to political subjectivity through assuming the very rights they are seen to lack” </w:t>
      </w:r>
      <w:r w:rsidRPr="00662E51">
        <w:rPr>
          <w:szCs w:val="24"/>
        </w:rPr>
        <w:fldChar w:fldCharType="begin"/>
      </w:r>
      <w:r w:rsidRPr="00662E51">
        <w:rPr>
          <w:szCs w:val="24"/>
        </w:rPr>
        <w:instrText xml:space="preserve"> ADDIN ZOTERO_ITEM CSL_CITATION {"citationID":"clDnHa1V","properties":{"formattedCitation":"(Darling 2014, 82)","plainCitation":"(Darling 2014, 82)","noteIndex":0},"citationItems":[{"id":3275,"uris":["http://zotero.org/users/8977980/items/ERTQGRHZ"],"itemData":{"id":3275,"type":"article-journal","abstract":"This paper explores the ways in which practices of asylum governance serve to depoliticise those seeking asylum in the UK. In critiquing claims over the “post-political” nature of contemporary governance, the paper proposes a focus upon situated practices of depoliticisation which displace those seeking asylum through the production of specific sites of accommodation and specific discourses of risk, security and moralised concern. The paper questions the tendency within “post-political” thought to strip the potential of modes of informal citizenship through arguing that minor acts of resistance are ineffectual and illusory. In response, the paper explores irregular migrant's “acts of citizenship”, and suggests that such prosaic acts can be powerful forms of political interruption through which new ways of seeing asylum are constructed. The paper concludes by suggesting that an incremental politics orientated around such acts of interruption is essential to challenge the material, affective and discursive closures of asylum domopolitics.","container-title":"Antipode","DOI":"10.1111/anti.12026","ISSN":"1467-8330","issue":"1","language":"en","note":"_eprint: https://onlinelibrary.wiley.com/doi/pdf/10.1111/anti.12026","page":"72-91","source":"Wiley Online Library","title":"Asylum and the Post-Political: Domopolitics, Depoliticisation and Acts of Citizenship","title-short":"Asylum and the Post-Political","volume":"46","author":[{"family":"Darling","given":"Jonathan"}],"issued":{"date-parts":[["2014"]]}},"locator":"82"}],"schema":"https://github.com/citation-style-language/schema/raw/master/csl-citation.json"} </w:instrText>
      </w:r>
      <w:r w:rsidRPr="00662E51">
        <w:rPr>
          <w:szCs w:val="24"/>
        </w:rPr>
        <w:fldChar w:fldCharType="separate"/>
      </w:r>
      <w:r w:rsidR="0095662D" w:rsidRPr="00662E51">
        <w:t>(Darling 2014, 82)</w:t>
      </w:r>
      <w:r w:rsidRPr="00662E51">
        <w:rPr>
          <w:szCs w:val="24"/>
        </w:rPr>
        <w:fldChar w:fldCharType="end"/>
      </w:r>
      <w:r w:rsidRPr="00662E51">
        <w:rPr>
          <w:szCs w:val="24"/>
        </w:rPr>
        <w:t>.</w:t>
      </w:r>
      <w:r w:rsidR="00D043BB">
        <w:rPr>
          <w:szCs w:val="24"/>
        </w:rPr>
        <w:t xml:space="preserve"> As I detail in Chapter 5, acts of citizenship is a </w:t>
      </w:r>
      <w:r w:rsidR="008E0A8A">
        <w:rPr>
          <w:szCs w:val="24"/>
        </w:rPr>
        <w:t xml:space="preserve">framework that helps explain how activism can transform political subjectivities. </w:t>
      </w:r>
    </w:p>
    <w:p w14:paraId="586163EE" w14:textId="11AD7BE0" w:rsidR="007B4EA4" w:rsidRPr="00662E51" w:rsidRDefault="007B4EA4" w:rsidP="00F56305">
      <w:pPr>
        <w:spacing w:line="360" w:lineRule="auto"/>
        <w:ind w:left="0" w:firstLine="720"/>
        <w:rPr>
          <w:szCs w:val="24"/>
        </w:rPr>
      </w:pPr>
      <w:r w:rsidRPr="00662E51">
        <w:rPr>
          <w:szCs w:val="24"/>
        </w:rPr>
        <w:t xml:space="preserve">Isin </w:t>
      </w:r>
      <w:r w:rsidRPr="00662E51">
        <w:rPr>
          <w:szCs w:val="24"/>
        </w:rPr>
        <w:fldChar w:fldCharType="begin"/>
      </w:r>
      <w:r w:rsidRPr="00662E51">
        <w:rPr>
          <w:szCs w:val="24"/>
        </w:rPr>
        <w:instrText xml:space="preserve"> ADDIN ZOTERO_ITEM CSL_CITATION {"citationID":"GdT8Qghj","properties":{"formattedCitation":"(2009, 371)","plainCitation":"(2009, 371)","noteIndex":0},"citationItems":[{"id":3264,"uris":["http://zotero.org/users/8977980/items/NL6Y98JU"],"itemData":{"id":3264,"type":"article-journal","abstract":"Throughout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flux","volume":"29","author":[{"family":"Isin","given":"Engin"}],"issued":{"date-parts":[["2009",12,1]]}},"locator":"371","label":"page","suppress-author":true}],"schema":"https://github.com/citation-style-language/schema/raw/master/csl-citation.json"} </w:instrText>
      </w:r>
      <w:r w:rsidRPr="00662E51">
        <w:rPr>
          <w:szCs w:val="24"/>
        </w:rPr>
        <w:fldChar w:fldCharType="separate"/>
      </w:r>
      <w:r w:rsidR="0095662D" w:rsidRPr="00662E51">
        <w:t>(2009, 371)</w:t>
      </w:r>
      <w:r w:rsidRPr="00662E51">
        <w:rPr>
          <w:szCs w:val="24"/>
        </w:rPr>
        <w:fldChar w:fldCharType="end"/>
      </w:r>
      <w:r w:rsidRPr="00662E51">
        <w:rPr>
          <w:szCs w:val="24"/>
        </w:rPr>
        <w:t xml:space="preserve"> identifies three relevant aspects to identify what constitutes an act of citizenship. First, the qualities of an act only arise after the fact. What matters is that acts permit actors to “constitute themselves as those with ‘the right to claim rights.’” The intended results of an act of citizenship—equality, freedom, recognition, and so on—are less important than its single quality as a rupture. </w:t>
      </w:r>
      <w:r w:rsidRPr="00662E51">
        <w:rPr>
          <w:szCs w:val="24"/>
        </w:rPr>
        <w:lastRenderedPageBreak/>
        <w:t xml:space="preserve">This is why acts that fail at their stated goals </w:t>
      </w:r>
      <w:r w:rsidRPr="00662E51">
        <w:rPr>
          <w:szCs w:val="24"/>
        </w:rPr>
        <w:fldChar w:fldCharType="begin"/>
      </w:r>
      <w:r w:rsidR="008835AB" w:rsidRPr="00662E51">
        <w:rPr>
          <w:szCs w:val="24"/>
        </w:rPr>
        <w:instrText xml:space="preserve"> ADDIN ZOTERO_ITEM CSL_CITATION {"citationID":"3Wi6FWhg","properties":{"formattedCitation":"(Andrijasevic 2013; Pontrandolfo 2018)","plainCitation":"(Andrijasevic 2013; Pontrandolfo 2018)","noteIndex":0},"citationItems":[{"id":5117,"uris":["http://zotero.org/users/8977980/items/E4D94GS2"],"itemData":{"id":5117,"type":"chapter","container-title":"Enacting European Citizenship","DOI":"10.1017/CBO9781139524025.008","ISBN":"978-1-139-52402-5","page":"47-65","publisher":"Cambridge University Press","publisher-place":"Cambridge","source":"Cambridge University Press","title":"Acts of citizenship as methodology","URL":"https://www.cambridge.org/core/books/abs/enacting-european-citizenship/acts-of-citizenship-as-methodology/D7E1D119E9593A67BD34D2027FD555F9","editor":[{"family":"Isin","given":"Engin"},{"family":"Saward","given":"Michael"}],"author":[{"family":"Andrijasevic","given":"Rutvica"}],"accessed":{"date-parts":[["2022",10,5]]},"issued":{"date-parts":[["2013"]]}}},{"id":1415,"uris":["http://zotero.org/users/8977980/items/B2S7Z254"],"itemData":{"id":1415,"type":"article-journal","abstract":"This article presents the case study of a community-based Roma struggle to challenge categorisations, improve housing conditions and access citizenship rights. It is an ethnographic account of the citizenship enactments that a Roma family network, which migrated from Romania to Italy, has been pursuing since its arrival in the southern Italian town of Bari. The aim is to promote the value of ethnographic research in understanding the numerous, complex ways in which 'being political' among Roma is possible. This can take place not only through elite Roma activism, or by communities of Roma producing 'hidden transcripts', but also through community-based 'acts of citizenship'.","container-title":"Nomadic Peoples","ISSN":"0822-7942","issue":"1","page":"83-103","publisher":"White Horse Press","source":"JSTOR","title":"Roma 'Acts of Citizenship': Negotiating Categories and Housing Solutions","title-short":"ROMA 'ACTS OF CITIZENSHIP'","volume":"22","author":[{"family":"Pontrandolfo","given":"Stefania"}],"issued":{"date-parts":[["2018"]]}}}],"schema":"https://github.com/citation-style-language/schema/raw/master/csl-citation.json"} </w:instrText>
      </w:r>
      <w:r w:rsidRPr="00662E51">
        <w:rPr>
          <w:szCs w:val="24"/>
        </w:rPr>
        <w:fldChar w:fldCharType="separate"/>
      </w:r>
      <w:r w:rsidR="0095662D" w:rsidRPr="00662E51">
        <w:t>(Andrijasevic 2013; Pontrandolfo 2018)</w:t>
      </w:r>
      <w:r w:rsidRPr="00662E51">
        <w:rPr>
          <w:szCs w:val="24"/>
        </w:rPr>
        <w:fldChar w:fldCharType="end"/>
      </w:r>
      <w:r w:rsidRPr="00662E51">
        <w:rPr>
          <w:szCs w:val="24"/>
        </w:rPr>
        <w:t xml:space="preserve"> or are unintentional </w:t>
      </w:r>
      <w:r w:rsidRPr="00662E51">
        <w:rPr>
          <w:szCs w:val="24"/>
        </w:rPr>
        <w:fldChar w:fldCharType="begin"/>
      </w:r>
      <w:r w:rsidR="008835AB" w:rsidRPr="00662E51">
        <w:rPr>
          <w:szCs w:val="24"/>
        </w:rPr>
        <w:instrText xml:space="preserve"> ADDIN ZOTERO_ITEM CSL_CITATION {"citationID":"yil6p4Qj","properties":{"formattedCitation":"(Morrison 2008)","plainCitation":"(Morrison 2008)","noteIndex":0},"citationItems":[{"id":4199,"uris":["http://zotero.org/users/8977980/items/ZGD7W7T2"],"itemData":{"id":4199,"type":"chapter","call-number":"NetLibrary, 323.6 ACT, 323.6 ISI","container-title":"Acts of Citizenship","ISBN":"978-1-84813-263-4","language":"eng","publisher":"Zed Books Ltd","publisher-place":"London, UK","source":"discover.durham.ac.uk","title":"Act 10: Unintentional Acts of Citizenship (&lt;i&gt;The Joke&lt;/i&gt;)","editor":[{"family":"Isin","given":"Engin"},{"family":"Nielsen","given":"Greg Marc"}],"author":[{"family":"Morrison","given":"Ian"}],"accessed":{"date-parts":[["2022",2,3]]},"issued":{"date-parts":[["2008"]]}}}],"schema":"https://github.com/citation-style-language/schema/raw/master/csl-citation.json"} </w:instrText>
      </w:r>
      <w:r w:rsidRPr="00662E51">
        <w:rPr>
          <w:szCs w:val="24"/>
        </w:rPr>
        <w:fldChar w:fldCharType="separate"/>
      </w:r>
      <w:r w:rsidR="0095662D" w:rsidRPr="00662E51">
        <w:t>(Morrison 2008)</w:t>
      </w:r>
      <w:r w:rsidRPr="00662E51">
        <w:rPr>
          <w:szCs w:val="24"/>
        </w:rPr>
        <w:fldChar w:fldCharType="end"/>
      </w:r>
      <w:r w:rsidRPr="00662E51">
        <w:rPr>
          <w:szCs w:val="24"/>
        </w:rPr>
        <w:t xml:space="preserve"> are still acts, as the relevant point is the transformation to full citizen. Acts that have unintended consequences are still acts, too, even if they result in regressive outcomes </w:t>
      </w:r>
      <w:r w:rsidRPr="00662E51">
        <w:rPr>
          <w:szCs w:val="24"/>
        </w:rPr>
        <w:fldChar w:fldCharType="begin"/>
      </w:r>
      <w:r w:rsidR="008E2F28">
        <w:rPr>
          <w:szCs w:val="24"/>
        </w:rPr>
        <w:instrText xml:space="preserve"> ADDIN ZOTERO_ITEM CSL_CITATION {"citationID":"kOkv9doU","properties":{"formattedCitation":"(Mantu and Guild 2013)","plainCitation":"(Mantu and Guild 2013)","noteIndex":0},"citationItems":[{"id":6743,"uris":["http://zotero.org/users/8977980/items/LWU2YRDS"],"itemData":{"id":6743,"type":"chapter","container-title":"Enacting European Citizenship","DOI":"10.1017/CBO9781139524025.007","ISBN":"978-1-107-03396-2","page":"111-131","publisher":"Cambridge University Press","publisher-place":"Cambridge","source":"Cambridge University Press","title":"Acts of citizenship deprivation: ruptures between citizen and state","title-short":"Acts of citizenship deprivation","URL":"https://www.cambridge.org/core/books/enacting-european-citizenship/acts-of-citizenship-deprivation-ruptures-between-citizen-and-state/C7FCFF4126DE87EEEDFA750CB02F76C1","editor":[{"family":"Isin","given":"Engin"},{"family":"Saward","given":"Michael"}],"author":[{"family":"Mantu","given":"Sandra"},{"family":"Guild","given":"Elspeth"}],"accessed":{"date-parts":[["2025",7,14]]},"issued":{"date-parts":[["2013"]]}}}],"schema":"https://github.com/citation-style-language/schema/raw/master/csl-citation.json"} </w:instrText>
      </w:r>
      <w:r w:rsidRPr="00662E51">
        <w:rPr>
          <w:szCs w:val="24"/>
        </w:rPr>
        <w:fldChar w:fldCharType="separate"/>
      </w:r>
      <w:r w:rsidR="0095662D" w:rsidRPr="00662E51">
        <w:t>(Mantu and Guild 2013)</w:t>
      </w:r>
      <w:r w:rsidRPr="00662E51">
        <w:rPr>
          <w:szCs w:val="24"/>
        </w:rPr>
        <w:fldChar w:fldCharType="end"/>
      </w:r>
      <w:r w:rsidRPr="00662E51">
        <w:rPr>
          <w:szCs w:val="24"/>
        </w:rPr>
        <w:t xml:space="preserve">. Acts are a diverse category, and thus Isin </w:t>
      </w:r>
      <w:r w:rsidRPr="00662E51">
        <w:rPr>
          <w:szCs w:val="24"/>
        </w:rPr>
        <w:fldChar w:fldCharType="begin"/>
      </w:r>
      <w:r w:rsidR="00F15CF8">
        <w:rPr>
          <w:szCs w:val="24"/>
        </w:rPr>
        <w:instrText xml:space="preserve"> ADDIN ZOTERO_ITEM CSL_CITATION {"citationID":"PcjkFz0L","properties":{"formattedCitation":"(2008, 2009, 2017)","plainCitation":"(2008, 2009, 2017)","noteIndex":0},"citationItems":[{"id":256,"uris":["http://zotero.org/users/8977980/items/ZRWP6PIY"],"itemData":{"id":256,"type":"chapter","abstract":"Politics,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abel":"page","suppress-author":true},{"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flux","volume":"29","author":[{"family":"Isin","given":"Engin"}],"issued":{"date-parts":[["2009",12,1]]}},"label":"page","suppress-author":true},{"id":28,"uris":["http://zotero.org/users/8977980/items/6QP49N43"],"itemData":{"id":28,"type":"chapter","abstract":"This chapter outlines a perspective that broadens the conventional view of citizenship as a legal institution by expanding on its performative force. A performative perspective on citizenship as making rights claims across multiple social groups and polities reveals its creative and transformative possibilities. By focusing our attention on performative acts or on how people creatively perform citizenship and not merely follow rules, the chapter invites us to appreciate that how people perform citizenship plays an important role in contesting and constructing citizenship and in attaching meanings to rights. By highlighting that those perform citizenship are not always citizens in the conventional sense of members of a nation-state and that they do not always act in the context of democratic or Euro-American polities, the chapter illustrates how to study multiple meanings and functions of citizenship in and across multiple polities.","container-title":"The Oxford Handbook of Citizenship","DOI":"10.1093/oxfordhb/9780198805854.013.22","ISBN":"978-0-19-880585-4","language":"en","page":"499-523","publisher":"Oxford University Press","source":"DOI.org (Crossref)","title":"Performative Citizenship","URL":"http://oxfordhandbooks.com/view/10.1093/oxfordhb/9780198805854.001.0001/oxfordhb-9780198805854-e-22","editor":[{"family":"Shachar","given":"Ayelet"},{"family":"Bauböck","given":"Rainer"},{"family":"Bloemraad","given":"Irene"},{"family":"Vink","given":"Maarten"}],"author":[{"family":"Isin","given":"Engin"}],"accessed":{"date-parts":[["2022",1,18]]},"issued":{"date-parts":[["2017",8,3]]}},"label":"page","suppress-author":true}],"schema":"https://github.com/citation-style-language/schema/raw/master/csl-citation.json"} </w:instrText>
      </w:r>
      <w:r w:rsidRPr="00662E51">
        <w:rPr>
          <w:szCs w:val="24"/>
        </w:rPr>
        <w:fldChar w:fldCharType="separate"/>
      </w:r>
      <w:r w:rsidR="00F15CF8" w:rsidRPr="00F15CF8">
        <w:t>(2008, 2009, 2017)</w:t>
      </w:r>
      <w:r w:rsidRPr="00662E51">
        <w:rPr>
          <w:szCs w:val="24"/>
        </w:rPr>
        <w:fldChar w:fldCharType="end"/>
      </w:r>
      <w:r w:rsidRPr="00662E51">
        <w:rPr>
          <w:szCs w:val="24"/>
        </w:rPr>
        <w:t xml:space="preserve"> insists scholars attend to this difference through an open approach that does not ascribe qualities to an act but rather stresses its transformative power.</w:t>
      </w:r>
    </w:p>
    <w:p w14:paraId="2B438784" w14:textId="092913CE" w:rsidR="007B4EA4" w:rsidRPr="00662E51" w:rsidRDefault="007B4EA4" w:rsidP="00F56305">
      <w:pPr>
        <w:spacing w:line="360" w:lineRule="auto"/>
        <w:ind w:left="0" w:firstLine="720"/>
        <w:rPr>
          <w:szCs w:val="24"/>
        </w:rPr>
      </w:pPr>
      <w:r w:rsidRPr="00662E51">
        <w:rPr>
          <w:szCs w:val="24"/>
        </w:rPr>
        <w:t xml:space="preserve">Second, an act of citizenship is about the formation of “actors that become answerable to justice against injustice” </w:t>
      </w:r>
      <w:r w:rsidRPr="00662E51">
        <w:rPr>
          <w:szCs w:val="24"/>
        </w:rPr>
        <w:fldChar w:fldCharType="begin"/>
      </w:r>
      <w:r w:rsidR="008E2F28">
        <w:rPr>
          <w:szCs w:val="24"/>
        </w:rPr>
        <w:instrText xml:space="preserve"> ADDIN ZOTERO_ITEM CSL_CITATION {"citationID":"anrdMz20","properties":{"formattedCitation":"(Isin 2008, 39)","plainCitation":"(Isin 2008, 39)","noteIndex":0},"citationItems":[{"id":256,"uris":["http://zotero.org/users/8977980/items/ZRWP6PIY"],"itemData":{"id":256,"type":"chapter","abstract":"Politics,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Marc"}],"author":[{"family":"Isin","given":"Engin"}],"accessed":{"date-parts":[["2022",2,3]]},"issued":{"date-parts":[["2008"]]}},"locator":"39"}],"schema":"https://github.com/citation-style-language/schema/raw/master/csl-citation.json"} </w:instrText>
      </w:r>
      <w:r w:rsidRPr="00662E51">
        <w:rPr>
          <w:szCs w:val="24"/>
        </w:rPr>
        <w:fldChar w:fldCharType="separate"/>
      </w:r>
      <w:r w:rsidR="008E2F28" w:rsidRPr="008E2F28">
        <w:t>(Isin 2008, 39)</w:t>
      </w:r>
      <w:r w:rsidRPr="00662E51">
        <w:rPr>
          <w:szCs w:val="24"/>
        </w:rPr>
        <w:fldChar w:fldCharType="end"/>
      </w:r>
      <w:r w:rsidRPr="00662E51">
        <w:rPr>
          <w:szCs w:val="24"/>
        </w:rPr>
        <w:t xml:space="preserve">. The formation of the subject of citizen rather than stranger or Other is at the core of this theory </w:t>
      </w:r>
      <w:r w:rsidRPr="00662E51">
        <w:rPr>
          <w:szCs w:val="24"/>
        </w:rPr>
        <w:fldChar w:fldCharType="begin"/>
      </w:r>
      <w:r w:rsidR="008835AB" w:rsidRPr="00662E51">
        <w:rPr>
          <w:szCs w:val="24"/>
        </w:rPr>
        <w:instrText xml:space="preserve"> ADDIN ZOTERO_ITEM CSL_CITATION {"citationID":"qm3Cs6pD","properties":{"formattedCitation":"(Nyers 2008)","plainCitation":"(Nyers 2008)","noteIndex":0},"citationItems":[{"id":274,"uris":["http://zotero.org/users/8977980/items/CJIY3UC6"],"itemData":{"id":274,"type":"chapter","abstract":"Politics,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Citizenship","ISBN":"978-1-84813-263-4","language":"eng","page":"160-81","publisher":"Zed Books Ltd","publisher-place":"London, UK","title":"No One Is Illegal Between City and Nation","editor":[{"family":"Isin","given":"Engin"},{"family":"Nielsen","given":"Greg Marc"}],"author":[{"family":"Nyers","given":"Peter"}],"accessed":{"date-parts":[["2022",2,3]]},"issued":{"date-parts":[["2008"]]}}}],"schema":"https://github.com/citation-style-language/schema/raw/master/csl-citation.json"} </w:instrText>
      </w:r>
      <w:r w:rsidRPr="00662E51">
        <w:rPr>
          <w:szCs w:val="24"/>
        </w:rPr>
        <w:fldChar w:fldCharType="separate"/>
      </w:r>
      <w:r w:rsidR="0095662D" w:rsidRPr="00662E51">
        <w:t>(Nyers 2008)</w:t>
      </w:r>
      <w:r w:rsidRPr="00662E51">
        <w:rPr>
          <w:szCs w:val="24"/>
        </w:rPr>
        <w:fldChar w:fldCharType="end"/>
      </w:r>
      <w:r w:rsidRPr="00662E51">
        <w:rPr>
          <w:szCs w:val="24"/>
        </w:rPr>
        <w:t xml:space="preserve">. What does this subject look like? A subject’s key quality is its answerability: the citizenship actor acts in such a way that it </w:t>
      </w:r>
      <w:r w:rsidRPr="00662E51">
        <w:rPr>
          <w:i/>
          <w:iCs/>
          <w:szCs w:val="24"/>
        </w:rPr>
        <w:t>demands</w:t>
      </w:r>
      <w:r w:rsidRPr="00662E51">
        <w:rPr>
          <w:szCs w:val="24"/>
        </w:rPr>
        <w:t xml:space="preserve"> a response </w:t>
      </w:r>
      <w:r w:rsidRPr="00662E51">
        <w:rPr>
          <w:szCs w:val="24"/>
        </w:rPr>
        <w:fldChar w:fldCharType="begin"/>
      </w:r>
      <w:r w:rsidRPr="00662E51">
        <w:rPr>
          <w:szCs w:val="24"/>
        </w:rPr>
        <w:instrText xml:space="preserve"> ADDIN ZOTERO_ITEM CSL_CITATION {"citationID":"OrtZvctv","properties":{"formattedCitation":"(Nielsen 2012)","plainCitation":"(Nielsen 2012)","noteIndex":0},"citationItems":[{"id":6745,"uris":["http://zotero.org/users/8977980/items/8S9RIVTF"],"itemData":{"id":6745,"type":"book","abstract":"Greg M. Nielsen brings Mikhail Bakhtin's ethics and aesthetics into a dialogue with social theory that responds to the sense of ambivalence and uncertainty at the core of modern societies. Nielsen situates a social theory between Bakhtin's norms of answerability and Jürgen Habermas's sociology, ethics, and discourse theory of democracy in a way that emphasizes the creative dimension in social action without reducing explanation to the emotional and volitional impulse of the individual or collective actor. Some of the classical sources that support this mediated position are traced to Alexander Vvedenskij's and Georg Simmel's critiques of Kant's ethics, Hermann Cohen's philosophy of fellowship, and Max Weber's and George Herbert Mead's theories of action. In the shift from Bakhtin's theory of interpersonal relations to a dialogic theory of societal events that defends the bold claim that law and politics should not be completely separated from the specificity of ethical and cultural communities, a study of citizenship and national identity is developed.","ISBN":"978-0-7914-8932-1","language":"en","note":"Google-Books-ID: EJI3qSzbfksC","number-of-pages":"273","publisher":"State University of New York Press","source":"Google Books","title":"The Norms of Answerability: Social Theory Between Bakhtin and Habermas","title-short":"The Norms of Answerability","author":[{"family":"Nielsen","given":"Greg Marc"}],"issued":{"date-parts":[["2012",2,1]]}}}],"schema":"https://github.com/citation-style-language/schema/raw/master/csl-citation.json"} </w:instrText>
      </w:r>
      <w:r w:rsidRPr="00662E51">
        <w:rPr>
          <w:szCs w:val="24"/>
        </w:rPr>
        <w:fldChar w:fldCharType="separate"/>
      </w:r>
      <w:r w:rsidR="0095662D" w:rsidRPr="00662E51">
        <w:t>(Nielsen 2012)</w:t>
      </w:r>
      <w:r w:rsidRPr="00662E51">
        <w:rPr>
          <w:szCs w:val="24"/>
        </w:rPr>
        <w:fldChar w:fldCharType="end"/>
      </w:r>
      <w:r w:rsidRPr="00662E51">
        <w:rPr>
          <w:szCs w:val="24"/>
        </w:rPr>
        <w:t xml:space="preserve">. Nielsen </w:t>
      </w:r>
      <w:r w:rsidRPr="00662E51">
        <w:rPr>
          <w:szCs w:val="24"/>
        </w:rPr>
        <w:fldChar w:fldCharType="begin"/>
      </w:r>
      <w:r w:rsidR="008835AB" w:rsidRPr="00662E51">
        <w:rPr>
          <w:szCs w:val="24"/>
        </w:rPr>
        <w:instrText xml:space="preserve"> ADDIN ZOTERO_ITEM CSL_CITATION {"citationID":"kqF4aN27","properties":{"formattedCitation":"(2008, 268)","plainCitation":"(2008, 268)","noteIndex":0},"citationItems":[{"id":276,"uris":["http://zotero.org/users/8977980/items/77DNTAAJ"],"itemData":{"id":276,"type":"chapter","abstract":"Politics,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Citizenship","ISBN":"978-1-84813-263-4","language":"eng","page":"266-286","publisher":"Zed Books Ltd","publisher-place":"London, UK","source":"discover.durham.ac.uk","title":"Answerability with Cosmopolitan Intent: An Ethics-Based Politics for Acts of Urban Citizenship","URL":"https://ezphost.dur.ac.uk/login?url=https://search.ebscohost.com/login.aspx?direct=true&amp;scope=site&amp;db=nlebk&amp;AN=260783","editor":[{"family":"Isin","given":"Engin"},{"family":"Nielsen","given":"Greg Marc"}],"author":[{"family":"Nielsen","given":"Greg Marc"}],"accessed":{"date-parts":[["2022",2,3]]},"issued":{"date-parts":[["2008"]]}},"locator":"268","label":"page","suppress-author":true}],"schema":"https://github.com/citation-style-language/schema/raw/master/csl-citation.json"} </w:instrText>
      </w:r>
      <w:r w:rsidRPr="00662E51">
        <w:rPr>
          <w:szCs w:val="24"/>
        </w:rPr>
        <w:fldChar w:fldCharType="separate"/>
      </w:r>
      <w:r w:rsidR="0095662D" w:rsidRPr="00662E51">
        <w:t>(2008, 268)</w:t>
      </w:r>
      <w:r w:rsidRPr="00662E51">
        <w:rPr>
          <w:szCs w:val="24"/>
        </w:rPr>
        <w:fldChar w:fldCharType="end"/>
      </w:r>
      <w:r w:rsidRPr="00662E51">
        <w:rPr>
          <w:szCs w:val="24"/>
        </w:rPr>
        <w:t xml:space="preserve"> explains, answerability implies that an “actor is responsible for [the act]”—but it is deeper than that: the “answerability of the act… lies in its capacity to evoke a response.” But whose response is evoked through an answerable act? Typically, this is understood as a specific polity: the city</w:t>
      </w:r>
      <w:r w:rsidR="00910C42">
        <w:rPr>
          <w:szCs w:val="24"/>
        </w:rPr>
        <w:t xml:space="preserve">, the nation, or some other scale of the state </w:t>
      </w:r>
      <w:r w:rsidRPr="00662E51">
        <w:rPr>
          <w:szCs w:val="24"/>
        </w:rPr>
        <w:fldChar w:fldCharType="begin"/>
      </w:r>
      <w:r w:rsidR="008835AB" w:rsidRPr="00662E51">
        <w:rPr>
          <w:szCs w:val="24"/>
        </w:rPr>
        <w:instrText xml:space="preserve"> ADDIN ZOTERO_ITEM CSL_CITATION {"citationID":"OEZpgSAi","properties":{"formattedCitation":"(e.g., Barbero 2012; Earle 2012; Jacobson 2022; Janoschka 2015; Nyers 2008)","plainCitation":"(e.g., Barbero 2012; Earle 2012; Jacobson 2022; Janoschka 2015; Nyers 2008)","noteIndex":0},"citationItems":[{"id":3274,"uris":["http://zotero.org/users/8977980/items/U7NNX2E6"],"itemData":{"id":3274,"type":"article-journal","abstract":"This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Citizenship","volume":"21","author":[{"family":"Barbero","given":"Iker"}],"issued":{"date-parts":[["2012",12,1]]}},"label":"page","prefix":"e.g., "},{"id":1320,"uris":["http://zotero.org/users/8977980/items/SCKC3SXG"],"itemData":{"id":1320,"type":"article-journal","abstract":"This article examines the rhetoric and practice of a large social movement organised around low-income housing in the city of São Paulo, Brazil. Making explicit the relationship between housing and citizenship, the União de Movimentos de Moradia (Alliance of Housing Movements) articulates a ‘politics of rights’ with which it calls on the state to uphold the constitutional right to housing, and legitimates its high-proﬁle occupations of abandoned buildings in the centre of the city. The article engages with James Holston’s historical examination of homeowners’ struggles on the peripheries of São Paulo to assert themselves as rights-holders and to mobilise against threats of eviction. While Holston names these groups of residents ‘insurgent’ citizens for the way they have unsettled entrenched social inequalities, this article presents the concept of ‘transgressive’ citizenship to reﬂect the challenge the housing movement makes to the state as it uses text-based law to justify building occupations.","container-title":"Journal of Latin American Studies","DOI":"10.1017/S0022216X11001118","ISSN":"0022-216X, 1469-767X","issue":"1","journalAbbreviation":"J. Lat. Am. Stud.","language":"en","page":"97-126","source":"DOI.org (Crossref)","title":"From Insurgent to Transgressive Citizenship: Housing, Social Movements and the Politics of Rights in São Paulo","title-short":"From Insurgent to Transgressive Citizenship","volume":"44","author":[{"family":"Earle","given":"Lucy"}],"issued":{"date-parts":[["2012",2]]}}},{"id":2614,"uris":["http://zotero.org/users/8977980/items/4SUAA6HS"],"itemData":{"id":2614,"type":"article-journal","abstract":"This article examines an overlooked group of participants within 1970s housing occupation movements in Western Europe – migrants. More specifically, I analyse Italian migrants’ participation in housing occupations in the city of Frankfurt am Main, West Germany, from 1970–3. By engaging in visible protest, Italian migrant occupiers performed ‘acts of urban citizenship’ that ruptured understandings of localised citizenship and belonging. This case study thus illuminates two interrelated historic phenomena: (1) how social rights became de-territorialised and attached to the individual rather than the nation-state; and (2) how the city became a crucial site of citizenship formation, even across national borders.","container-title":"Contemporary European History","DOI":"10.1017/S0960777322000662","ISSN":"0960-7773, 1469-2171","journalAbbreviation":"Contemporary European History","language":"en","page":"1-17","source":"DOI.org (Crossref)","title":"Redefining Urban Citizenship: Italian Migrants and Housing Occupations in 1970s Frankfurt am Main","title-short":"Redefining Urban Citizenship","author":[{"family":"Jacobson","given":"Sarah"}],"issued":{"date-parts":[["2022",10,20]]}}},{"id":1549,"uris":["http://zotero.org/users/8977980/items/CHNDW7D6"],"itemData":{"id":1549,"type":"article-journal","abstract":"The city region of Madrid can be considered as an exponent of the striking contradictions associated with the contemporary market-oriented production of housing. Given the increasing economic constraints of many ­middle- and working-class households because of the crisis, property values have been declining for practically seven years now, and tens of thousands of households have been evicted from their homes because they were unable to pay back their mortgages. Simultaneously, since the outbreak of the indignados movement in May 2011, a contestation of the structural forces ruling the real estate sector has been taking place, and questions about the right of housing became a prominent part of the public debate in an increasingly politicised society. Alongside the background of literature about the post-political city and subversive citizenship, this article pursues three key aims: It analyses the consequences of the persistent crisis with a special focus on the residential housing market in Madrid. Secondly, an analysis of the new social and political dynamics that have been emerging during the crisis is developed. Finally, it pinpoints to the way how the emergence of new actors within contemporary housing struggles has been shifting the social and political discourses in this political arena. Such an approach brings together discussions from the field of Political Science with the new geographies of contested crisis urbanism that relate to debates about the social construction of the city, citizenship and disobedience.","container-title":"DIE ERDE – Journal of the Geographical Society of Berlin","DOI":"10.12854/erde-146-9","ISSN":"0013-9998","issue":"2-3","language":"en","license":"Copyright (c) 2015 DIE ERDE – Journal of the Geographical Society of Berlin","note":"number: 2-3","page":"100-112","source":"www.die-erde.org","title":"Politics, citizenship and disobedience in the city of crisis: a critical analysis of contemporary housing struggles in Madrid","title-short":"Politics, citizenship and disobedience in the city of crisis","volume":"146","author":[{"family":"Janoschka","given":"Michael"}],"issued":{"date-parts":[["2015",10,1]]}}},{"id":274,"uris":["http://zotero.org/users/8977980/items/CJIY3UC6"],"itemData":{"id":274,"type":"chapter","abstract":"Politics,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Citizenship","ISBN":"978-1-84813-263-4","language":"eng","page":"160-81","publisher":"Zed Books Ltd","publisher-place":"London, UK","title":"No One Is Illegal Between City and Nation","editor":[{"family":"Isin","given":"Engin"},{"family":"Nielsen","given":"Greg Marc"}],"author":[{"family":"Nyers","given":"Peter"}],"accessed":{"date-parts":[["2022",2,3]]},"issued":{"date-parts":[["2008"]]}}}],"schema":"https://github.com/citation-style-language/schema/raw/master/csl-citation.json"} </w:instrText>
      </w:r>
      <w:r w:rsidRPr="00662E51">
        <w:rPr>
          <w:szCs w:val="24"/>
        </w:rPr>
        <w:fldChar w:fldCharType="separate"/>
      </w:r>
      <w:r w:rsidR="0095662D" w:rsidRPr="00662E51">
        <w:t>(e.g., Barbero 2012; Earle 2012; Jacobson 2022; Janoschka 2015; Nyers 2008)</w:t>
      </w:r>
      <w:r w:rsidRPr="00662E51">
        <w:rPr>
          <w:szCs w:val="24"/>
        </w:rPr>
        <w:fldChar w:fldCharType="end"/>
      </w:r>
      <w:r w:rsidRPr="00662E51">
        <w:rPr>
          <w:szCs w:val="24"/>
        </w:rPr>
        <w:t xml:space="preserve">. </w:t>
      </w:r>
      <w:r w:rsidR="00910C42">
        <w:rPr>
          <w:szCs w:val="24"/>
        </w:rPr>
        <w:t xml:space="preserve">In Chapter 5, </w:t>
      </w:r>
      <w:r w:rsidR="008B540F">
        <w:rPr>
          <w:szCs w:val="24"/>
        </w:rPr>
        <w:t xml:space="preserve">the response evoked is from the London Borough of Haringey. </w:t>
      </w:r>
      <w:r w:rsidR="00910C42" w:rsidRPr="00662E51">
        <w:rPr>
          <w:szCs w:val="24"/>
        </w:rPr>
        <w:t>Yet</w:t>
      </w:r>
      <w:r w:rsidRPr="00662E51">
        <w:rPr>
          <w:szCs w:val="24"/>
        </w:rPr>
        <w:t xml:space="preserve"> this is not necessarily the case. Isin’s </w:t>
      </w:r>
      <w:r w:rsidRPr="00662E51">
        <w:rPr>
          <w:szCs w:val="24"/>
        </w:rPr>
        <w:fldChar w:fldCharType="begin"/>
      </w:r>
      <w:r w:rsidR="008835AB" w:rsidRPr="00662E51">
        <w:rPr>
          <w:szCs w:val="24"/>
        </w:rPr>
        <w:instrText xml:space="preserve"> ADDIN ZOTERO_ITEM CSL_CITATION {"citationID":"xBHyu3fb","properties":{"formattedCitation":"(2008)","plainCitation":"(2008)","noteIndex":0},"citationItems":[{"id":256,"uris":["http://zotero.org/users/8977980/items/ZRWP6PIY"],"itemData":{"id":256,"type":"chapter","abstract":"Politics,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Marc"}],"author":[{"family":"Isin","given":"Engin"}],"accessed":{"date-parts":[["2022",2,3]]},"issued":{"date-parts":[["2008"]]}},"label":"page","suppress-author":true}],"schema":"https://github.com/citation-style-language/schema/raw/master/csl-citation.json"} </w:instrText>
      </w:r>
      <w:r w:rsidRPr="00662E51">
        <w:rPr>
          <w:szCs w:val="24"/>
        </w:rPr>
        <w:fldChar w:fldCharType="separate"/>
      </w:r>
      <w:r w:rsidR="0095662D" w:rsidRPr="00662E51">
        <w:t>(2008)</w:t>
      </w:r>
      <w:r w:rsidRPr="00662E51">
        <w:rPr>
          <w:szCs w:val="24"/>
        </w:rPr>
        <w:fldChar w:fldCharType="end"/>
      </w:r>
      <w:r w:rsidRPr="00662E51">
        <w:rPr>
          <w:szCs w:val="24"/>
        </w:rPr>
        <w:t xml:space="preserve"> formulation relies on a double answerability—an answerability to not only that polity but also the philosophical Other. Although a vague definition, Hsu </w:t>
      </w:r>
      <w:r w:rsidRPr="00662E51">
        <w:rPr>
          <w:szCs w:val="24"/>
        </w:rPr>
        <w:fldChar w:fldCharType="begin"/>
      </w:r>
      <w:r w:rsidR="008835AB" w:rsidRPr="00662E51">
        <w:rPr>
          <w:szCs w:val="24"/>
        </w:rPr>
        <w:instrText xml:space="preserve"> ADDIN ZOTERO_ITEM CSL_CITATION {"citationID":"rPLrJtVk","properties":{"formattedCitation":"(2008)","plainCitation":"(2008)","noteIndex":0},"citationItems":[{"id":6747,"uris":["http://zotero.org/users/8977980/items/TZB8NVV4"],"itemData":{"id":6747,"type":"chapter","abstract":"Politics,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Citizenship","ISBN":"978-1-84813-263-4","language":"eng","page":"247-265","publisher":"Zed Books Ltd","publisher-place":"London, UK","source":"discover.durham.ac.uk","title":"Acts of Chinese Citizenship: The Tank Man and Democracy-to-Come","URL":"https://ezphost.dur.ac.uk/login?url=https://search.ebscohost.com/login.aspx?direct=true&amp;scope=site&amp;db=nlebk&amp;AN=260783","editor":[{"family":"Isin","given":"Engin"},{"family":"Nielsen","given":"Greg Marc"}],"author":[{"family":"Hsu","given":"Yon"}],"accessed":{"date-parts":[["2022",2,3]]},"issued":{"date-parts":[["2008"]]}},"label":"page","suppress-author":true}],"schema":"https://github.com/citation-style-language/schema/raw/master/csl-citation.json"} </w:instrText>
      </w:r>
      <w:r w:rsidRPr="00662E51">
        <w:rPr>
          <w:szCs w:val="24"/>
        </w:rPr>
        <w:fldChar w:fldCharType="separate"/>
      </w:r>
      <w:r w:rsidR="0095662D" w:rsidRPr="00662E51">
        <w:t>(2008)</w:t>
      </w:r>
      <w:r w:rsidRPr="00662E51">
        <w:rPr>
          <w:szCs w:val="24"/>
        </w:rPr>
        <w:fldChar w:fldCharType="end"/>
      </w:r>
      <w:r w:rsidRPr="00662E51">
        <w:rPr>
          <w:szCs w:val="24"/>
        </w:rPr>
        <w:t xml:space="preserve"> elaborates by drawing attention to the notion of universality. “Two-sided answerability can be interpreted to mean that no political representative or representation can satisfy the actual experience of every citizen,” as there is an emphasis “on being answerable to both [the] universal and particular demands” within a particular act </w:t>
      </w:r>
      <w:r w:rsidRPr="00662E51">
        <w:rPr>
          <w:szCs w:val="24"/>
        </w:rPr>
        <w:fldChar w:fldCharType="begin"/>
      </w:r>
      <w:r w:rsidR="008835AB" w:rsidRPr="00662E51">
        <w:rPr>
          <w:szCs w:val="24"/>
        </w:rPr>
        <w:instrText xml:space="preserve"> ADDIN ZOTERO_ITEM CSL_CITATION {"citationID":"0l9HeFnI","properties":{"formattedCitation":"(Hsu 2008, 260)","plainCitation":"(Hsu 2008, 260)","noteIndex":0},"citationItems":[{"id":6747,"uris":["http://zotero.org/users/8977980/items/TZB8NVV4"],"itemData":{"id":6747,"type":"chapter","abstract":"Politics,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Citizenship","ISBN":"978-1-84813-263-4","language":"eng","page":"247-265","publisher":"Zed Books Ltd","publisher-place":"London, UK","source":"discover.durham.ac.uk","title":"Acts of Chinese Citizenship: The Tank Man and Democracy-to-Come","URL":"https://ezphost.dur.ac.uk/login?url=https://search.ebscohost.com/login.aspx?direct=true&amp;scope=site&amp;db=nlebk&amp;AN=260783","editor":[{"family":"Isin","given":"Engin"},{"family":"Nielsen","given":"Greg Marc"}],"author":[{"family":"Hsu","given":"Yon"}],"accessed":{"date-parts":[["2022",2,3]]},"issued":{"date-parts":[["2008"]]}},"locator":"260"}],"schema":"https://github.com/citation-style-language/schema/raw/master/csl-citation.json"} </w:instrText>
      </w:r>
      <w:r w:rsidRPr="00662E51">
        <w:rPr>
          <w:szCs w:val="24"/>
        </w:rPr>
        <w:fldChar w:fldCharType="separate"/>
      </w:r>
      <w:r w:rsidR="0095662D" w:rsidRPr="00662E51">
        <w:t>(Hsu 2008, 260)</w:t>
      </w:r>
      <w:r w:rsidRPr="00662E51">
        <w:rPr>
          <w:szCs w:val="24"/>
        </w:rPr>
        <w:fldChar w:fldCharType="end"/>
      </w:r>
      <w:r w:rsidRPr="00662E51">
        <w:rPr>
          <w:szCs w:val="24"/>
        </w:rPr>
        <w:t xml:space="preserve">. That is, acts hold a demand for both individual policy responses </w:t>
      </w:r>
      <w:r w:rsidRPr="00662E51">
        <w:rPr>
          <w:i/>
          <w:iCs/>
          <w:szCs w:val="24"/>
        </w:rPr>
        <w:t>and</w:t>
      </w:r>
      <w:r w:rsidRPr="00662E51">
        <w:rPr>
          <w:szCs w:val="24"/>
        </w:rPr>
        <w:t xml:space="preserve"> a reworking of an existing ethical code that defines the polity’s relationship with the implicated actors—i.e., an answerability “to justice against injustice” </w:t>
      </w:r>
      <w:r w:rsidRPr="00662E51">
        <w:rPr>
          <w:szCs w:val="24"/>
        </w:rPr>
        <w:fldChar w:fldCharType="begin"/>
      </w:r>
      <w:r w:rsidR="008E2F28">
        <w:rPr>
          <w:szCs w:val="24"/>
        </w:rPr>
        <w:instrText xml:space="preserve"> ADDIN ZOTERO_ITEM CSL_CITATION {"citationID":"Mx2aZ9K1","properties":{"formattedCitation":"(Isin 2008, 39)","plainCitation":"(Isin 2008, 39)","noteIndex":0},"citationItems":[{"id":256,"uris":["http://zotero.org/users/8977980/items/ZRWP6PIY"],"itemData":{"id":256,"type":"chapter","abstract":"Politics,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Marc"}],"author":[{"family":"Isin","given":"Engin"}],"accessed":{"date-parts":[["2022",2,3]]},"issued":{"date-parts":[["2008"]]}},"locator":"39"}],"schema":"https://github.com/citation-style-language/schema/raw/master/csl-citation.json"} </w:instrText>
      </w:r>
      <w:r w:rsidRPr="00662E51">
        <w:rPr>
          <w:szCs w:val="24"/>
        </w:rPr>
        <w:fldChar w:fldCharType="separate"/>
      </w:r>
      <w:r w:rsidR="008E2F28" w:rsidRPr="008E2F28">
        <w:t>(Isin 2008, 39)</w:t>
      </w:r>
      <w:r w:rsidRPr="00662E51">
        <w:rPr>
          <w:szCs w:val="24"/>
        </w:rPr>
        <w:fldChar w:fldCharType="end"/>
      </w:r>
      <w:r w:rsidRPr="00662E51">
        <w:rPr>
          <w:szCs w:val="24"/>
        </w:rPr>
        <w:t xml:space="preserve">. This also means that acts need not be “revolutionary in nature and effect” as long as such acts constitute an answerable subject </w:t>
      </w:r>
      <w:r w:rsidRPr="00662E51">
        <w:rPr>
          <w:szCs w:val="24"/>
        </w:rPr>
        <w:fldChar w:fldCharType="begin"/>
      </w:r>
      <w:r w:rsidR="008835AB" w:rsidRPr="00662E51">
        <w:rPr>
          <w:szCs w:val="24"/>
        </w:rPr>
        <w:instrText xml:space="preserve"> ADDIN ZOTERO_ITEM CSL_CITATION {"citationID":"5yrFDlqG","properties":{"formattedCitation":"(Darling 2014, 88; Jakim\\uc0\\u243{}w 2022; Saeidi 2010)","plainCitation":"(Darling 2014, 88; Jakimów 2022; Saeidi 2010)","noteIndex":0},"citationItems":[{"id":3275,"uris":["http://zotero.org/users/8977980/items/ERTQGRHZ"],"itemData":{"id":3275,"type":"article-journal","abstract":"This paper explores the ways in which practices of asylum governance serve to depoliticise those seeking asylum in the UK. In critiquing claims over the “post-political” nature of contemporary governance, the paper proposes a focus upon situated practices of depoliticisation which displace those seeking asylum through the production of specific sites of accommodation and specific discourses of risk, security and moralised concern. The paper questions the tendency within “post-political” thought to strip the potential of modes of informal citizenship through arguing that minor acts of resistance are ineffectual and illusory. In response, the paper explores irregular migrant's “acts of citizenship”, and suggests that such prosaic acts can be powerful forms of political interruption through which new ways of seeing asylum are constructed. The paper concludes by suggesting that an incremental politics orientated around such acts of interruption is essential to challenge the material, affective and discursive closures of asylum domopolitics.","container-title":"Antipode","DOI":"10.1111/anti.12026","ISSN":"1467-8330","issue":"1","language":"en","note":"_eprint: https://onlinelibrary.wiley.com/doi/pdf/10.1111/anti.12026","page":"72-91","source":"Wiley Online Library","title":"Asylum and the Post-Political: Domopolitics, Depoliticisation and Acts of Citizenship","title-short":"Asylum and the Post-Political","volume":"46","author":[{"family":"Darling","given":"Jonathan"}],"issued":{"date-parts":[["2014"]]}},"locator":"88"},{"id":5118,"uris":["http://zotero.org/users/8977980/items/WQR8VRAH"],"itemData":{"id":5118,"type":"article-journal","abstract":"The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contexts","volume":"26","author":[{"family":"Jakimów","given":"Małgorzata"}],"issued":{"date-parts":[["2022",7,4]]}}},{"id":4395,"uris":["http://zotero.org/users/8977980/items/4WV52Z3G"],"itemData":{"id":4395,"type":"article-journal","container-title":"Citizenship Studies","DOI":"10.1080/13621021003594734","ISSN":"1362-1025, 1469-3593","issue":"2","journalAbbreviation":"Citizenship Studies","language":"en","page":"113-126","source":"DOI.org (Crossref)","title":"Creating the Islamic Republic of Iran: wives and daughters of martyrs, and acts of citizenship","title-short":"Creating the Islamic Republic of Iran","volume":"14","author":[{"family":"Saeidi","given":"Shirin"}],"issued":{"date-parts":[["2010",4]]}}}],"schema":"https://github.com/citation-style-language/schema/raw/master/csl-citation.json"} </w:instrText>
      </w:r>
      <w:r w:rsidRPr="00662E51">
        <w:rPr>
          <w:szCs w:val="24"/>
        </w:rPr>
        <w:fldChar w:fldCharType="separate"/>
      </w:r>
      <w:r w:rsidR="0095662D" w:rsidRPr="00662E51">
        <w:rPr>
          <w:rFonts w:cs="Times New Roman"/>
          <w:kern w:val="0"/>
        </w:rPr>
        <w:t>(Darling 2014, 88; Jakimów 2022; Saeidi 2010)</w:t>
      </w:r>
      <w:r w:rsidRPr="00662E51">
        <w:rPr>
          <w:szCs w:val="24"/>
        </w:rPr>
        <w:fldChar w:fldCharType="end"/>
      </w:r>
      <w:r w:rsidRPr="00662E51">
        <w:rPr>
          <w:szCs w:val="24"/>
        </w:rPr>
        <w:t xml:space="preserve">. </w:t>
      </w:r>
    </w:p>
    <w:p w14:paraId="58B29590" w14:textId="5026CCB4" w:rsidR="007B4EA4" w:rsidRPr="00662E51" w:rsidRDefault="007B4EA4" w:rsidP="00F56305">
      <w:pPr>
        <w:spacing w:line="360" w:lineRule="auto"/>
        <w:ind w:left="0" w:firstLine="720"/>
        <w:rPr>
          <w:szCs w:val="24"/>
        </w:rPr>
      </w:pPr>
      <w:r w:rsidRPr="00662E51">
        <w:rPr>
          <w:szCs w:val="24"/>
        </w:rPr>
        <w:lastRenderedPageBreak/>
        <w:t xml:space="preserve">Third, as indicated throughout the literature, acts are not always rooted in the law or legal routes. For one, acts categorically must break the law </w:t>
      </w:r>
      <w:r w:rsidRPr="00662E51">
        <w:rPr>
          <w:szCs w:val="24"/>
        </w:rPr>
        <w:fldChar w:fldCharType="begin"/>
      </w:r>
      <w:r w:rsidR="008835AB" w:rsidRPr="00662E51">
        <w:rPr>
          <w:szCs w:val="24"/>
        </w:rPr>
        <w:instrText xml:space="preserve"> ADDIN ZOTERO_ITEM CSL_CITATION {"citationID":"f2OxGQ3Q","properties":{"formattedCitation":"(Barbero 2012; Casta\\uc0\\u241{}eda 2013; Hsu 2008; Jacobson 2022)","plainCitation":"(Barbero 2012; Castañeda 2013; Hsu 2008; Jacobson 2022)","noteIndex":0},"citationItems":[{"id":3274,"uris":["http://zotero.org/users/8977980/items/U7NNX2E6"],"itemData":{"id":3274,"type":"article-journal","abstract":"This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Citizenship","volume":"21","author":[{"family":"Barbero","given":"Iker"}],"issued":{"date-parts":[["2012",12,1]]}}},{"id":3278,"uris":["http://zotero.org/users/8977980/items/6H5HN3J5"],"itemData":{"id":3278,"type":"article-journal","container-title":"Citizenship Studies","DOI":"10.1080/13621025.2013.780744","ISSN":"1362-1025, 1469-3593","issue":"2","journalAbbreviation":"Citizenship Studies","language":"en","page":"227-240","source":"DOI.org (Crossref)","title":"Medical aid as protest: acts of citizenship for unauthorized im/migrants and refugees","title-short":"Medical aid as protest","volume":"17","author":[{"family":"Castañeda","given":"Heide"}],"issued":{"date-parts":[["2013",4]]}}},{"id":6747,"uris":["http://zotero.org/users/8977980/items/TZB8NVV4"],"itemData":{"id":6747,"type":"chapter","abstract":"Politics,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Citizenship","ISBN":"978-1-84813-263-4","language":"eng","page":"247-265","publisher":"Zed Books Ltd","publisher-place":"London, UK","source":"discover.durham.ac.uk","title":"Acts of Chinese Citizenship: The Tank Man and Democracy-to-Come","URL":"https://ezphost.dur.ac.uk/login?url=https://search.ebscohost.com/login.aspx?direct=true&amp;scope=site&amp;db=nlebk&amp;AN=260783","editor":[{"family":"Isin","given":"Engin"},{"family":"Nielsen","given":"Greg Marc"}],"author":[{"family":"Hsu","given":"Yon"}],"accessed":{"date-parts":[["2022",2,3]]},"issued":{"date-parts":[["2008"]]}}},{"id":2614,"uris":["http://zotero.org/users/8977980/items/4SUAA6HS"],"itemData":{"id":2614,"type":"article-journal","abstract":"This article examines an overlooked group of participants within 1970s housing occupation movements in Western Europe – migrants. More specifically, I analyse Italian migrants’ participation in housing occupations in the city of Frankfurt am Main, West Germany, from 1970–3. By engaging in visible protest, Italian migrant occupiers performed ‘acts of urban citizenship’ that ruptured understandings of localised citizenship and belonging. This case study thus illuminates two interrelated historic phenomena: (1) how social rights became de-territorialised and attached to the individual rather than the nation-state; and (2) how the city became a crucial site of citizenship formation, even across national borders.","container-title":"Contemporary European History","DOI":"10.1017/S0960777322000662","ISSN":"0960-7773, 1469-2171","journalAbbreviation":"Contemporary European History","language":"en","page":"1-17","source":"DOI.org (Crossref)","title":"Redefining Urban Citizenship: Italian Migrants and Housing Occupations in 1970s Frankfurt am Main","title-short":"Redefining Urban Citizenship","author":[{"family":"Jacobson","given":"Sarah"}],"issued":{"date-parts":[["2022",10,20]]}}}],"schema":"https://github.com/citation-style-language/schema/raw/master/csl-citation.json"} </w:instrText>
      </w:r>
      <w:r w:rsidRPr="00662E51">
        <w:rPr>
          <w:szCs w:val="24"/>
        </w:rPr>
        <w:fldChar w:fldCharType="separate"/>
      </w:r>
      <w:r w:rsidR="0095662D" w:rsidRPr="00662E51">
        <w:rPr>
          <w:rFonts w:cs="Times New Roman"/>
          <w:kern w:val="0"/>
        </w:rPr>
        <w:t>(Barbero 2012; Castañeda 2013; Hsu 2008; Jacobson 2022)</w:t>
      </w:r>
      <w:r w:rsidRPr="00662E51">
        <w:rPr>
          <w:szCs w:val="24"/>
        </w:rPr>
        <w:fldChar w:fldCharType="end"/>
      </w:r>
      <w:r w:rsidRPr="00662E51">
        <w:rPr>
          <w:szCs w:val="24"/>
        </w:rPr>
        <w:t xml:space="preserve"> or at the very least call it into question </w:t>
      </w:r>
      <w:r w:rsidRPr="00662E51">
        <w:rPr>
          <w:szCs w:val="24"/>
        </w:rPr>
        <w:fldChar w:fldCharType="begin"/>
      </w:r>
      <w:r w:rsidR="008835AB" w:rsidRPr="00662E51">
        <w:rPr>
          <w:szCs w:val="24"/>
        </w:rPr>
        <w:instrText xml:space="preserve"> ADDIN ZOTERO_ITEM CSL_CITATION {"citationID":"0m6dbz8Y","properties":{"formattedCitation":"(Darling 2014; Fierro 2020; Jakim\\uc0\\u243{}w 2022; Pontrandolfo 2018)","plainCitation":"(Darling 2014; Fierro 2020; Jakimów 2022; Pontrandolfo 2018)","noteIndex":0},"citationItems":[{"id":3275,"uris":["http://zotero.org/users/8977980/items/ERTQGRHZ"],"itemData":{"id":3275,"type":"article-journal","abstract":"This paper explores the ways in which practices of asylum governance serve to depoliticise those seeking asylum in the UK. In critiquing claims over the “post-political” nature of contemporary governance, the paper proposes a focus upon situated practices of depoliticisation which displace those seeking asylum through the production of specific sites of accommodation and specific discourses of risk, security and moralised concern. The paper questions the tendency within “post-political” thought to strip the potential of modes of informal citizenship through arguing that minor acts of resistance are ineffectual and illusory. In response, the paper explores irregular migrant's “acts of citizenship”, and suggests that such prosaic acts can be powerful forms of political interruption through which new ways of seeing asylum are constructed. The paper concludes by suggesting that an incremental politics orientated around such acts of interruption is essential to challenge the material, affective and discursive closures of asylum domopolitics.","container-title":"Antipode","DOI":"10.1111/anti.12026","ISSN":"1467-8330","issue":"1","language":"en","note":"_eprint: https://onlinelibrary.wiley.com/doi/pdf/10.1111/anti.12026","page":"72-91","source":"Wiley Online Library","title":"Asylum and the Post-Political: Domopolitics, Depoliticisation and Acts of Citizenship","title-short":"Asylum and the Post-Political","volume":"46","author":[{"family":"Darling","given":"Jonathan"}],"issued":{"date-parts":[["2014"]]}}},{"id":1552,"uris":["http://zotero.org/users/8977980/items/6CWBKE8P"],"itemData":{"id":1552,"type":"article-journal","abstract":"The Brazilian Movimento dos Trabalhadores sem Teto (MTST)—Homeless Workers’ Movement—is a social movement that struggles for housing and for a radical transformation of capitalistic socio-economic relations. The present paper offers a problematization of the movement’s plea to social rights. They are part of the movement’s discourse and strategy. However, the activists’ objective is more radical: they aim at a complete transformation of the Brazilian economy and society. By first discussing two sets of literatures—Critical Legal Theory and Governmentality Studies—this article illustrates the complexity and the ambivalences of a radical politics of rights. Then, by contrasting my ongoing ethnographic research with the work of James Holston and Lucy Earle, I discuss the relevance of a citizenship framework for the MTST’s struggle. Finally, inspired by Foucault’s concept of counter-conducts, the article argues that the movement’s politics of rights represents an effective tactic to contrast neoliberal governmentality and to create radical democratic spaces of struggle and collective resistance.","container-title":"International Journal of Politics, Culture, and Society","DOI":"10.1007/s10767-020-09356-6","ISSN":"0891-4486, 1573-3416","issue":"4","journalAbbreviation":"Int J Polit Cult Soc","language":"en","page":"513-527","source":"DOI.org (Crossref)","title":"The MTST Politics of Social Rights: Counter-Conducts, Acts of Citizenship and a Radical Struggle Beyond Housing","title-short":"The MTST Politics of Social Rights","volume":"33","author":[{"family":"Fierro","given":"Alberto"}],"issued":{"date-parts":[["2020",12]]}}},{"id":5118,"uris":["http://zotero.org/users/8977980/items/WQR8VRAH"],"itemData":{"id":5118,"type":"article-journal","abstract":"The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contexts","volume":"26","author":[{"family":"Jakimów","given":"Małgorzata"}],"issued":{"date-parts":[["2022",7,4]]}}},{"id":1415,"uris":["http://zotero.org/users/8977980/items/B2S7Z254"],"itemData":{"id":1415,"type":"article-journal","abstract":"This article presents the case study of a community-based Roma struggle to challenge categorisations, improve housing conditions and access citizenship rights. It is an ethnographic account of the citizenship enactments that a Roma family network, which migrated from Romania to Italy, has been pursuing since its arrival in the southern Italian town of Bari. The aim is to promote the value of ethnographic research in understanding the numerous, complex ways in which 'being political' among Roma is possible. This can take place not only through elite Roma activism, or by communities of Roma producing 'hidden transcripts', but also through community-based 'acts of citizenship'.","container-title":"Nomadic Peoples","ISSN":"0822-7942","issue":"1","page":"83-103","publisher":"White Horse Press","source":"JSTOR","title":"Roma 'Acts of Citizenship': Negotiating Categories and Housing Solutions","title-short":"ROMA 'ACTS OF CITIZENSHIP'","volume":"22","author":[{"family":"Pontrandolfo","given":"Stefania"}],"issued":{"date-parts":[["2018"]]}}}],"schema":"https://github.com/citation-style-language/schema/raw/master/csl-citation.json"} </w:instrText>
      </w:r>
      <w:r w:rsidRPr="00662E51">
        <w:rPr>
          <w:szCs w:val="24"/>
        </w:rPr>
        <w:fldChar w:fldCharType="separate"/>
      </w:r>
      <w:r w:rsidR="0095662D" w:rsidRPr="00662E51">
        <w:rPr>
          <w:rFonts w:cs="Times New Roman"/>
          <w:kern w:val="0"/>
        </w:rPr>
        <w:t>(Darling 2014; Fierro 2020; Jakimów 2022; Pontrandolfo 2018)</w:t>
      </w:r>
      <w:r w:rsidRPr="00662E51">
        <w:rPr>
          <w:szCs w:val="24"/>
        </w:rPr>
        <w:fldChar w:fldCharType="end"/>
      </w:r>
      <w:r w:rsidRPr="00662E51">
        <w:rPr>
          <w:szCs w:val="24"/>
        </w:rPr>
        <w:t xml:space="preserve"> because of their nature as a force that makes a rupture in a given script. Though citizenship is more than just a category created by a legal framework, it is often the law that circumscribes citizenship-as-process, as evidenced by work on citizenship in authoritarian contexts. Jakimów’s </w:t>
      </w:r>
      <w:r w:rsidRPr="00662E51">
        <w:rPr>
          <w:szCs w:val="24"/>
        </w:rPr>
        <w:fldChar w:fldCharType="begin"/>
      </w:r>
      <w:r w:rsidR="00F15CF8">
        <w:rPr>
          <w:szCs w:val="24"/>
        </w:rPr>
        <w:instrText xml:space="preserve"> ADDIN ZOTERO_ITEM CSL_CITATION {"citationID":"7aREG7kS","properties":{"formattedCitation":"(2017, 2022)","plainCitation":"(2017, 2022)","noteIndex":0},"citationItems":[{"id":5120,"uris":["http://zotero.org/users/8977980/items/LAMKT3ES"],"itemData":{"id":5120,"type":"article-journal","abstract":"Based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label":"page","suppress-author":true},{"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contexts","volume":"26","author":[{"family":"Jakimów","given":"Małgorzata"}],"issued":{"date-parts":[["2022",7,4]]}},"label":"page","suppress-author":true}],"schema":"https://github.com/citation-style-language/schema/raw/master/csl-citation.json"} </w:instrText>
      </w:r>
      <w:r w:rsidRPr="00662E51">
        <w:rPr>
          <w:szCs w:val="24"/>
        </w:rPr>
        <w:fldChar w:fldCharType="separate"/>
      </w:r>
      <w:r w:rsidR="00F15CF8" w:rsidRPr="00F15CF8">
        <w:t>(2017, 2022)</w:t>
      </w:r>
      <w:r w:rsidRPr="00662E51">
        <w:rPr>
          <w:szCs w:val="24"/>
        </w:rPr>
        <w:fldChar w:fldCharType="end"/>
      </w:r>
      <w:r w:rsidRPr="00662E51">
        <w:rPr>
          <w:szCs w:val="24"/>
        </w:rPr>
        <w:t xml:space="preserve"> work on China is an illustrative case. Jakimów </w:t>
      </w:r>
      <w:r w:rsidRPr="00662E51">
        <w:rPr>
          <w:szCs w:val="24"/>
        </w:rPr>
        <w:fldChar w:fldCharType="begin"/>
      </w:r>
      <w:r w:rsidR="00F15CF8">
        <w:rPr>
          <w:szCs w:val="24"/>
        </w:rPr>
        <w:instrText xml:space="preserve"> ADDIN ZOTERO_ITEM CSL_CITATION {"citationID":"ByVBMFem","properties":{"formattedCitation":"(2017, 2022)","plainCitation":"(2017, 2022)","noteIndex":0},"citationItems":[{"id":5120,"uris":["http://zotero.org/users/8977980/items/LAMKT3ES"],"itemData":{"id":5120,"type":"article-journal","abstract":"Based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label":"page","suppress-author":true},{"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contexts","volume":"26","author":[{"family":"Jakimów","given":"Małgorzata"}],"issued":{"date-parts":[["2022",7,4]]}},"label":"page","suppress-author":true}],"schema":"https://github.com/citation-style-language/schema/raw/master/csl-citation.json"} </w:instrText>
      </w:r>
      <w:r w:rsidRPr="00662E51">
        <w:rPr>
          <w:szCs w:val="24"/>
        </w:rPr>
        <w:fldChar w:fldCharType="separate"/>
      </w:r>
      <w:r w:rsidR="00F15CF8" w:rsidRPr="00F15CF8">
        <w:t>(2017, 2022)</w:t>
      </w:r>
      <w:r w:rsidRPr="00662E51">
        <w:rPr>
          <w:szCs w:val="24"/>
        </w:rPr>
        <w:fldChar w:fldCharType="end"/>
      </w:r>
      <w:r w:rsidRPr="00662E51">
        <w:rPr>
          <w:szCs w:val="24"/>
        </w:rPr>
        <w:t xml:space="preserve"> </w:t>
      </w:r>
      <w:r w:rsidRPr="00662E51">
        <w:rPr>
          <w:rFonts w:cs="Times New Roman"/>
          <w:kern w:val="0"/>
          <w:szCs w:val="24"/>
        </w:rPr>
        <w:t xml:space="preserve">finds that acts of citizenship under illiberal states manifest as what initially appear to be not acts, like activists organising ‘Know-Your-Rights’ trainings for migrants in Chinese cities. However, the authoritarian legal structure means that even typical citizenship scripts can be transformative, something </w:t>
      </w:r>
      <w:r w:rsidRPr="00662E51">
        <w:rPr>
          <w:szCs w:val="24"/>
        </w:rPr>
        <w:t xml:space="preserve">Jakimów </w:t>
      </w:r>
      <w:r w:rsidRPr="00662E51">
        <w:rPr>
          <w:szCs w:val="24"/>
        </w:rPr>
        <w:fldChar w:fldCharType="begin"/>
      </w:r>
      <w:r w:rsidR="00F15CF8">
        <w:rPr>
          <w:szCs w:val="24"/>
        </w:rPr>
        <w:instrText xml:space="preserve"> ADDIN ZOTERO_ITEM CSL_CITATION {"citationID":"Jinz3b7J","properties":{"formattedCitation":"(2017, 2022)","plainCitation":"(2017, 2022)","noteIndex":0},"citationItems":[{"id":5120,"uris":["http://zotero.org/users/8977980/items/LAMKT3ES"],"itemData":{"id":5120,"type":"article-journal","abstract":"Based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label":"page","suppress-author":true},{"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contexts","volume":"26","author":[{"family":"Jakimów","given":"Małgorzata"}],"issued":{"date-parts":[["2022",7,4]]}},"label":"page","suppress-author":true}],"schema":"https://github.com/citation-style-language/schema/raw/master/csl-citation.json"} </w:instrText>
      </w:r>
      <w:r w:rsidRPr="00662E51">
        <w:rPr>
          <w:szCs w:val="24"/>
        </w:rPr>
        <w:fldChar w:fldCharType="separate"/>
      </w:r>
      <w:r w:rsidR="00F15CF8" w:rsidRPr="00F15CF8">
        <w:t>(2017, 2022)</w:t>
      </w:r>
      <w:r w:rsidRPr="00662E51">
        <w:rPr>
          <w:szCs w:val="24"/>
        </w:rPr>
        <w:fldChar w:fldCharType="end"/>
      </w:r>
      <w:r w:rsidRPr="00662E51">
        <w:rPr>
          <w:szCs w:val="24"/>
        </w:rPr>
        <w:t xml:space="preserve"> calls an “accommodative act” </w:t>
      </w:r>
      <w:r w:rsidRPr="00662E51">
        <w:rPr>
          <w:szCs w:val="24"/>
        </w:rPr>
        <w:fldChar w:fldCharType="begin"/>
      </w:r>
      <w:r w:rsidRPr="00662E51">
        <w:rPr>
          <w:szCs w:val="24"/>
        </w:rPr>
        <w:instrText xml:space="preserve"> ADDIN ZOTERO_ITEM CSL_CITATION {"citationID":"Yt2JmpRB","properties":{"formattedCitation":"(see also Saeidi 2010)","plainCitation":"(see also Saeidi 2010)","noteIndex":0},"citationItems":[{"id":4395,"uris":["http://zotero.org/users/8977980/items/4WV52Z3G"],"itemData":{"id":4395,"type":"article-journal","container-title":"Citizenship Studies","DOI":"10.1080/13621021003594734","ISSN":"1362-1025, 1469-3593","issue":"2","journalAbbreviation":"Citizenship Studies","language":"en","page":"113-126","source":"DOI.org (Crossref)","title":"Creating the Islamic Republic of Iran: wives and daughters of martyrs, and acts of citizenship","title-short":"Creating the Islamic Republic of Iran","volume":"14","author":[{"family":"Saeidi","given":"Shirin"}],"issued":{"date-parts":[["2010",4]]}},"label":"page","prefix":"see also"}],"schema":"https://github.com/citation-style-language/schema/raw/master/csl-citation.json"} </w:instrText>
      </w:r>
      <w:r w:rsidRPr="00662E51">
        <w:rPr>
          <w:szCs w:val="24"/>
        </w:rPr>
        <w:fldChar w:fldCharType="separate"/>
      </w:r>
      <w:r w:rsidR="0095662D" w:rsidRPr="00662E51">
        <w:t>(see also Saeidi 2010)</w:t>
      </w:r>
      <w:r w:rsidRPr="00662E51">
        <w:rPr>
          <w:szCs w:val="24"/>
        </w:rPr>
        <w:fldChar w:fldCharType="end"/>
      </w:r>
      <w:r w:rsidRPr="00662E51">
        <w:rPr>
          <w:szCs w:val="24"/>
        </w:rPr>
        <w:t xml:space="preserve">. </w:t>
      </w:r>
      <w:r w:rsidR="00095702">
        <w:rPr>
          <w:szCs w:val="24"/>
        </w:rPr>
        <w:t xml:space="preserve">The case of the BFYA is replete with examples of acts that call racist legal frameworks into question. </w:t>
      </w:r>
      <w:r w:rsidRPr="00662E51">
        <w:rPr>
          <w:szCs w:val="24"/>
        </w:rPr>
        <w:t xml:space="preserve">I build on this in the next subsection. Moreover, those who engage in acts need not be </w:t>
      </w:r>
      <w:r w:rsidRPr="00662E51">
        <w:rPr>
          <w:i/>
          <w:iCs/>
          <w:szCs w:val="24"/>
        </w:rPr>
        <w:t>a priori</w:t>
      </w:r>
      <w:r w:rsidRPr="00662E51">
        <w:rPr>
          <w:szCs w:val="24"/>
        </w:rPr>
        <w:t xml:space="preserve"> recognised as legal subjects. Indeed, many works on acts focus on migratory politics, considering the activism of undocumented immigrants and their effects </w:t>
      </w:r>
      <w:r w:rsidRPr="00662E51">
        <w:rPr>
          <w:szCs w:val="24"/>
        </w:rPr>
        <w:fldChar w:fldCharType="begin"/>
      </w:r>
      <w:r w:rsidR="008835AB" w:rsidRPr="00662E51">
        <w:rPr>
          <w:szCs w:val="24"/>
        </w:rPr>
        <w:instrText xml:space="preserve"> ADDIN ZOTERO_ITEM CSL_CITATION {"citationID":"dCJDRRSb","properties":{"formattedCitation":"(Barbero 2012; Darling 2014; Depraetere and Oosterlynck 2017; Nyers 2008)","plainCitation":"(Barbero 2012; Darling 2014; Depraetere and Oosterlynck 2017; Nyers 2008)","noteIndex":0},"citationItems":[{"id":3274,"uris":["http://zotero.org/users/8977980/items/U7NNX2E6"],"itemData":{"id":3274,"type":"article-journal","abstract":"This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Citizenship","volume":"21","author":[{"family":"Barbero","given":"Iker"}],"issued":{"date-parts":[["2012",12,1]]}}},{"id":3275,"uris":["http://zotero.org/users/8977980/items/ERTQGRHZ"],"itemData":{"id":3275,"type":"article-journal","abstract":"This paper explores the ways in which practices of asylum governance serve to depoliticise those seeking asylum in the UK. In critiquing claims over the “post-political” nature of contemporary governance, the paper proposes a focus upon situated practices of depoliticisation which displace those seeking asylum through the production of specific sites of accommodation and specific discourses of risk, security and moralised concern. The paper questions the tendency within “post-political” thought to strip the potential of modes of informal citizenship through arguing that minor acts of resistance are ineffectual and illusory. In response, the paper explores irregular migrant's “acts of citizenship”, and suggests that such prosaic acts can be powerful forms of political interruption through which new ways of seeing asylum are constructed. The paper concludes by suggesting that an incremental politics orientated around such acts of interruption is essential to challenge the material, affective and discursive closures of asylum domopolitics.","container-title":"Antipode","DOI":"10.1111/anti.12026","ISSN":"1467-8330","issue":"1","language":"en","note":"_eprint: https://onlinelibrary.wiley.com/doi/pdf/10.1111/anti.12026","page":"72-91","source":"Wiley Online Library","title":"Asylum and the Post-Political: Domopolitics, Depoliticisation and Acts of Citizenship","title-short":"Asylum and the Post-Political","volume":"46","author":[{"family":"Darling","given":"Jonathan"}],"issued":{"date-parts":[["2014"]]}}},{"id":6756,"uris":["http://zotero.org/users/8977980/items/H38PGTW8"],"itemData":{"id":6756,"type":"article-journal","abstract":"In the face of an increasing influx of refugees in Europe and the inability of public authorities to respond in an adequate and timely way, an informal refugee camp was built in September 2015 in front of the Foreign Office in Brussels, Belgium. This article examines this camp, the Maximiliaan camp, as a contested space for citizenship. We analyse the acts of CollectActif, a collective consisting mostly of undocumented migrants, who set up a fixed kitchen and hence staged themselves as de facto citizens and as part and parcel of a broader citizens’ movement. Based on ethnographic research within this kitchen, we focus on several ‘polemical scenes’ in which a divisive police logic is confronted with a logic of universal equality. We conclude with a reflection on how presupposing radical equality has come to function as an important part of CollectActif’s activist citizenship.","container-title":"Citizenship Studies","DOI":"10.1080/13621025.2017.1341653","ISSN":"1362-1025","issue":"6","note":"_eprint: https://doi.org/10.1080/13621025.2017.1341653","page":"693-709","publisher":"Routledge","source":"Taylor and Francis+NEJM","title":"‘I finally found my place’: a political ethnography of the Maximiliaan refugee camp in Brussels","title-short":"‘I finally found my place’","volume":"21","author":[{"family":"Depraetere","given":"Anika"},{"family":"Oosterlynck","given":"Stijn"}],"issued":{"date-parts":[["2017",8,18]]}}},{"id":274,"uris":["http://zotero.org/users/8977980/items/CJIY3UC6"],"itemData":{"id":274,"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Citizenship","ISBN":"978-1-84813-263-4","language":"eng","page":"160-81","publisher":"Zed Books Ltd","publisher-place":"London, UK","title":"No One Is Illegal Between City and Nation","editor":[{"family":"Isin","given":"Engin"},{"family":"Nielsen","given":"Greg Marc"}],"author":[{"family":"Nyers","given":"Peter"}],"accessed":{"date-parts":[["2022",2,3]]},"issued":{"date-parts":[["2008"]]}}}],"schema":"https://github.com/citation-style-language/schema/raw/master/csl-citation.json"} </w:instrText>
      </w:r>
      <w:r w:rsidRPr="00662E51">
        <w:rPr>
          <w:szCs w:val="24"/>
        </w:rPr>
        <w:fldChar w:fldCharType="separate"/>
      </w:r>
      <w:r w:rsidR="0095662D" w:rsidRPr="00662E51">
        <w:t>(Barbero 2012; Darling 2014; Depraetere and Oosterlynck 2017; Nyers 2008)</w:t>
      </w:r>
      <w:r w:rsidRPr="00662E51">
        <w:rPr>
          <w:szCs w:val="24"/>
        </w:rPr>
        <w:fldChar w:fldCharType="end"/>
      </w:r>
      <w:r w:rsidRPr="00662E51">
        <w:rPr>
          <w:szCs w:val="24"/>
        </w:rPr>
        <w:t xml:space="preserve"> or potentially unlawful activism that assists unauthorised migrants </w:t>
      </w:r>
      <w:r w:rsidRPr="00662E51">
        <w:rPr>
          <w:szCs w:val="24"/>
        </w:rPr>
        <w:fldChar w:fldCharType="begin"/>
      </w:r>
      <w:r w:rsidR="008835AB" w:rsidRPr="00662E51">
        <w:rPr>
          <w:szCs w:val="24"/>
        </w:rPr>
        <w:instrText xml:space="preserve"> ADDIN ZOTERO_ITEM CSL_CITATION {"citationID":"91s6ckEz","properties":{"formattedCitation":"(Casta\\uc0\\u241{}eda 2013; Jakim\\uc0\\u243{}w 2017; Walters 2008)","plainCitation":"(Castañeda 2013; Jakimów 2017; Walters 2008)","noteIndex":0},"citationItems":[{"id":3278,"uris":["http://zotero.org/users/8977980/items/6H5HN3J5"],"itemData":{"id":3278,"type":"article-journal","container-title":"Citizenship Studies","DOI":"10.1080/13621025.2013.780744","ISSN":"1362-1025, 1469-3593","issue":"2","journalAbbreviation":"Citizenship Studies","language":"en","page":"227-240","source":"DOI.org (Crossref)","title":"Medical aid as protest: acts of citizenship for unauthorized im/migrants and refugees","title-short":"Medical aid as protest","volume":"17","author":[{"family":"Castañeda","given":"Heide"}],"issued":{"date-parts":[["2013",4]]}}},{"id":5120,"uris":["http://zotero.org/users/8977980/items/LAMKT3ES"],"itemData":{"id":5120,"type":"article-journal","abstract":"Based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Accommodation","volume":"26","author":[{"family":"Jakimów","given":"Małgorzata"}],"issued":{"date-parts":[["2017",11,2]]}}},{"id":5119,"uris":["http://zotero.org/users/8977980/items/PT4WJF5Y"],"itemData":{"id":5119,"type":"chapter","call-number":"NetLibrary, 323.6 ACT, 323.6 ISI","container-title":"Acts of Citizenship","ISBN":"978-1-84813-263-4","language":"eng","page":"182-205","publisher":"Zed Books Ltd","publisher-place":"London, UK","source":"discover.durham.ac.uk","title":"Acts of Demonstration: Mapping the Territory of (Non-)Citizenship","editor":[{"family":"Isin","given":"Engin"},{"family":"Nielsen","given":"Greg Marc"}],"author":[{"family":"Walters","given":"William"}],"accessed":{"date-parts":[["2022",2,3]]},"issued":{"date-parts":[["2008"]]}}}],"schema":"https://github.com/citation-style-language/schema/raw/master/csl-citation.json"} </w:instrText>
      </w:r>
      <w:r w:rsidRPr="00662E51">
        <w:rPr>
          <w:szCs w:val="24"/>
        </w:rPr>
        <w:fldChar w:fldCharType="separate"/>
      </w:r>
      <w:r w:rsidR="0095662D" w:rsidRPr="00662E51">
        <w:rPr>
          <w:rFonts w:cs="Times New Roman"/>
          <w:kern w:val="0"/>
        </w:rPr>
        <w:t>(Castañeda 2013; Jakimów 2017; Walters 2008)</w:t>
      </w:r>
      <w:r w:rsidRPr="00662E51">
        <w:rPr>
          <w:szCs w:val="24"/>
        </w:rPr>
        <w:fldChar w:fldCharType="end"/>
      </w:r>
      <w:r w:rsidRPr="00662E51">
        <w:rPr>
          <w:szCs w:val="24"/>
        </w:rPr>
        <w:t xml:space="preserve">. The principle extends to subjects that are still legal residents but do not have full citizenship like the Roma and Sinti people in Europe </w:t>
      </w:r>
      <w:r w:rsidRPr="00662E51">
        <w:rPr>
          <w:szCs w:val="24"/>
        </w:rPr>
        <w:fldChar w:fldCharType="begin"/>
      </w:r>
      <w:r w:rsidR="008835AB" w:rsidRPr="00662E51">
        <w:rPr>
          <w:szCs w:val="24"/>
        </w:rPr>
        <w:instrText xml:space="preserve"> ADDIN ZOTERO_ITEM CSL_CITATION {"citationID":"HUnC66ro","properties":{"formattedCitation":"(Aradau et al. 2013; Maestri 2017; Pontrandolfo 2018)","plainCitation":"(Aradau et al. 2013; Maestri 2017; Pontrandolfo 2018)","noteIndex":0},"citationItems":[{"id":1553,"uris":["http://zotero.org/users/8977980/items/NHHND6EU"],"itemData":{"id":1553,"type":"chapter","container-title":"Enacting European Citizenship","DOI":"10.1017/CBO9781139524025.008","ISBN":"978-1-107-03396-2","page":"132-154","publisher":"Cambridge University Press","publisher-place":"Cambridge","source":"Cambridge University Press","title":"Mobility interrogating free movement: Roma acts of European citizenship","title-short":"Mobility interrogating free movement","URL":"https://www.cambridge.org/core/books/enacting-european-citizenship/mobility-interrogating-free-movement-roma-acts-of-european-citizenship/C23C06163170CF7332F06EBED60D5C62","editor":[{"family":"Isin","given":"Engin"},{"family":"Saward","given":"Michael"}],"author":[{"family":"Aradau","given":"Claudia"},{"family":"Huysmans","given":"Jef"},{"family":"Macioti","given":"P. G."},{"family":"Squire","given":"Vicki"}],"accessed":{"date-parts":[["2022",10,5]]},"issued":{"date-parts":[["2013"]]}}},{"id":6755,"uris":["http://zotero.org/users/8977980/items/U2SWC4S9"],"itemData":{"id":6755,"type":"article-journal","abstract":"What is the political subjectivity of the Roma living in Italian camps? Although the camp prevents the Roma from enjoying a series of rights, it does not fully determine their citizenship status. Indeed, citizenship is always contested and evolving through the interaction of a plurality of actors. By understanding the camp as an ‘assemblage space’, this article aims to unpack the complex political subjectivities of Roma camps-dwellers and to reflect on the struggles and ambiguities characterising the citizenship-making process in camp spaces. Through in-depth interviews conducted with members of non-governmental organisations and social movements in the city of Rome, I investigate the contention over meanings produced around the space of the camp and the Roma political subjectivities. I finally identify and discuss two framing strategies constituting the Roma as right bearers and supporting their demand to housing inclusion: a neoliberal and a ‘right to the city’ discourse that generate entrepreneurial and urban subjects.","container-title":"Citizenship Studies","DOI":"10.1080/13621025.2017.1341656","ISSN":"1362-1025","issue":"6","note":"_eprint: https://doi.org/10.1080/13621025.2017.1341656","page":"640-656","publisher":"Routledge","source":"Taylor and Francis+NEJM","title":"Struggles and ambiguities over political subjectivities in the camp: Roma camp dwellers between neoliberal and urban citizenship in Italy","title-short":"Struggles and ambiguities over political subjectivities in the camp","volume":"21","author":[{"family":"Maestri","given":"Gaja"}],"issued":{"date-parts":[["2017",8,18]]}}},{"id":1415,"uris":["http://zotero.org/users/8977980/items/B2S7Z254"],"itemData":{"id":1415,"type":"article-journal","abstract":"This article presents the case study of a community-based Roma struggle to challenge categorisations, improve housing conditions and access citizenship rights. It is an ethnographic account of the citizenship enactments that a Roma family network, which migrated from Romania to Italy, has been pursuing since its arrival in the southern Italian town of Bari. The aim is to promote the value of ethnographic research in understanding the numerous, complex ways in which 'being political' among Roma is possible. This can take place not only through elite Roma activism, or by communities of Roma producing 'hidden transcripts', but also through community-based 'acts of citizenship'.","container-title":"Nomadic Peoples","ISSN":"0822-7942","issue":"1","page":"83-103","publisher":"White Horse Press","source":"JSTOR","title":"Roma 'Acts of Citizenship': Negotiating Categories and Housing Solutions","title-short":"ROMA 'ACTS OF CITIZENSHIP'","volume":"22","author":[{"family":"Pontrandolfo","given":"Stefania"}],"issued":{"date-parts":[["2018"]]}}}],"schema":"https://github.com/citation-style-language/schema/raw/master/csl-citation.json"} </w:instrText>
      </w:r>
      <w:r w:rsidRPr="00662E51">
        <w:rPr>
          <w:szCs w:val="24"/>
        </w:rPr>
        <w:fldChar w:fldCharType="separate"/>
      </w:r>
      <w:r w:rsidR="0095662D" w:rsidRPr="00662E51">
        <w:t>(Aradau et al. 2013; Maestri 2017; Pontrandolfo 2018)</w:t>
      </w:r>
      <w:r w:rsidRPr="00662E51">
        <w:rPr>
          <w:szCs w:val="24"/>
        </w:rPr>
        <w:fldChar w:fldCharType="end"/>
      </w:r>
      <w:r w:rsidRPr="00662E51">
        <w:rPr>
          <w:szCs w:val="24"/>
        </w:rPr>
        <w:t>. Instead, acts must at least have significant impact on law that “</w:t>
      </w:r>
      <w:r w:rsidRPr="00662E51">
        <w:rPr>
          <w:i/>
          <w:iCs/>
          <w:szCs w:val="24"/>
        </w:rPr>
        <w:t>misrecognizes them”</w:t>
      </w:r>
      <w:r w:rsidRPr="00662E51">
        <w:rPr>
          <w:szCs w:val="24"/>
        </w:rPr>
        <w:t xml:space="preserve"> </w:t>
      </w:r>
      <w:r w:rsidRPr="00662E51">
        <w:rPr>
          <w:szCs w:val="24"/>
        </w:rPr>
        <w:fldChar w:fldCharType="begin"/>
      </w:r>
      <w:r w:rsidR="008E2F28">
        <w:rPr>
          <w:szCs w:val="24"/>
        </w:rPr>
        <w:instrText xml:space="preserve"> ADDIN ZOTERO_ITEM CSL_CITATION {"citationID":"0ImusLQO","properties":{"formattedCitation":"(Isin 2009, 382)","plainCitation":"(Isin 2009, 382)","noteIndex":0},"citationItems":[{"id":3264,"uris":["http://zotero.org/users/8977980/items/NL6Y98JU"],"itemData":{"id":3264,"type":"article-journal","abstract":"Throughout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flux","volume":"29","author":[{"family":"Isin","given":"Engin"}],"issued":{"date-parts":[["2009",12,1]]}},"locator":"382"}],"schema":"https://github.com/citation-style-language/schema/raw/master/csl-citation.json"} </w:instrText>
      </w:r>
      <w:r w:rsidRPr="00662E51">
        <w:rPr>
          <w:szCs w:val="24"/>
        </w:rPr>
        <w:fldChar w:fldCharType="separate"/>
      </w:r>
      <w:r w:rsidR="008E2F28" w:rsidRPr="008E2F28">
        <w:t>(Isin 2009, 382)</w:t>
      </w:r>
      <w:r w:rsidRPr="00662E51">
        <w:rPr>
          <w:szCs w:val="24"/>
        </w:rPr>
        <w:fldChar w:fldCharType="end"/>
      </w:r>
      <w:r w:rsidRPr="00662E51">
        <w:rPr>
          <w:szCs w:val="24"/>
        </w:rPr>
        <w:t xml:space="preserve">. </w:t>
      </w:r>
    </w:p>
    <w:p w14:paraId="5620A182" w14:textId="45134937" w:rsidR="007B4EA4" w:rsidRPr="00662E51" w:rsidRDefault="007B4EA4" w:rsidP="00F56305">
      <w:pPr>
        <w:spacing w:line="360" w:lineRule="auto"/>
        <w:ind w:left="0" w:firstLine="720"/>
        <w:rPr>
          <w:szCs w:val="24"/>
        </w:rPr>
      </w:pPr>
      <w:r w:rsidRPr="00662E51">
        <w:rPr>
          <w:szCs w:val="24"/>
        </w:rPr>
        <w:t xml:space="preserve">The literature describes a wide variety of activity as acts of citizenship. Acts as diverse as protests and demonstrations like sit-ins and marches </w:t>
      </w:r>
      <w:r w:rsidRPr="00662E51">
        <w:rPr>
          <w:szCs w:val="24"/>
        </w:rPr>
        <w:fldChar w:fldCharType="begin"/>
      </w:r>
      <w:r w:rsidR="008E2F28">
        <w:rPr>
          <w:szCs w:val="24"/>
        </w:rPr>
        <w:instrText xml:space="preserve"> ADDIN ZOTERO_ITEM CSL_CITATION {"citationID":"LmtPva5o","properties":{"formattedCitation":"(Andrijasevic 2013; Earle 2012; Hsu 2008; Fierro 2020; Isin 2009; Nyers 2008)","plainCitation":"(Andrijasevic 2013; Earle 2012; Hsu 2008; Fierro 2020; Isin 2009; Nyers 2008)","noteIndex":0},"citationItems":[{"id":5117,"uris":["http://zotero.org/users/8977980/items/E4D94GS2"],"itemData":{"id":5117,"type":"chapter","container-title":"Enacting European Citizenship","DOI":"10.1017/CBO9781139524025.008","ISBN":"978-1-139-52402-5","page":"47-65","publisher":"Cambridge University Press","publisher-place":"Cambridge","source":"Cambridge University Press","title":"Acts of citizenship as methodology","URL":"https://www.cambridge.org/core/books/abs/enacting-european-citizenship/acts-of-citizenship-as-methodology/D7E1D119E9593A67BD34D2027FD555F9","editor":[{"family":"Isin","given":"Engin"},{"family":"Saward","given":"Michael"}],"author":[{"family":"Andrijasevic","given":"Rutvica"}],"accessed":{"date-parts":[["2022",10,5]]},"issued":{"date-parts":[["2013"]]}}},{"id":1320,"uris":["http://zotero.org/users/8977980/items/SCKC3SXG"],"itemData":{"id":1320,"type":"article-journal","abstract":"This article examines the rhetoric and practice of a large social movement organised around low-income housing in the city of São Paulo, Brazil. Making explicit the relationship between housing and citizenship, the União de Movimentos de Moradia (Alliance of Housing Movements) articulates a ‘politics of rights’ with which it calls on the state to uphold the constitutional right to housing, and legitimates its high-proﬁle occupations of abandoned buildings in the centre of the city. The article engages with James Holston’s historical examination of homeowners’ struggles on the peripheries of São Paulo to assert themselves as rights-holders and to mobilise against threats of eviction. While Holston names these groups of residents ‘insurgent’ citizens for the way they have unsettled entrenched social inequalities, this article presents the concept of ‘transgressive’ citizenship to reﬂect the challenge the housing movement makes to the state as it uses text-based law to justify building occupations.","container-title":"Journal of Latin American Studies","DOI":"10.1017/S0022216X11001118","ISSN":"0022-216X, 1469-767X","issue":"1","journalAbbreviation":"J. Lat. Am. Stud.","language":"en","page":"97-126","source":"DOI.org (Crossref)","title":"From Insurgent to Transgressive Citizenship: Housing, Social Movements and the Politics of Rights in São Paulo","title-short":"From Insurgent to Transgressive Citizenship","volume":"44","author":[{"family":"Earle","given":"Lucy"}],"issued":{"date-parts":[["2012",2]]}}},{"id":6747,"uris":["http://zotero.org/users/8977980/items/TZB8NVV4"],"itemData":{"id":6747,"type":"chapter","abstract":"Politics,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Citizenship","ISBN":"978-1-84813-263-4","language":"eng","page":"247-265","publisher":"Zed Books Ltd","publisher-place":"London, UK","source":"discover.durham.ac.uk","title":"Acts of Chinese Citizenship: The Tank Man and Democracy-to-Come","URL":"https://ezphost.dur.ac.uk/login?url=https://search.ebscohost.com/login.aspx?direct=true&amp;scope=site&amp;db=nlebk&amp;AN=260783","editor":[{"family":"Isin","given":"Engin"},{"family":"Nielsen","given":"Greg Marc"}],"author":[{"family":"Hsu","given":"Yon"}],"accessed":{"date-parts":[["2022",2,3]]},"issued":{"date-parts":[["2008"]]}}},{"id":1552,"uris":["http://zotero.org/users/8977980/items/6CWBKE8P"],"itemData":{"id":1552,"type":"article-journal","abstract":"The Brazilian Movimento dos Trabalhadores sem Teto (MTST)—Homeless Workers’ Movement—is a social movement that struggles for housing and for a radical transformation of capitalistic socio-economic relations. The present paper offers a problematization of the movement’s plea to social rights. They are part of the movement’s discourse and strategy. However, the activists’ objective is more radical: they aim at a complete transformation of the Brazilian economy and society. By first discussing two sets of literatures—Critical Legal Theory and Governmentality Studies—this article illustrates the complexity and the ambivalences of a radical politics of rights. Then, by contrasting my ongoing ethnographic research with the work of James Holston and Lucy Earle, I discuss the relevance of a citizenship framework for the MTST’s struggle. Finally, inspired by Foucault’s concept of counter-conducts, the article argues that the movement’s politics of rights represents an effective tactic to contrast neoliberal governmentality and to create radical democratic spaces of struggle and collective resistance.","container-title":"International Journal of Politics, Culture, and Society","DOI":"10.1007/s10767-020-09356-6","ISSN":"0891-4486, 1573-3416","issue":"4","journalAbbreviation":"Int J Polit Cult Soc","language":"en","page":"513-527","source":"DOI.org (Crossref)","title":"The MTST Politics of Social Rights: Counter-Conducts, Acts of Citizenship and a Radical Struggle Beyond Housing","title-short":"The MTST Politics of Social Rights","volume":"33","author":[{"family":"Fierro","given":"Alberto"}],"issued":{"date-parts":[["2020",12]]}}},{"id":3264,"uris":["http://zotero.org/users/8977980/items/NL6Y98JU"],"itemData":{"id":3264,"type":"article-journal","abstract":"Throughout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flux","volume":"29","author":[{"family":"Isin","given":"Engin"}],"issued":{"date-parts":[["2009",12,1]]}}},{"id":274,"uris":["http://zotero.org/users/8977980/items/CJIY3UC6"],"itemData":{"id":274,"type":"chapter","abstract":"Politics,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Citizenship","ISBN":"978-1-84813-263-4","language":"eng","page":"160-81","publisher":"Zed Books Ltd","publisher-place":"London, UK","title":"No One Is Illegal Between City and Nation","editor":[{"family":"Isin","given":"Engin"},{"family":"Nielsen","given":"Greg Marc"}],"author":[{"family":"Nyers","given":"Peter"}],"accessed":{"date-parts":[["2022",2,3]]},"issued":{"date-parts":[["2008"]]}}}],"schema":"https://github.com/citation-style-language/schema/raw/master/csl-citation.json"} </w:instrText>
      </w:r>
      <w:r w:rsidRPr="00662E51">
        <w:rPr>
          <w:szCs w:val="24"/>
        </w:rPr>
        <w:fldChar w:fldCharType="separate"/>
      </w:r>
      <w:r w:rsidR="008E2F28" w:rsidRPr="008E2F28">
        <w:t>(Andrijasevic 2013; Earle 2012; Hsu 2008; Fierro 2020; Isin 2009; Nyers 2008)</w:t>
      </w:r>
      <w:r w:rsidRPr="00662E51">
        <w:rPr>
          <w:szCs w:val="24"/>
        </w:rPr>
        <w:fldChar w:fldCharType="end"/>
      </w:r>
      <w:r w:rsidRPr="00662E51">
        <w:rPr>
          <w:szCs w:val="24"/>
        </w:rPr>
        <w:t xml:space="preserve"> and building occupations </w:t>
      </w:r>
      <w:r w:rsidRPr="00662E51">
        <w:rPr>
          <w:szCs w:val="24"/>
        </w:rPr>
        <w:fldChar w:fldCharType="begin"/>
      </w:r>
      <w:r w:rsidR="008835AB" w:rsidRPr="00662E51">
        <w:rPr>
          <w:szCs w:val="24"/>
        </w:rPr>
        <w:instrText xml:space="preserve"> ADDIN ZOTERO_ITEM CSL_CITATION {"citationID":"SOqRVT0y","properties":{"formattedCitation":"(Barbero 2012; Jacobson 2022)","plainCitation":"(Barbero 2012; Jacobson 2022)","noteIndex":0},"citationItems":[{"id":3274,"uris":["http://zotero.org/users/8977980/items/U7NNX2E6"],"itemData":{"id":3274,"type":"article-journal","abstract":"This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Citizenship","volume":"21","author":[{"family":"Barbero","given":"Iker"}],"issued":{"date-parts":[["2012",12,1]]}}},{"id":2614,"uris":["http://zotero.org/users/8977980/items/4SUAA6HS"],"itemData":{"id":2614,"type":"article-journal","abstract":"This article examines an overlooked group of participants within 1970s housing occupation movements in Western Europe – migrants. More specifically, I analyse Italian migrants’ participation in housing occupations in the city of Frankfurt am Main, West Germany, from 1970–3. By engaging in visible protest, Italian migrant occupiers performed ‘acts of urban citizenship’ that ruptured understandings of localised citizenship and belonging. This case study thus illuminates two interrelated historic phenomena: (1) how social rights became de-territorialised and attached to the individual rather than the nation-state; and (2) how the city became a crucial site of citizenship formation, even across national borders.","container-title":"Contemporary European History","DOI":"10.1017/S0960777322000662","ISSN":"0960-7773, 1469-2171","journalAbbreviation":"Contemporary European History","language":"en","page":"1-17","source":"DOI.org (Crossref)","title":"Redefining Urban Citizenship: Italian Migrants and Housing Occupations in 1970s Frankfurt am Main","title-short":"Redefining Urban Citizenship","author":[{"family":"Jacobson","given":"Sarah"}],"issued":{"date-parts":[["2022",10,20]]}}}],"schema":"https://github.com/citation-style-language/schema/raw/master/csl-citation.json"} </w:instrText>
      </w:r>
      <w:r w:rsidRPr="00662E51">
        <w:rPr>
          <w:szCs w:val="24"/>
        </w:rPr>
        <w:fldChar w:fldCharType="separate"/>
      </w:r>
      <w:r w:rsidR="0095662D" w:rsidRPr="00662E51">
        <w:t>(Barbero 2012; Jacobson 2022)</w:t>
      </w:r>
      <w:r w:rsidRPr="00662E51">
        <w:rPr>
          <w:szCs w:val="24"/>
        </w:rPr>
        <w:fldChar w:fldCharType="end"/>
      </w:r>
      <w:r w:rsidRPr="00662E51">
        <w:rPr>
          <w:szCs w:val="24"/>
        </w:rPr>
        <w:t xml:space="preserve">; creative pursuits through various forms of media </w:t>
      </w:r>
      <w:r w:rsidRPr="00662E51">
        <w:rPr>
          <w:szCs w:val="24"/>
        </w:rPr>
        <w:fldChar w:fldCharType="begin"/>
      </w:r>
      <w:r w:rsidR="008835AB" w:rsidRPr="00662E51">
        <w:rPr>
          <w:szCs w:val="24"/>
        </w:rPr>
        <w:instrText xml:space="preserve"> ADDIN ZOTERO_ITEM CSL_CITATION {"citationID":"yadXDdWF","properties":{"formattedCitation":"(Hughes and Forman 2017; N\\uc0\\u237{} Mhurch\\uc0\\u250{} 2016; Stavinoha 2019)","plainCitation":"(Hughes and Forman 2017; Ní Mhurchú 2016; Stavinoha 2019)","noteIndex":0},"citationItems":[{"id":3619,"uris":["http://zotero.org/users/8977980/items/PZ7U8PE9"],"itemData":{"id":3619,"type":"article-journal","abstract":"This paper introduces a materialist approach to Isin’s concept of ‘acts of citizenship’ to call for an attention to the lively and agential materials that mediate citizenship claims. It describes two ways in which materialism helps progress conceptualisations of citizenship. Firstly, it demonstrates the ways in which a materialist viewpoint forces a reconsideration of ‘acts of citizenship’ as undertaken by heterogeneous collectives, rather than them being the sole responsibility of human actors. Secondly, it suggests that, because acts of citizenship arise out of socio-material entanglements, they may exceed the apparent intentions of human subjects. This paper argues that materials are more than bystanders in claims to citizenship; they actively mediate and facilitate encounters through which political claims are made. This argument is developed through a detailed empirical study of the materials permitted to circulate from Immigration Removal Centres during a community exchange project organised by the charity Music in Detention.","container-title":"Citizenship Studies","DOI":"10.1080/13621025.2017.1341659","ISSN":"1362-1025","issue":"6","page":"675-692","publisher":"Routledge","source":"tandfonline.com (Atypon)","title":"A material politics of citizenship: the potential of circulating materials from UK Immigration Removal Centres","title-short":"A material politics of citizenship","volume":"21","author":[{"family":"Hughes","given":"Sarah M."},{"family":"Forman","given":"Peter"}],"issued":{"date-parts":[["2017",8,18]]}}},{"id":3628,"uris":["http://zotero.org/users/8977980/items/CP3BG6VU"],"itemData":{"id":3628,"type":"article-journal","abstract":"Conceptualising citizenship as an act rather than a status enables us to rethink the familiarity of both ‘who’ can be a citizen and the type of ‘practices’ that can be understood as citizenship. This paper focuses on unfamiliar practices of citizenship per se by exploring the liminal site from which intergenerational migrant youth resist the taken-for-granted space of citizenship through a turn towards vernacular music and language. It considers how citizenship is resisted here through the unfamiliar act of turning away from either identifying or, failing/refusing to identify with the nation-state. It explores the effect of this move in challenging narrow national linguistic and ethnic ideologies through the development of non-standard language practice and cross-cutting musical styles. It argues that citizenship is enacted in this move by creating a space in vernacular music and language for expressions of hybrid political identity and belonging.","container-title":"Citizenship Studies","DOI":"10.1080/13621025.2015.1132566","ISSN":"1362-1025","issue":"2","note":"_eprint: https://doi.org/10.1080/13621025.2015.1132566","page":"156-172","publisher":"Routledge","source":"Taylor and Francis+NEJM","title":"Unfamiliar acts of citizenship: enacting citizenship in vernacular music and language from the space of marginalised intergenerational migration","title-short":"Unfamiliar acts of citizenship","volume":"20","author":[{"family":"Ní Mhurchú","given":"Aoileann"}],"issued":{"date-parts":[["2016",2,17]]}}},{"id":4200,"uris":["http://zotero.org/users/8977980/items/SNQN4XT2"],"itemData":{"id":4200,"type":"article-journal","abstract":"Situated at the intersection of media and communication and critical citizenship studies, this article explores how refugees assert themselves as political subjects through communicative acts of citizenship—everyday forms of resistance against the border regime enacted in and through diverse media networks. It discusses how these communicative practices of claims-making are shaped by refugee–volunteer solidarities and the shifting micropolitics of securitized humanitarian care at Europe’s border. Finally, it considers the potential that such acts, especially those enacted within digital media spaces, carry for interrupting dominant media and humanitarian discourses. Drawing on 12 weeks of participant observation and 42 interviews with refugees and volunteers conducted on the Greek island of Chios between March 2016 and July 2018, the article concludes that despite their limited effects, taking the mediation of refugees’ political agency seriously is methodologically, analytically, and politically imperative to avoid reifying the figure of the mute refugee so deeply embedded in the humanitarian imaginary.","container-title":"International Journal of Communication","ISSN":"1932-8036","language":"en","license":"The  International Journal of Communication  is an academic journal. As such, it is dedicated to the open exchange of information. For this reason, IJoC is freely available to individuals and institutions. Copies of this journal or articles in this journal may be distributed for research or educational purposes free of charge and without permission. However, commercial use of the IJoC website or the articles contained herein is expressly prohibited without the written consent of the editor. Authors who publish in The  International Journal of Communication  will release their articles under the   Creative Commons Attribution Non-Commercial No Derivatives (by-nc-nd) license  . This license allows anyone to copy and distribute the article for non-commercial purposes provided that appropriate attribution is given. For details of the rights authors grants users of their work, see the  \"human-readable summary\" of the license , with a link to the full license. (Note that \"you\" refers to a user, not an author, in the summary.) This journal utilizes the  LOCKSS system to create a distributed archiving system among participating libraries and permits those libraries to create permanent archives of the journal for purposes of preservation and restoration. The publisher perpetually authorizes participants in the LOCKSS system to archive and restore our publication through the LOCKSS System for the benefit of all LOCKSS System participants. Specifically participating libraries may:  Collect and preserve currently accessible materials;  Use material consistent with original license terms;  Provide copies to other LOCKSS appliances for purposes of audit and repair.        Fair Use The U.S. Copyright Act of 1976 specifies, in Section 107, the terms of the Fair Use exception: Notwithstanding the provisions of sections 106 and 106A, the fair use of a copyrighted work, including such use by reproduction in copies or phonorecords or by any other means specified by that section, for purposes such as criticism, comment, news reporting, teaching (including multiple copies for classroom use), scholarship, or research, is not an infringement of copyright. In determining whether the use made of a work in any particular case is a fair use the factors to be considered shall include:  the purpose and character of the use, including whether such use is of a commercial nature or is for nonprofit educational purposes;  the nature of the copyrighted work;  the amount and substantiality of the portion used in relation to the copyrighted work as a whole; &amp;amp;  the effect of the use upon the potential market for or value of the copyrighted work.   The fact that a work is unpublished shall not itself bar a finding of fair use if such finding is made upon consideration of all the above factors. In accord with these provisions, the  International Journal of Communication  believes in the vigorous assertion and defense of Fair Use by scholars engaged in academic research, teaching and non-commercial publishing. Thus, we view the inclusion of “quotations” from existing print, visual, audio and audio-visual texts to be appropriate examples of Fair Use, as are reproductions of visual images for the purpose of scholarly analysis. We encourage authors to obtain appropriate permissions to use materials originally produced by others, but do not require such permissions as long as the usage of such materials falls within the boundaries of Fair Use.  The  International Journal of Communication  encourages authors to employ fair use in their scholarly publishing wherever appropriate. Fair use is the right to use unlicensed copyrighted material (whether it is text, images, audio-visual, or other) in your own work, in some circumstances. We consult the  Code of Best Practices in Fair Use for Scholarly Research in Communication , created by the International Communication Association and endorsed by the National Communication Association, and you should too. If you have any questions about whether fair use applies to your uses of copyrighted material (whether it is text, images, audio-visual, or other) in your scholarship, simply include your rationale, grounded in the Best Practices, as a supplementary document with your submission.","note":"number: 0","page":"1212-30","source":"ijoc.org","title":"Communicative Acts of Citizenship: Contesting Europe’s Border in and Through the Media","title-short":"Communicative Acts of Citizenship","volume":"13","author":[{"family":"Stavinoha","given":"Ludek"}],"issued":{"date-parts":[["2019",3,14]]}}}],"schema":"https://github.com/citation-style-language/schema/raw/master/csl-citation.json"} </w:instrText>
      </w:r>
      <w:r w:rsidRPr="00662E51">
        <w:rPr>
          <w:szCs w:val="24"/>
        </w:rPr>
        <w:fldChar w:fldCharType="separate"/>
      </w:r>
      <w:r w:rsidR="0095662D" w:rsidRPr="00662E51">
        <w:rPr>
          <w:rFonts w:cs="Times New Roman"/>
          <w:kern w:val="0"/>
        </w:rPr>
        <w:t>(Hughes and Forman 2017; Ní Mhurchú 2016; Stavinoha 2019)</w:t>
      </w:r>
      <w:r w:rsidRPr="00662E51">
        <w:rPr>
          <w:szCs w:val="24"/>
        </w:rPr>
        <w:fldChar w:fldCharType="end"/>
      </w:r>
      <w:r w:rsidRPr="00662E51">
        <w:rPr>
          <w:szCs w:val="24"/>
        </w:rPr>
        <w:t xml:space="preserve">; social networking online </w:t>
      </w:r>
      <w:r w:rsidRPr="00662E51">
        <w:rPr>
          <w:szCs w:val="24"/>
        </w:rPr>
        <w:fldChar w:fldCharType="begin"/>
      </w:r>
      <w:r w:rsidR="00266D04">
        <w:rPr>
          <w:szCs w:val="24"/>
        </w:rPr>
        <w:instrText xml:space="preserve"> ADDIN ZOTERO_ITEM CSL_CITATION {"citationID":"TNNQoWp4","properties":{"formattedCitation":"(Johns 2014; Song 2022)","plainCitation":"(Johns 2014; Song 2022)","noteIndex":0},"citationItems":[{"id":5193,"uris":["http://zotero.org/users/8977980/items/E78LM438"],"itemData":{"id":5193,"type":"article-journal","container-title":"Social Inclusion","DOI":"10.17645/si.v2i2.168","ISSN":"2183-2803","issue":"2","language":"en","page":"71-82","source":"www.cogitatiopress.com","title":"Muslim Young People Online: “Acts of Citizenship” in Socially Networked Spaces","title-short":"Muslim Young People Online","volume":"2","author":[{"family":"Johns","given":"Amelia"}],"issued":{"date-parts":[["2014",8,20]]}}},{"id":4462,"uris":["http://zotero.org/users/8977980/items/MW4NCBNN"],"itemData":{"id":4462,"type":"article-journal","abstract":"This paper investigates Chinese gay men’s consumption of domestic pornography on international social network platforms following the country’s anti-porn campaigns targeting live streaming. Set against the backdrop of China’s illiberal digital landscape characterized by rapid platformization and evolving Internet governance, the paper draws on in-depth interviews with twenty-one Chinese young gay men to explore how they take advantage of digital platforms and algorithms to creatively and resiliently carve out a space for expressing same-sex desires in a precarious environment. It argues that, although these creative acts of sexual citizenship empower gay men in self-understanding and community-building, they are also critically limited by China’s intertwining neoliberal and illiberal cultures.","container-title":"Television &amp; New Media","DOI":"10.1177/15274764221080914","ISSN":"1527-4764, 1552-8316","issue":"5","journalAbbreviation":"Television &amp; New Media","language":"en","page":"498-508","source":"DOI.org (Crossref)","title":"Desiring &lt;i&gt;Wanghuang&lt;/i&gt; : Live Streaming, Porn Consumption and Acts of Citizenship among Gay Men in Digital China","title-short":"Desiring &lt;i&gt;Wanghuang&lt;/i&gt;","volume":"23","author":[{"family":"Song","given":"Lin"}],"issued":{"date-parts":[["2022",7]]}}}],"schema":"https://github.com/citation-style-language/schema/raw/master/csl-citation.json"} </w:instrText>
      </w:r>
      <w:r w:rsidRPr="00662E51">
        <w:rPr>
          <w:szCs w:val="24"/>
        </w:rPr>
        <w:fldChar w:fldCharType="separate"/>
      </w:r>
      <w:r w:rsidR="00266D04" w:rsidRPr="00266D04">
        <w:t>(Johns 2014; Song 2022)</w:t>
      </w:r>
      <w:r w:rsidRPr="00662E51">
        <w:rPr>
          <w:szCs w:val="24"/>
        </w:rPr>
        <w:fldChar w:fldCharType="end"/>
      </w:r>
      <w:r w:rsidRPr="00662E51">
        <w:rPr>
          <w:szCs w:val="24"/>
        </w:rPr>
        <w:t xml:space="preserve">; and eviction prevention </w:t>
      </w:r>
      <w:r w:rsidRPr="00662E51">
        <w:rPr>
          <w:szCs w:val="24"/>
        </w:rPr>
        <w:fldChar w:fldCharType="begin"/>
      </w:r>
      <w:r w:rsidRPr="00662E51">
        <w:rPr>
          <w:szCs w:val="24"/>
        </w:rPr>
        <w:instrText xml:space="preserve"> ADDIN ZOTERO_ITEM CSL_CITATION {"citationID":"O8dfP9t1","properties":{"formattedCitation":"(Janoschka 2015)","plainCitation":"(Janoschka 2015)","noteIndex":0},"citationItems":[{"id":1549,"uris":["http://zotero.org/users/8977980/items/CHNDW7D6"],"itemData":{"id":1549,"type":"article-journal","abstract":"The city region of Madrid can be considered as an exponent of the striking contradictions associated with the contemporary market-oriented production of housing. Given the increasing economic constraints of many ­middle- and working-class households because of the crisis, property values have been declining for practically seven years now, and tens of thousands of households have been evicted from their homes because they were unable to pay back their mortgages. Simultaneously, since the outbreak of the indignados movement in May 2011, a contestation of the structural forces ruling the real estate sector has been taking place, and questions about the right of housing became a prominent part of the public debate in an increasingly politicised society. Alongside the background of literature about the post-political city and subversive citizenship, this article pursues three key aims: It analyses the consequences of the persistent crisis with a special focus on the residential housing market in Madrid. Secondly, an analysis of the new social and political dynamics that have been emerging during the crisis is developed. Finally, it pinpoints to the way how the emergence of new actors within contemporary housing struggles has been shifting the social and political discourses in this political arena. Such an approach brings together discussions from the field of Political Science with the new geographies of contested crisis urbanism that relate to debates about the social construction of the city, citizenship and disobedience.","container-title":"DIE ERDE – Journal of the Geographical Society of Berlin","DOI":"10.12854/erde-146-9","ISSN":"0013-9998","issue":"2-3","language":"en","license":"Copyright (c) 2015 DIE ERDE – Journal of the Geographical Society of Berlin","note":"number: 2-3","page":"100-112","source":"www.die-erde.org","title":"Politics, citizenship and disobedience in the city of crisis: a critical analysis of contemporary housing struggles in Madrid","title-short":"Politics, citizenship and disobedience in the city of crisis","volume":"146","author":[{"family":"Janoschka","given":"Michael"}],"issued":{"date-parts":[["2015",10,1]]}}}],"schema":"https://github.com/citation-style-language/schema/raw/master/csl-citation.json"} </w:instrText>
      </w:r>
      <w:r w:rsidRPr="00662E51">
        <w:rPr>
          <w:szCs w:val="24"/>
        </w:rPr>
        <w:fldChar w:fldCharType="separate"/>
      </w:r>
      <w:r w:rsidR="0095662D" w:rsidRPr="00662E51">
        <w:t>(Janoschka 2015)</w:t>
      </w:r>
      <w:r w:rsidRPr="00662E51">
        <w:rPr>
          <w:szCs w:val="24"/>
        </w:rPr>
        <w:fldChar w:fldCharType="end"/>
      </w:r>
      <w:r w:rsidRPr="00662E51">
        <w:rPr>
          <w:szCs w:val="24"/>
        </w:rPr>
        <w:t xml:space="preserve"> among others. All of these acts are practices “of making citizens or citizenship”—including those that aim to “redefine, decentre or even refuse </w:t>
      </w:r>
      <w:r w:rsidRPr="00662E51">
        <w:rPr>
          <w:szCs w:val="24"/>
        </w:rPr>
        <w:lastRenderedPageBreak/>
        <w:t xml:space="preserve">citizenship”—which go beyond simply being disruptive, and actually approach citizenship as processual </w:t>
      </w:r>
      <w:r w:rsidRPr="00662E51">
        <w:rPr>
          <w:szCs w:val="24"/>
        </w:rPr>
        <w:fldChar w:fldCharType="begin"/>
      </w:r>
      <w:r w:rsidR="008835AB" w:rsidRPr="00662E51">
        <w:rPr>
          <w:szCs w:val="24"/>
        </w:rPr>
        <w:instrText xml:space="preserve"> ADDIN ZOTERO_ITEM CSL_CITATION {"citationID":"vwwDuw9r","properties":{"formattedCitation":"(Fortier 2016, 1039)","plainCitation":"(Fortier 2016, 1039)","noteIndex":0},"citationItems":[{"id":3620,"uris":["http://zotero.org/users/8977980/items/YQDLHNPX"],"itemData":{"id":3620,"type":"article-journal","abstract":"After briefly discussing the ‘affective turn’ in citizenship studies, this afterword discusses the political mobilisation of affect to consider when, where and how affect may be connected to citizenship. It asks: What does it mean and do to speak of affective acts as acts of affective citizenship? I argue that the phrase ‘affective citizenship’ attaches affect to a very specific object: citizenship. Studying affective citizenship requires attention to how some feelings attach themselves to citizenship and to how citizenship itself can evoke certain feelings. But affective citizenship does not occur ‘naturally’: it arises from, requires and/or produces knowledge, labour, and (new) ‘feeling rules’. I conclude with a call for more research into the dynamics of affective citizenship that go beyond a simple opposition between those simply conceived of as agents of disciplinary power and those seen as (resisting) subjects of disciplinary power.","container-title":"Citizenship Studies","DOI":"10.1080/13621025.2016.1229190","ISSN":"1362-1025","issue":"8","note":"_eprint: https://doi.org/10.1080/13621025.2016.1229190","page":"1038-1044","publisher":"Routledge","source":"Taylor and Francis+NEJM","title":"Afterword: acts of affective citizenship? Possibilities and limitations","title-short":"Afterword","volume":"20","author":[{"family":"Fortier","given":"Anne-Marie"}],"issued":{"date-parts":[["2016",11,16]]}},"locator":"1039"}],"schema":"https://github.com/citation-style-language/schema/raw/master/csl-citation.json"} </w:instrText>
      </w:r>
      <w:r w:rsidRPr="00662E51">
        <w:rPr>
          <w:szCs w:val="24"/>
        </w:rPr>
        <w:fldChar w:fldCharType="separate"/>
      </w:r>
      <w:r w:rsidR="0095662D" w:rsidRPr="00662E51">
        <w:t>(Fortier 2016, 1039)</w:t>
      </w:r>
      <w:r w:rsidRPr="00662E51">
        <w:rPr>
          <w:szCs w:val="24"/>
        </w:rPr>
        <w:fldChar w:fldCharType="end"/>
      </w:r>
      <w:r w:rsidR="0041501A" w:rsidRPr="00662E51">
        <w:rPr>
          <w:szCs w:val="24"/>
        </w:rPr>
        <w:t xml:space="preserve">. </w:t>
      </w:r>
      <w:r w:rsidR="009342C3" w:rsidRPr="00662E51">
        <w:rPr>
          <w:szCs w:val="24"/>
        </w:rPr>
        <w:t xml:space="preserve">The activism explored in Chapter 5 </w:t>
      </w:r>
      <w:r w:rsidR="006931F4" w:rsidRPr="00662E51">
        <w:rPr>
          <w:szCs w:val="24"/>
        </w:rPr>
        <w:t xml:space="preserve">emphasises </w:t>
      </w:r>
      <w:r w:rsidR="008068E1" w:rsidRPr="00662E51">
        <w:rPr>
          <w:szCs w:val="24"/>
        </w:rPr>
        <w:t xml:space="preserve">practices of making citizens under a context of managerial and authoritarian governance. </w:t>
      </w:r>
      <w:r w:rsidRPr="00662E51">
        <w:rPr>
          <w:szCs w:val="24"/>
        </w:rPr>
        <w:t xml:space="preserve">This definition, although expansive, can account for the diversity of acts that “actualize a rupture in the given” inherent to acts of citizenship </w:t>
      </w:r>
      <w:r w:rsidRPr="00662E51">
        <w:rPr>
          <w:szCs w:val="24"/>
        </w:rPr>
        <w:fldChar w:fldCharType="begin"/>
      </w:r>
      <w:r w:rsidR="008E2F28">
        <w:rPr>
          <w:szCs w:val="24"/>
        </w:rPr>
        <w:instrText xml:space="preserve"> ADDIN ZOTERO_ITEM CSL_CITATION {"citationID":"fnmfeR4p","properties":{"formattedCitation":"(Isin 2009, 380)","plainCitation":"(Isin 2009, 380)","noteIndex":0},"citationItems":[{"id":3264,"uris":["http://zotero.org/users/8977980/items/NL6Y98JU"],"itemData":{"id":3264,"type":"article-journal","abstract":"Throughout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flux","volume":"29","author":[{"family":"Isin","given":"Engin"}],"issued":{"date-parts":[["2009",12,1]]}},"locator":"380"}],"schema":"https://github.com/citation-style-language/schema/raw/master/csl-citation.json"} </w:instrText>
      </w:r>
      <w:r w:rsidRPr="00662E51">
        <w:rPr>
          <w:szCs w:val="24"/>
        </w:rPr>
        <w:fldChar w:fldCharType="separate"/>
      </w:r>
      <w:r w:rsidR="008E2F28" w:rsidRPr="008E2F28">
        <w:t>(Isin 2009, 380)</w:t>
      </w:r>
      <w:r w:rsidRPr="00662E51">
        <w:rPr>
          <w:szCs w:val="24"/>
        </w:rPr>
        <w:fldChar w:fldCharType="end"/>
      </w:r>
      <w:r w:rsidR="009342C3" w:rsidRPr="00662E51">
        <w:rPr>
          <w:szCs w:val="24"/>
        </w:rPr>
        <w:t>.</w:t>
      </w:r>
      <w:r w:rsidR="00EC6F30" w:rsidRPr="00662E51">
        <w:rPr>
          <w:szCs w:val="24"/>
        </w:rPr>
        <w:t xml:space="preserve"> </w:t>
      </w:r>
      <w:r w:rsidRPr="00662E51">
        <w:rPr>
          <w:szCs w:val="24"/>
        </w:rPr>
        <w:t xml:space="preserve">Yet, these depictions of acts overwhelmingly position them as an oppositional or collective struggle, through which an actor demands answerability to justice. This is why the literature typically focuses on an oppositional form of politics—protests, demonstrates, sit-ins and so on. Even investigations of everyday acts of citizenship </w:t>
      </w:r>
      <w:r w:rsidRPr="00662E51">
        <w:rPr>
          <w:szCs w:val="24"/>
        </w:rPr>
        <w:fldChar w:fldCharType="begin"/>
      </w:r>
      <w:r w:rsidR="008835AB" w:rsidRPr="00662E51">
        <w:rPr>
          <w:szCs w:val="24"/>
        </w:rPr>
        <w:instrText xml:space="preserve"> ADDIN ZOTERO_ITEM CSL_CITATION {"citationID":"n9uEs78q","properties":{"formattedCitation":"(e.g., Stavinoha 2019; Neveu 2019)","plainCitation":"(e.g., Stavinoha 2019; Neveu 2019)","noteIndex":0},"citationItems":[{"id":4200,"uris":["http://zotero.org/users/8977980/items/SNQN4XT2"],"itemData":{"id":4200,"type":"article-journal","abstract":"Situated at the intersection of media and communication and critical citizenship studies, this article explores how refugees assert themselves as political subjects through communicative acts of citizenship—everyday forms of resistance against the border regime enacted in and through diverse media networks. It discusses how these communicative practices of claims-making are shaped by refugee–volunteer solidarities and the shifting micropolitics of securitized humanitarian care at Europe’s border. Finally, it considers the potential that such acts, especially those enacted within digital media spaces, carry for interrupting dominant media and humanitarian discourses. Drawing on 12 weeks of participant observation and 42 interviews with refugees and volunteers conducted on the Greek island of Chios between March 2016 and July 2018, the article concludes that despite their limited effects, taking the mediation of refugees’ political agency seriously is methodologically, analytically, and politically imperative to avoid reifying the figure of the mute refugee so deeply embedded in the humanitarian imaginary.","container-title":"International Journal of Communication","ISSN":"1932-8036","language":"en","license":"The  International Journal of Communication  is an academic journal. As such, it is dedicated to the open exchange of information. For this reason, IJoC is freely available to individuals and institutions. Copies of this journal or articles in this journal may be distributed for research or educational purposes free of charge and without permission. However, commercial use of the IJoC website or the articles contained herein is expressly prohibited without the written consent of the editor. Authors who publish in The  International Journal of Communication  will release their articles under the   Creative Commons Attribution Non-Commercial No Derivatives (by-nc-nd) license  . This license allows anyone to copy and distribute the article for non-commercial purposes provided that appropriate attribution is given. For details of the rights authors grants users of their work, see the  \"human-readable summary\" of the license , with a link to the full license. (Note that \"you\" refers to a user, not an author, in the summary.) This journal utilizes the  LOCKSS system to create a distributed archiving system among participating libraries and permits those libraries to create permanent archives of the journal for purposes of preservation and restoration. The publisher perpetually authorizes participants in the LOCKSS system to archive and restore our publication through the LOCKSS System for the benefit of all LOCKSS System participants. Specifically participating libraries may:  Collect and preserve currently accessible materials;  Use material consistent with original license terms;  Provide copies to other LOCKSS appliances for purposes of audit and repair.        Fair Use The U.S. Copyright Act of 1976 specifies, in Section 107, the terms of the Fair Use exception: Notwithstanding the provisions of sections 106 and 106A, the fair use of a copyrighted work, including such use by reproduction in copies or phonorecords or by any other means specified by that section, for purposes such as criticism, comment, news reporting, teaching (including multiple copies for classroom use), scholarship, or research, is not an infringement of copyright. In determining whether the use made of a work in any particular case is a fair use the factors to be considered shall include:  the purpose and character of the use, including whether such use is of a commercial nature or is for nonprofit educational purposes;  the nature of the copyrighted work;  the amount and substantiality of the portion used in relation to the copyrighted work as a whole; &amp;amp;  the effect of the use upon the potential market for or value of the copyrighted work.   The fact that a work is unpublished shall not itself bar a finding of fair use if such finding is made upon consideration of all the above factors. In accord with these provisions, the  International Journal of Communication  believes in the vigorous assertion and defense of Fair Use by scholars engaged in academic research, teaching and non-commercial publishing. Thus, we view the inclusion of “quotations” from existing print, visual, audio and audio-visual texts to be appropriate examples of Fair Use, as are reproductions of visual images for the purpose of scholarly analysis. We encourage authors to obtain appropriate permissions to use materials originally produced by others, but do not require such permissions as long as the usage of such materials falls within the boundaries of Fair Use.  The  International Journal of Communication  encourages authors to employ fair use in their scholarly publishing wherever appropriate. Fair use is the right to use unlicensed copyrighted material (whether it is text, images, audio-visual, or other) in your own work, in some circumstances. We consult the  Code of Best Practices in Fair Use for Scholarly Research in Communication , created by the International Communication Association and endorsed by the National Communication Association, and you should too. If you have any questions about whether fair use applies to your uses of copyrighted material (whether it is text, images, audio-visual, or other) in your scholarship, simply include your rationale, grounded in the Best Practices, as a supplementary document with your submission.","note":"number: 0","page":"1212-30","source":"ijoc.org","title":"Communicative Acts of Citizenship: Contesting Europe’s Border in and Through the Media","title-short":"Communicative Acts of Citizenship","volume":"13","author":[{"family":"Stavinoha","given":"Ludek"}],"issued":{"date-parts":[["2019",3,14]]}},"label":"page","prefix":"e.g., "},{"id":3624,"uris":["http://zotero.org/users/8977980/items/GV2DJFWQ"],"itemData":{"id":3624,"type":"chapter","collection-title":"Routledge international handbooks","container-title":"Routledge handbook of global citizenship studies","edition":"First issued in paperback","ISBN":"978-0-367-86682-2","language":"eng","page":"86-96","publisher":"Routledge Taylor &amp; Francis Group","publisher-place":"London New York","source":"K10plus ISBN","title":"Practicing Citizenship From the Ordinary to the Activist","editor":[{"family":"Isin","given":"Engin"},{"family":"Nyers","given":"Peter"}],"author":[{"family":"Neveu","given":"Catherine"}],"issued":{"date-parts":[["2019"]]}}}],"schema":"https://github.com/citation-style-language/schema/raw/master/csl-citation.json"} </w:instrText>
      </w:r>
      <w:r w:rsidRPr="00662E51">
        <w:rPr>
          <w:szCs w:val="24"/>
        </w:rPr>
        <w:fldChar w:fldCharType="separate"/>
      </w:r>
      <w:r w:rsidR="0095662D" w:rsidRPr="00662E51">
        <w:t>(e.g., Stavinoha 2019; Neveu 2019)</w:t>
      </w:r>
      <w:r w:rsidRPr="00662E51">
        <w:rPr>
          <w:szCs w:val="24"/>
        </w:rPr>
        <w:fldChar w:fldCharType="end"/>
      </w:r>
      <w:r w:rsidRPr="00662E51">
        <w:rPr>
          <w:szCs w:val="24"/>
        </w:rPr>
        <w:t xml:space="preserve"> therefore accentuate their oppositional nature. Nonetheless, an oppositional framework overlooks the quieter ways that activism can remain transformative even when it is not explicitly confrontational. The next section discusses ‘resistance through accommodation</w:t>
      </w:r>
      <w:r w:rsidR="00916979" w:rsidRPr="00662E51">
        <w:rPr>
          <w:szCs w:val="24"/>
        </w:rPr>
        <w:t>’ and</w:t>
      </w:r>
      <w:r w:rsidRPr="00662E51">
        <w:rPr>
          <w:szCs w:val="24"/>
        </w:rPr>
        <w:t xml:space="preserve"> connects it the acts of citizenship concept.</w:t>
      </w:r>
    </w:p>
    <w:p w14:paraId="3CE0DD28" w14:textId="77777777" w:rsidR="007B4EA4" w:rsidRPr="00662E51" w:rsidRDefault="007B4EA4" w:rsidP="00F56305">
      <w:pPr>
        <w:spacing w:line="360" w:lineRule="auto"/>
        <w:ind w:left="0" w:firstLine="720"/>
        <w:rPr>
          <w:szCs w:val="24"/>
        </w:rPr>
      </w:pPr>
    </w:p>
    <w:p w14:paraId="199114B6" w14:textId="6963EA55" w:rsidR="007B4EA4" w:rsidRPr="00662E51" w:rsidRDefault="007B4EA4" w:rsidP="00F56305">
      <w:pPr>
        <w:pStyle w:val="Heading4"/>
        <w:spacing w:before="0" w:after="0"/>
        <w:rPr>
          <w:vertAlign w:val="subscript"/>
        </w:rPr>
      </w:pPr>
      <w:bookmarkStart w:id="182" w:name="_Toc221184324"/>
      <w:r w:rsidRPr="00662E51">
        <w:t>Accommodative Resistance</w:t>
      </w:r>
      <w:bookmarkEnd w:id="182"/>
      <w:r w:rsidR="00852A00">
        <w:t>:</w:t>
      </w:r>
      <w:r w:rsidRPr="00662E51">
        <w:t xml:space="preserve"> </w:t>
      </w:r>
    </w:p>
    <w:p w14:paraId="6DD4410A" w14:textId="16C93F1C" w:rsidR="007B4EA4" w:rsidRDefault="007B4EA4" w:rsidP="00E73262">
      <w:pPr>
        <w:spacing w:line="360" w:lineRule="auto"/>
        <w:ind w:left="0" w:firstLine="720"/>
        <w:rPr>
          <w:szCs w:val="24"/>
        </w:rPr>
      </w:pPr>
      <w:r w:rsidRPr="00662E51">
        <w:rPr>
          <w:szCs w:val="24"/>
        </w:rPr>
        <w:t xml:space="preserve">Depictions of activism typically portray it as confrontational and oppositional. However, Darling </w:t>
      </w:r>
      <w:r w:rsidRPr="00662E51">
        <w:rPr>
          <w:szCs w:val="24"/>
        </w:rPr>
        <w:fldChar w:fldCharType="begin"/>
      </w:r>
      <w:r w:rsidRPr="00662E51">
        <w:rPr>
          <w:szCs w:val="24"/>
        </w:rPr>
        <w:instrText xml:space="preserve"> ADDIN ZOTERO_ITEM CSL_CITATION {"citationID":"55b3Ixc6","properties":{"formattedCitation":"(2014, 74)","plainCitation":"(2014, 74)","noteIndex":0},"citationItems":[{"id":3275,"uris":["http://zotero.org/users/8977980/items/ERTQGRHZ"],"itemData":{"id":3275,"type":"article-journal","abstract":"This paper explores the ways in which practices of asylum governance serve to depoliticise those seeking asylum in the UK. In critiquing claims over the “post-political” nature of contemporary governance, the paper proposes a focus upon situated practices of depoliticisation which displace those seeking asylum through the production of specific sites of accommodation and specific discourses of risk, security and moralised concern. The paper questions the tendency within “post-political” thought to strip the potential of modes of informal citizenship through arguing that minor acts of resistance are ineffectual and illusory. In response, the paper explores irregular migrant's “acts of citizenship”, and suggests that such prosaic acts can be powerful forms of political interruption through which new ways of seeing asylum are constructed. The paper concludes by suggesting that an incremental politics orientated around such acts of interruption is essential to challenge the material, affective and discursive closures of asylum domopolitics.","container-title":"Antipode","DOI":"10.1111/anti.12026","ISSN":"1467-8330","issue":"1","language":"en","note":"_eprint: https://onlinelibrary.wiley.com/doi/pdf/10.1111/anti.12026","page":"72-91","source":"Wiley Online Library","title":"Asylum and the Post-Political: Domopolitics, Depoliticisation and Acts of Citizenship","title-short":"Asylum and the Post-Political","volume":"46","author":[{"family":"Darling","given":"Jonathan"}],"issued":{"date-parts":[["2014"]]}},"locator":"74","label":"page","suppress-author":true}],"schema":"https://github.com/citation-style-language/schema/raw/master/csl-citation.json"} </w:instrText>
      </w:r>
      <w:r w:rsidRPr="00662E51">
        <w:rPr>
          <w:szCs w:val="24"/>
        </w:rPr>
        <w:fldChar w:fldCharType="separate"/>
      </w:r>
      <w:r w:rsidR="0095662D" w:rsidRPr="00662E51">
        <w:t>(2014, 74)</w:t>
      </w:r>
      <w:r w:rsidRPr="00662E51">
        <w:rPr>
          <w:szCs w:val="24"/>
        </w:rPr>
        <w:fldChar w:fldCharType="end"/>
      </w:r>
      <w:r w:rsidRPr="00662E51">
        <w:rPr>
          <w:szCs w:val="24"/>
        </w:rPr>
        <w:t xml:space="preserve"> reminds us it is vital to attend to the “less striking” methods of extracting change as to understand how the subject formation of citizenship acts can be “explored without recourse to a revolutionary framing.” Namely, how can scholars account for all the forms of political activism that </w:t>
      </w:r>
      <w:r w:rsidRPr="00662E51">
        <w:rPr>
          <w:i/>
          <w:iCs/>
          <w:szCs w:val="24"/>
        </w:rPr>
        <w:t xml:space="preserve">do </w:t>
      </w:r>
      <w:r w:rsidRPr="00662E51">
        <w:rPr>
          <w:szCs w:val="24"/>
        </w:rPr>
        <w:t xml:space="preserve">generate new subjects without simply assuming that </w:t>
      </w:r>
      <w:r w:rsidRPr="00662E51">
        <w:rPr>
          <w:i/>
          <w:iCs/>
          <w:szCs w:val="24"/>
        </w:rPr>
        <w:t>all</w:t>
      </w:r>
      <w:r w:rsidRPr="00662E51">
        <w:rPr>
          <w:szCs w:val="24"/>
        </w:rPr>
        <w:t xml:space="preserve"> non-oppositional forms are habitus, not acts </w:t>
      </w:r>
      <w:r w:rsidRPr="00662E51">
        <w:rPr>
          <w:szCs w:val="24"/>
        </w:rPr>
        <w:fldChar w:fldCharType="begin"/>
      </w:r>
      <w:r w:rsidR="008835AB" w:rsidRPr="00662E51">
        <w:rPr>
          <w:szCs w:val="24"/>
        </w:rPr>
        <w:instrText xml:space="preserve"> ADDIN ZOTERO_ITEM CSL_CITATION {"citationID":"YOSpIMpE","properties":{"formattedCitation":"(Squire 2017)","plainCitation":"(Squire 2017)","noteIndex":0},"citationItems":[{"id":6753,"uris":["http://zotero.org/users/8977980/items/VH88UEGH"],"itemData":{"id":6753,"type":"article-journal","abstract":"What are the most appropriate conceptual tools by which to develop an analysis of ‘unauthorised migration’? Is ‘migrant agency’ an effective critical concept in the context of a so-called European migration ‘crisis’? This article reflects on these questions through a detailed exploration of the ‘structure/agency debate’. It suggests the need for caution in engaging such a conceptual frame in analysing the politics of unauthorised migration. Despite the sophistication of many relational accounts of structure-agency, the grounding of this framework in questions of intentionality risks reproducing assumptions about subjects whose decision to migrate is more or less free from constraint. The article argues that such assumptions are analytically problematic because they involve a simplification of processes of subjectivity formation. Moreover, it also argues that they are normatively and politically problematic in the context of debates around unauthorised migration because discussions of structure/agency can easily slip into the legitimisation of wider assumptions about the culpability and/or victimhood of people on the move. Drawing on Michel Foucault’s theorisation of subjectification, the article proposes an alternative analytics of acts, interventions, and effects by which to address the politics of unauthorised migration in the midst of a so-called ‘migration crisis’.","container-title":"Politics","DOI":"10.1177/0263395716679674","ISSN":"0263-3957","issue":"3","language":"EN","page":"254-272","publisher":"SAGE Publications Ltd","source":"SAGE Journals","title":"Unauthorised migration beyond structure/agency? Acts, interventions, effects","title-short":"Unauthorised migration beyond structure/agency?","volume":"37","author":[{"family":"Squire","given":"Vicki"}],"issued":{"date-parts":[["2017",8,1]]}}}],"schema":"https://github.com/citation-style-language/schema/raw/master/csl-citation.json"} </w:instrText>
      </w:r>
      <w:r w:rsidRPr="00662E51">
        <w:rPr>
          <w:szCs w:val="24"/>
        </w:rPr>
        <w:fldChar w:fldCharType="separate"/>
      </w:r>
      <w:r w:rsidR="0095662D" w:rsidRPr="00662E51">
        <w:t>(Squire 2017)</w:t>
      </w:r>
      <w:r w:rsidRPr="00662E51">
        <w:rPr>
          <w:szCs w:val="24"/>
        </w:rPr>
        <w:fldChar w:fldCharType="end"/>
      </w:r>
      <w:r w:rsidRPr="00662E51">
        <w:rPr>
          <w:szCs w:val="24"/>
        </w:rPr>
        <w:t xml:space="preserve">? I turn to Saeidi’s </w:t>
      </w:r>
      <w:r w:rsidRPr="00662E51">
        <w:rPr>
          <w:szCs w:val="24"/>
        </w:rPr>
        <w:fldChar w:fldCharType="begin"/>
      </w:r>
      <w:r w:rsidRPr="00662E51">
        <w:rPr>
          <w:szCs w:val="24"/>
        </w:rPr>
        <w:instrText xml:space="preserve"> ADDIN ZOTERO_ITEM CSL_CITATION {"citationID":"khRzJG9w","properties":{"formattedCitation":"(2010)","plainCitation":"(2010)","noteIndex":0},"citationItems":[{"id":4395,"uris":["http://zotero.org/users/8977980/items/4WV52Z3G"],"itemData":{"id":4395,"type":"article-journal","container-title":"Citizenship Studies","DOI":"10.1080/13621021003594734","ISSN":"1362-1025, 1469-3593","issue":"2","journalAbbreviation":"Citizenship Studies","language":"en","page":"113-126","source":"DOI.org (Crossref)","title":"Creating the Islamic Republic of Iran: wives and daughters of martyrs, and acts of citizenship","title-short":"Creating the Islamic Republic of Iran","volume":"14","author":[{"family":"Saeidi","given":"Shirin"}],"issued":{"date-parts":[["2010",4]]}},"label":"page","suppress-author":true}],"schema":"https://github.com/citation-style-language/schema/raw/master/csl-citation.json"} </w:instrText>
      </w:r>
      <w:r w:rsidRPr="00662E51">
        <w:rPr>
          <w:szCs w:val="24"/>
        </w:rPr>
        <w:fldChar w:fldCharType="separate"/>
      </w:r>
      <w:r w:rsidR="0095662D" w:rsidRPr="00662E51">
        <w:t>(2010)</w:t>
      </w:r>
      <w:r w:rsidRPr="00662E51">
        <w:rPr>
          <w:szCs w:val="24"/>
        </w:rPr>
        <w:fldChar w:fldCharType="end"/>
      </w:r>
      <w:r w:rsidRPr="00662E51">
        <w:rPr>
          <w:szCs w:val="24"/>
        </w:rPr>
        <w:t xml:space="preserve"> analysis of female relatives of martyrs in Iran to describe how to analyse what Jakimów </w:t>
      </w:r>
      <w:r w:rsidRPr="00662E51">
        <w:rPr>
          <w:szCs w:val="24"/>
        </w:rPr>
        <w:fldChar w:fldCharType="begin"/>
      </w:r>
      <w:r w:rsidR="008835AB" w:rsidRPr="00662E51">
        <w:rPr>
          <w:szCs w:val="24"/>
        </w:rPr>
        <w:instrText xml:space="preserve"> ADDIN ZOTERO_ITEM CSL_CITATION {"citationID":"i5zBcxmB","properties":{"formattedCitation":"(2022, 509)","plainCitation":"(2022, 509)","noteIndex":0},"citationItems":[{"id":5118,"uris":["http://zotero.org/users/8977980/items/WQR8VRAH"],"itemData":{"id":5118,"type":"article-journal","abstract":"The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contexts","volume":"26","author":[{"family":"Jakimów","given":"Małgorzata"}],"issued":{"date-parts":[["2022",7,4]]}},"locator":"509","label":"page","suppress-author":true}],"schema":"https://github.com/citation-style-language/schema/raw/master/csl-citation.json"} </w:instrText>
      </w:r>
      <w:r w:rsidRPr="00662E51">
        <w:rPr>
          <w:szCs w:val="24"/>
        </w:rPr>
        <w:fldChar w:fldCharType="separate"/>
      </w:r>
      <w:r w:rsidR="0095662D" w:rsidRPr="00662E51">
        <w:t>(2022, 509)</w:t>
      </w:r>
      <w:r w:rsidRPr="00662E51">
        <w:rPr>
          <w:szCs w:val="24"/>
        </w:rPr>
        <w:fldChar w:fldCharType="end"/>
      </w:r>
      <w:r w:rsidRPr="00662E51">
        <w:rPr>
          <w:szCs w:val="24"/>
        </w:rPr>
        <w:t xml:space="preserve"> calls “resistance through accommodation.” The activism of this group is replete with subtle moves to “initiate debates regarding democratic reform, and in effect also underscore the national right to self-determination in public domains,” thereby aiming to create a new subject of themselves. One such move is a young woman’s desire to be martyr like her father:</w:t>
      </w:r>
    </w:p>
    <w:p w14:paraId="5A237D36" w14:textId="77777777" w:rsidR="00E73262" w:rsidRPr="00662E51" w:rsidRDefault="00E73262" w:rsidP="00E73262">
      <w:pPr>
        <w:ind w:left="0" w:firstLine="720"/>
        <w:rPr>
          <w:szCs w:val="24"/>
        </w:rPr>
      </w:pPr>
    </w:p>
    <w:p w14:paraId="02CFFBF2" w14:textId="71CA50D7" w:rsidR="007B4EA4" w:rsidRDefault="007B4EA4" w:rsidP="00E73262">
      <w:pPr>
        <w:ind w:left="720"/>
        <w:rPr>
          <w:szCs w:val="24"/>
        </w:rPr>
      </w:pPr>
      <w:r w:rsidRPr="00662E51">
        <w:rPr>
          <w:szCs w:val="24"/>
        </w:rPr>
        <w:t xml:space="preserve">she proves to be an ‘activist citizen,’ desperately seeking to create the just world her father dreamt of… She therefore endorses a noble death as a peoples’ entitlement against present and past injustices, and identifies the </w:t>
      </w:r>
      <w:r w:rsidRPr="00662E51">
        <w:rPr>
          <w:szCs w:val="24"/>
        </w:rPr>
        <w:lastRenderedPageBreak/>
        <w:t>body as a medium through which she can exert claims to autonomy for a variety of interrelated ethical pursuits</w:t>
      </w:r>
      <w:r w:rsidR="00E73262">
        <w:rPr>
          <w:szCs w:val="24"/>
        </w:rPr>
        <w:t>.</w:t>
      </w:r>
      <w:r w:rsidRPr="00662E51">
        <w:rPr>
          <w:szCs w:val="24"/>
        </w:rPr>
        <w:t xml:space="preserve"> </w:t>
      </w:r>
      <w:r w:rsidRPr="00662E51">
        <w:rPr>
          <w:szCs w:val="24"/>
        </w:rPr>
        <w:fldChar w:fldCharType="begin"/>
      </w:r>
      <w:r w:rsidRPr="00662E51">
        <w:rPr>
          <w:szCs w:val="24"/>
        </w:rPr>
        <w:instrText xml:space="preserve"> ADDIN ZOTERO_ITEM CSL_CITATION {"citationID":"3q9sJVQa","properties":{"formattedCitation":"(Saeidi 2010, 117)","plainCitation":"(Saeidi 2010, 117)","noteIndex":0},"citationItems":[{"id":4395,"uris":["http://zotero.org/users/8977980/items/4WV52Z3G"],"itemData":{"id":4395,"type":"article-journal","container-title":"Citizenship Studies","DOI":"10.1080/13621021003594734","ISSN":"1362-1025, 1469-3593","issue":"2","journalAbbreviation":"Citizenship Studies","language":"en","page":"113-126","source":"DOI.org (Crossref)","title":"Creating the Islamic Republic of Iran: wives and daughters of martyrs, and acts of citizenship","title-short":"Creating the Islamic Republic of Iran","volume":"14","author":[{"family":"Saeidi","given":"Shirin"}],"issued":{"date-parts":[["2010",4]]}},"locator":"117"}],"schema":"https://github.com/citation-style-language/schema/raw/master/csl-citation.json"} </w:instrText>
      </w:r>
      <w:r w:rsidRPr="00662E51">
        <w:rPr>
          <w:szCs w:val="24"/>
        </w:rPr>
        <w:fldChar w:fldCharType="separate"/>
      </w:r>
      <w:r w:rsidR="0095662D" w:rsidRPr="00662E51">
        <w:t>(Saeidi 2010, 117)</w:t>
      </w:r>
      <w:r w:rsidRPr="00662E51">
        <w:rPr>
          <w:szCs w:val="24"/>
        </w:rPr>
        <w:fldChar w:fldCharType="end"/>
      </w:r>
    </w:p>
    <w:p w14:paraId="1F95C6A7" w14:textId="77777777" w:rsidR="00E73262" w:rsidRPr="00662E51" w:rsidRDefault="00E73262" w:rsidP="00E73262">
      <w:pPr>
        <w:ind w:left="720"/>
        <w:rPr>
          <w:szCs w:val="24"/>
        </w:rPr>
      </w:pPr>
    </w:p>
    <w:p w14:paraId="00012831" w14:textId="71ECC1B5" w:rsidR="007B4EA4" w:rsidRPr="00662E51" w:rsidRDefault="007B4EA4" w:rsidP="00F56305">
      <w:pPr>
        <w:spacing w:line="360" w:lineRule="auto"/>
        <w:ind w:left="0"/>
        <w:rPr>
          <w:szCs w:val="24"/>
        </w:rPr>
      </w:pPr>
      <w:r w:rsidRPr="00662E51">
        <w:rPr>
          <w:szCs w:val="24"/>
        </w:rPr>
        <w:t xml:space="preserve">This outspoken desire variously upholds and challenges a range of expectations of the woman’s subject status. As such, Saeidi’s </w:t>
      </w:r>
      <w:r w:rsidRPr="00662E51">
        <w:rPr>
          <w:szCs w:val="24"/>
        </w:rPr>
        <w:fldChar w:fldCharType="begin"/>
      </w:r>
      <w:r w:rsidRPr="00662E51">
        <w:rPr>
          <w:szCs w:val="24"/>
        </w:rPr>
        <w:instrText xml:space="preserve"> ADDIN ZOTERO_ITEM CSL_CITATION {"citationID":"1Tbr7OKZ","properties":{"formattedCitation":"(2010, 114)","plainCitation":"(2010, 114)","noteIndex":0},"citationItems":[{"id":4395,"uris":["http://zotero.org/users/8977980/items/4WV52Z3G"],"itemData":{"id":4395,"type":"article-journal","container-title":"Citizenship Studies","DOI":"10.1080/13621021003594734","ISSN":"1362-1025, 1469-3593","issue":"2","journalAbbreviation":"Citizenship Studies","language":"en","page":"113-126","source":"DOI.org (Crossref)","title":"Creating the Islamic Republic of Iran: wives and daughters of martyrs, and acts of citizenship","title-short":"Creating the Islamic Republic of Iran","volume":"14","author":[{"family":"Saeidi","given":"Shirin"}],"issued":{"date-parts":[["2010",4]]}},"locator":"114","label":"page","suppress-author":true}],"schema":"https://github.com/citation-style-language/schema/raw/master/csl-citation.json"} </w:instrText>
      </w:r>
      <w:r w:rsidRPr="00662E51">
        <w:rPr>
          <w:szCs w:val="24"/>
        </w:rPr>
        <w:fldChar w:fldCharType="separate"/>
      </w:r>
      <w:r w:rsidR="0095662D" w:rsidRPr="00662E51">
        <w:t>(2010, 114)</w:t>
      </w:r>
      <w:r w:rsidRPr="00662E51">
        <w:rPr>
          <w:szCs w:val="24"/>
        </w:rPr>
        <w:fldChar w:fldCharType="end"/>
      </w:r>
      <w:r w:rsidRPr="00662E51">
        <w:rPr>
          <w:szCs w:val="24"/>
        </w:rPr>
        <w:t xml:space="preserve"> “analysis reveals that women’s acts of citizenship facilitate their distinct claims on autonomy,” and therefore work to form a new subjectivity—even when such acts comply with state directives. This reflects a covert “utilisation of the state- or market-defined language and channels” that enables defiance </w:t>
      </w:r>
      <w:r w:rsidRPr="00662E51">
        <w:rPr>
          <w:szCs w:val="24"/>
        </w:rPr>
        <w:fldChar w:fldCharType="begin"/>
      </w:r>
      <w:r w:rsidR="008835AB" w:rsidRPr="00662E51">
        <w:rPr>
          <w:szCs w:val="24"/>
        </w:rPr>
        <w:instrText xml:space="preserve"> ADDIN ZOTERO_ITEM CSL_CITATION {"citationID":"46qMVZ0s","properties":{"formattedCitation":"(Jakim\\uc0\\u243{}w 2017, 916)","plainCitation":"(Jakimów 2017, 916)","noteIndex":0},"citationItems":[{"id":5120,"uris":["http://zotero.org/users/8977980/items/LAMKT3ES"],"itemData":{"id":5120,"type":"article-journal","abstract":"Based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Accommodation","volume":"26","author":[{"family":"Jakimów","given":"Małgorzata"}],"issued":{"date-parts":[["2017",11,2]]}},"locator":"916","label":"page"}],"schema":"https://github.com/citation-style-language/schema/raw/master/csl-citation.json"} </w:instrText>
      </w:r>
      <w:r w:rsidRPr="00662E51">
        <w:rPr>
          <w:szCs w:val="24"/>
        </w:rPr>
        <w:fldChar w:fldCharType="separate"/>
      </w:r>
      <w:r w:rsidR="0095662D" w:rsidRPr="00662E51">
        <w:rPr>
          <w:rFonts w:cs="Times New Roman"/>
          <w:kern w:val="0"/>
        </w:rPr>
        <w:t>(Jakimów 2017, 916)</w:t>
      </w:r>
      <w:r w:rsidRPr="00662E51">
        <w:rPr>
          <w:szCs w:val="24"/>
        </w:rPr>
        <w:fldChar w:fldCharType="end"/>
      </w:r>
      <w:r w:rsidRPr="00662E51">
        <w:rPr>
          <w:szCs w:val="24"/>
        </w:rPr>
        <w:t xml:space="preserve">. Thus, a sly use of state-sanctioned habitus can, in fact, be used to cause a rupture over the longer term. This is what Jakimów </w:t>
      </w:r>
      <w:r w:rsidRPr="00662E51">
        <w:rPr>
          <w:szCs w:val="24"/>
        </w:rPr>
        <w:fldChar w:fldCharType="begin"/>
      </w:r>
      <w:r w:rsidR="008835AB" w:rsidRPr="00662E51">
        <w:rPr>
          <w:szCs w:val="24"/>
        </w:rPr>
        <w:instrText xml:space="preserve"> ADDIN ZOTERO_ITEM CSL_CITATION {"citationID":"XLcCKijF","properties":{"formattedCitation":"(2022, 509)","plainCitation":"(2022, 509)","noteIndex":0},"citationItems":[{"id":5118,"uris":["http://zotero.org/users/8977980/items/WQR8VRAH"],"itemData":{"id":5118,"type":"article-journal","abstract":"The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contexts","volume":"26","author":[{"family":"Jakimów","given":"Małgorzata"}],"issued":{"date-parts":[["2022",7,4]]}},"locator":"509","label":"page","suppress-author":true}],"schema":"https://github.com/citation-style-language/schema/raw/master/csl-citation.json"} </w:instrText>
      </w:r>
      <w:r w:rsidRPr="00662E51">
        <w:rPr>
          <w:szCs w:val="24"/>
        </w:rPr>
        <w:fldChar w:fldCharType="separate"/>
      </w:r>
      <w:r w:rsidR="0095662D" w:rsidRPr="00662E51">
        <w:t>(2022, 509)</w:t>
      </w:r>
      <w:r w:rsidRPr="00662E51">
        <w:rPr>
          <w:szCs w:val="24"/>
        </w:rPr>
        <w:fldChar w:fldCharType="end"/>
      </w:r>
      <w:r w:rsidRPr="00662E51">
        <w:rPr>
          <w:szCs w:val="24"/>
        </w:rPr>
        <w:t xml:space="preserve"> terms “resistance through accommodation.” Accommodative resistance is collectively still a citizenship act, as it still causes a transformation in subjectivity. I build on accommodative acts in Chapter </w:t>
      </w:r>
      <w:r w:rsidR="00524E49" w:rsidRPr="00662E51">
        <w:rPr>
          <w:szCs w:val="24"/>
        </w:rPr>
        <w:t>5</w:t>
      </w:r>
      <w:r w:rsidRPr="00662E51">
        <w:rPr>
          <w:szCs w:val="24"/>
        </w:rPr>
        <w:t>, with an evaluation of such acts under Thatcher</w:t>
      </w:r>
      <w:r w:rsidR="00E87741">
        <w:rPr>
          <w:szCs w:val="24"/>
        </w:rPr>
        <w:t>ism.</w:t>
      </w:r>
    </w:p>
    <w:p w14:paraId="476F98E6" w14:textId="77777777" w:rsidR="007B4EA4" w:rsidRPr="00662E51" w:rsidRDefault="007B4EA4" w:rsidP="00F56305">
      <w:pPr>
        <w:spacing w:line="360" w:lineRule="auto"/>
        <w:ind w:left="0" w:firstLine="720"/>
        <w:rPr>
          <w:szCs w:val="24"/>
        </w:rPr>
      </w:pPr>
    </w:p>
    <w:p w14:paraId="1F4989C4" w14:textId="77777777" w:rsidR="007B4EA4" w:rsidRPr="00662E51" w:rsidRDefault="007B4EA4" w:rsidP="00F56305">
      <w:pPr>
        <w:pStyle w:val="Heading4"/>
        <w:spacing w:before="0" w:after="0"/>
        <w:rPr>
          <w:vertAlign w:val="subscript"/>
        </w:rPr>
      </w:pPr>
      <w:bookmarkStart w:id="183" w:name="_Toc221184325"/>
      <w:r w:rsidRPr="00662E51">
        <w:t>Acts of Citizenship and the Active Citizen:</w:t>
      </w:r>
      <w:bookmarkEnd w:id="183"/>
    </w:p>
    <w:p w14:paraId="6336E191" w14:textId="499D8AF6" w:rsidR="007B4EA4" w:rsidRPr="00662E51" w:rsidRDefault="007B4EA4" w:rsidP="00F56305">
      <w:pPr>
        <w:spacing w:line="360" w:lineRule="auto"/>
        <w:ind w:left="0" w:firstLine="720"/>
        <w:rPr>
          <w:szCs w:val="24"/>
        </w:rPr>
      </w:pPr>
      <w:r w:rsidRPr="00662E51">
        <w:rPr>
          <w:szCs w:val="24"/>
        </w:rPr>
        <w:t>Before reviewing some criticism of the theory of acts and concluding, I briefly return to the idea of the active citizen. Considering that active citizens are</w:t>
      </w:r>
      <w:r w:rsidR="00593018" w:rsidRPr="00662E51">
        <w:rPr>
          <w:szCs w:val="24"/>
        </w:rPr>
        <w:t xml:space="preserve"> meant to be politically participating</w:t>
      </w:r>
      <w:r w:rsidRPr="00662E51">
        <w:rPr>
          <w:szCs w:val="24"/>
        </w:rPr>
        <w:t xml:space="preserve">, it may initially appear that active citizens are engaging in acts. Nonetheless, Isin </w:t>
      </w:r>
      <w:r w:rsidRPr="00662E51">
        <w:rPr>
          <w:szCs w:val="24"/>
        </w:rPr>
        <w:fldChar w:fldCharType="begin"/>
      </w:r>
      <w:r w:rsidR="008835AB" w:rsidRPr="00662E51">
        <w:rPr>
          <w:szCs w:val="24"/>
        </w:rPr>
        <w:instrText xml:space="preserve"> ADDIN ZOTERO_ITEM CSL_CITATION {"citationID":"qJuDPR1J","properties":{"formattedCitation":"(2008, 39)","plainCitation":"(2008, 39)","noteIndex":0},"citationItems":[{"id":256,"uris":["http://zotero.org/users/8977980/items/ZRWP6PIY"],"itemData":{"id":256,"type":"chapter","abstract":"Politics,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Marc"}],"author":[{"family":"Isin","given":"Engin"}],"accessed":{"date-parts":[["2022",2,3]]},"issued":{"date-parts":[["2008"]]}},"locator":"39","label":"page","suppress-author":true}],"schema":"https://github.com/citation-style-language/schema/raw/master/csl-citation.json"} </w:instrText>
      </w:r>
      <w:r w:rsidRPr="00662E51">
        <w:rPr>
          <w:szCs w:val="24"/>
        </w:rPr>
        <w:fldChar w:fldCharType="separate"/>
      </w:r>
      <w:r w:rsidR="0095662D" w:rsidRPr="00662E51">
        <w:t>(2008, 39)</w:t>
      </w:r>
      <w:r w:rsidRPr="00662E51">
        <w:rPr>
          <w:szCs w:val="24"/>
        </w:rPr>
        <w:fldChar w:fldCharType="end"/>
      </w:r>
      <w:r w:rsidRPr="00662E51">
        <w:rPr>
          <w:szCs w:val="24"/>
        </w:rPr>
        <w:t xml:space="preserve"> emphasises a difference between actors who “enact themselves as activist citizens” and active citizens. Active citizens are those who “act out already written scripts,” whereas activist citizens “engage in writing scripts and creating the scene” </w:t>
      </w:r>
      <w:r w:rsidRPr="00662E51">
        <w:rPr>
          <w:szCs w:val="24"/>
        </w:rPr>
        <w:fldChar w:fldCharType="begin"/>
      </w:r>
      <w:r w:rsidR="008E2F28">
        <w:rPr>
          <w:szCs w:val="24"/>
        </w:rPr>
        <w:instrText xml:space="preserve"> ADDIN ZOTERO_ITEM CSL_CITATION {"citationID":"UGwkSiZa","properties":{"formattedCitation":"(Isin 2009, 381)","plainCitation":"(Isin 2009, 381)","noteIndex":0},"citationItems":[{"id":3264,"uris":["http://zotero.org/users/8977980/items/NL6Y98JU"],"itemData":{"id":3264,"type":"article-journal","abstract":"Throughout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flux","volume":"29","author":[{"family":"Isin","given":"Engin"}],"issued":{"date-parts":[["2009",12,1]]}},"locator":"381"}],"schema":"https://github.com/citation-style-language/schema/raw/master/csl-citation.json"} </w:instrText>
      </w:r>
      <w:r w:rsidRPr="00662E51">
        <w:rPr>
          <w:szCs w:val="24"/>
        </w:rPr>
        <w:fldChar w:fldCharType="separate"/>
      </w:r>
      <w:r w:rsidR="008E2F28" w:rsidRPr="008E2F28">
        <w:t>(Isin 2009, 381)</w:t>
      </w:r>
      <w:r w:rsidRPr="00662E51">
        <w:rPr>
          <w:szCs w:val="24"/>
        </w:rPr>
        <w:fldChar w:fldCharType="end"/>
      </w:r>
      <w:r w:rsidRPr="00662E51">
        <w:rPr>
          <w:szCs w:val="24"/>
        </w:rPr>
        <w:t xml:space="preserve">. The difference is rooted in the definition of acts as ruptures—to act is to rupture, to be active is to repeat a script. As discussed above, the state depicts the active citizen as those who “actively engage in prescribed forms of public activity” </w:t>
      </w:r>
      <w:r w:rsidRPr="00662E51">
        <w:rPr>
          <w:szCs w:val="24"/>
        </w:rPr>
        <w:fldChar w:fldCharType="begin"/>
      </w:r>
      <w:r w:rsidR="008835AB" w:rsidRPr="00662E51">
        <w:rPr>
          <w:szCs w:val="24"/>
        </w:rPr>
        <w:instrText xml:space="preserve"> ADDIN ZOTERO_ITEM CSL_CITATION {"citationID":"DhaZurFm","properties":{"formattedCitation":"(Neveu 2019, 87)","plainCitation":"(Neveu 2019, 87)","noteIndex":0},"citationItems":[{"id":3624,"uris":["http://zotero.org/users/8977980/items/GV2DJFWQ"],"itemData":{"id":3624,"type":"chapter","collection-title":"Routledge international handbooks","container-title":"Routledge handbook of global citizenship studies","edition":"First issued in paperback","ISBN":"978-0-367-86682-2","language":"eng","page":"86-96","publisher":"Routledge Taylor &amp; Francis Group","publisher-place":"London New York","source":"K10plus ISBN","title":"Practicing Citizenship From the Ordinary to the Activist","editor":[{"family":"Isin","given":"Engin"},{"family":"Nyers","given":"Peter"}],"author":[{"family":"Neveu","given":"Catherine"}],"issued":{"date-parts":[["2019"]]}},"locator":"87"}],"schema":"https://github.com/citation-style-language/schema/raw/master/csl-citation.json"} </w:instrText>
      </w:r>
      <w:r w:rsidRPr="00662E51">
        <w:rPr>
          <w:szCs w:val="24"/>
        </w:rPr>
        <w:fldChar w:fldCharType="separate"/>
      </w:r>
      <w:r w:rsidR="0095662D" w:rsidRPr="00662E51">
        <w:t>(Neveu 2019, 87)</w:t>
      </w:r>
      <w:r w:rsidRPr="00662E51">
        <w:rPr>
          <w:szCs w:val="24"/>
        </w:rPr>
        <w:fldChar w:fldCharType="end"/>
      </w:r>
      <w:r w:rsidRPr="00662E51">
        <w:rPr>
          <w:szCs w:val="24"/>
        </w:rPr>
        <w:t xml:space="preserve">. This is contrasted by the activist citizen, who Neveu </w:t>
      </w:r>
      <w:r w:rsidRPr="00662E51">
        <w:rPr>
          <w:szCs w:val="24"/>
        </w:rPr>
        <w:fldChar w:fldCharType="begin"/>
      </w:r>
      <w:r w:rsidR="008835AB" w:rsidRPr="00662E51">
        <w:rPr>
          <w:szCs w:val="24"/>
        </w:rPr>
        <w:instrText xml:space="preserve"> ADDIN ZOTERO_ITEM CSL_CITATION {"citationID":"s3fLsVai","properties":{"formattedCitation":"(2019, 88)","plainCitation":"(2019, 88)","noteIndex":0},"citationItems":[{"id":3624,"uris":["http://zotero.org/users/8977980/items/GV2DJFWQ"],"itemData":{"id":3624,"type":"chapter","collection-title":"Routledge international handbooks","container-title":"Routledge handbook of global citizenship studies","edition":"First issued in paperback","ISBN":"978-0-367-86682-2","language":"eng","page":"86-96","publisher":"Routledge Taylor &amp; Francis Group","publisher-place":"London New York","source":"K10plus ISBN","title":"Practicing Citizenship From the Ordinary to the Activist","editor":[{"family":"Isin","given":"Engin"},{"family":"Nyers","given":"Peter"}],"author":[{"family":"Neveu","given":"Catherine"}],"issued":{"date-parts":[["2019"]]}},"locator":"88","label":"page","suppress-author":true}],"schema":"https://github.com/citation-style-language/schema/raw/master/csl-citation.json"} </w:instrText>
      </w:r>
      <w:r w:rsidRPr="00662E51">
        <w:rPr>
          <w:szCs w:val="24"/>
        </w:rPr>
        <w:fldChar w:fldCharType="separate"/>
      </w:r>
      <w:r w:rsidR="0095662D" w:rsidRPr="00662E51">
        <w:t>(2019, 88)</w:t>
      </w:r>
      <w:r w:rsidRPr="00662E51">
        <w:rPr>
          <w:szCs w:val="24"/>
        </w:rPr>
        <w:fldChar w:fldCharType="end"/>
      </w:r>
      <w:r w:rsidRPr="00662E51">
        <w:rPr>
          <w:szCs w:val="24"/>
        </w:rPr>
        <w:t xml:space="preserve"> highlights as “inventing new sites and types of citizenship” due to their rupturing nature. Put differently, the active citizen writes to their representatives to demand regularisation for unauthorised migrants; the activist citizen is the unauthorised migrant who stages sit-ins to </w:t>
      </w:r>
      <w:r w:rsidRPr="00662E51">
        <w:rPr>
          <w:i/>
          <w:iCs/>
          <w:szCs w:val="24"/>
        </w:rPr>
        <w:t>forcibly acquire</w:t>
      </w:r>
      <w:r w:rsidRPr="00662E51">
        <w:rPr>
          <w:szCs w:val="24"/>
        </w:rPr>
        <w:t xml:space="preserve"> those documents </w:t>
      </w:r>
      <w:r w:rsidRPr="00662E51">
        <w:rPr>
          <w:szCs w:val="24"/>
        </w:rPr>
        <w:fldChar w:fldCharType="begin"/>
      </w:r>
      <w:r w:rsidR="008835AB" w:rsidRPr="00662E51">
        <w:rPr>
          <w:szCs w:val="24"/>
        </w:rPr>
        <w:instrText xml:space="preserve"> ADDIN ZOTERO_ITEM CSL_CITATION {"citationID":"ujX8e1Ga","properties":{"formattedCitation":"(Barbero 2012)","plainCitation":"(Barbero 2012)","noteIndex":0},"citationItems":[{"id":3274,"uris":["http://zotero.org/users/8977980/items/U7NNX2E6"],"itemData":{"id":3274,"type":"article-journal","abstract":"This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Citizenship","volume":"21","author":[{"family":"Barbero","given":"Iker"}],"issued":{"date-parts":[["2012",12,1]]}}}],"schema":"https://github.com/citation-style-language/schema/raw/master/csl-citation.json"} </w:instrText>
      </w:r>
      <w:r w:rsidRPr="00662E51">
        <w:rPr>
          <w:szCs w:val="24"/>
        </w:rPr>
        <w:fldChar w:fldCharType="separate"/>
      </w:r>
      <w:r w:rsidR="0095662D" w:rsidRPr="00662E51">
        <w:t>(Barbero 2012)</w:t>
      </w:r>
      <w:r w:rsidRPr="00662E51">
        <w:rPr>
          <w:szCs w:val="24"/>
        </w:rPr>
        <w:fldChar w:fldCharType="end"/>
      </w:r>
      <w:r w:rsidRPr="00662E51">
        <w:rPr>
          <w:szCs w:val="24"/>
        </w:rPr>
        <w:t xml:space="preserve">. This distinction is crucial as active citizens are not engaged in acts; they already have the substance of citizenship. Activist citizens have </w:t>
      </w:r>
      <w:r w:rsidRPr="00662E51">
        <w:rPr>
          <w:i/>
          <w:iCs/>
          <w:szCs w:val="24"/>
        </w:rPr>
        <w:t>not yet</w:t>
      </w:r>
      <w:r w:rsidRPr="00662E51">
        <w:rPr>
          <w:szCs w:val="24"/>
        </w:rPr>
        <w:t xml:space="preserve"> won (some or all of) that </w:t>
      </w:r>
      <w:r w:rsidRPr="00662E51">
        <w:rPr>
          <w:szCs w:val="24"/>
        </w:rPr>
        <w:lastRenderedPageBreak/>
        <w:t xml:space="preserve">substance and are struggling to obtain it. </w:t>
      </w:r>
      <w:r w:rsidR="00D1763C">
        <w:rPr>
          <w:szCs w:val="24"/>
        </w:rPr>
        <w:t>As is explored in Chapter 5, the Broadwater Farm Youth Association</w:t>
      </w:r>
      <w:r w:rsidR="00AA2930">
        <w:rPr>
          <w:szCs w:val="24"/>
        </w:rPr>
        <w:t>—</w:t>
      </w:r>
      <w:r w:rsidR="00D1763C">
        <w:rPr>
          <w:szCs w:val="24"/>
        </w:rPr>
        <w:t>while technically a formally organised and state-recognised entity</w:t>
      </w:r>
      <w:r w:rsidR="00AA2930">
        <w:rPr>
          <w:szCs w:val="24"/>
        </w:rPr>
        <w:t xml:space="preserve">—was able to write new citizenship scripts. </w:t>
      </w:r>
    </w:p>
    <w:p w14:paraId="4B786ED0" w14:textId="296C3B43" w:rsidR="007B4EA4" w:rsidRPr="00662E51" w:rsidRDefault="007B4EA4" w:rsidP="00F56305">
      <w:pPr>
        <w:spacing w:line="360" w:lineRule="auto"/>
        <w:ind w:left="0" w:firstLine="720"/>
        <w:rPr>
          <w:szCs w:val="24"/>
        </w:rPr>
      </w:pPr>
      <w:r w:rsidRPr="00662E51">
        <w:rPr>
          <w:szCs w:val="24"/>
        </w:rPr>
        <w:t xml:space="preserve">Even though the activist/active binary is valuable, it raises a significant question: are groups locked into their respective categories? Scholarship has not </w:t>
      </w:r>
      <w:r w:rsidR="005A4D23" w:rsidRPr="00662E51">
        <w:rPr>
          <w:szCs w:val="24"/>
        </w:rPr>
        <w:t xml:space="preserve">satisfactorily </w:t>
      </w:r>
      <w:r w:rsidRPr="00662E51">
        <w:rPr>
          <w:szCs w:val="24"/>
        </w:rPr>
        <w:t xml:space="preserve">answered this question </w:t>
      </w:r>
      <w:r w:rsidRPr="00662E51">
        <w:rPr>
          <w:szCs w:val="24"/>
        </w:rPr>
        <w:fldChar w:fldCharType="begin"/>
      </w:r>
      <w:r w:rsidR="00E31D3A">
        <w:rPr>
          <w:szCs w:val="24"/>
        </w:rPr>
        <w:instrText xml:space="preserve"> ADDIN ZOTERO_ITEM CSL_CITATION {"citationID":"W5AmbQKi","properties":{"formattedCitation":"(e.g., Fagan and Sircar 2017; Papa and Milioni 2013)","plainCitation":"(e.g., Fagan and Sircar 2017; Papa and Milioni 2013)","noteIndex":0},"citationItems":[{"id":3626,"uris":["http://zotero.org/users/8977980/items/WP2C68S6"],"itemData":{"id":3626,"type":"article-journal","container-title":"Europe-Asia Studies","DOI":"10.1080/09668136.2017.1390196","ISSN":"0966-8136, 1465-3427","issue":"9","journalAbbreviation":"Europe-Asia Studies","language":"en","page":"1337-1345","source":"DOI.org (Crossref)","title":"Activist Citizenship in Southeast Europe","volume":"69","author":[{"family":"Fagan","given":"Adam"},{"family":"Sircar","given":"Indraneel"}],"issued":{"date-parts":[["2017",10,21]]}},"prefix":"e.g., "},{"id":3627,"uris":["http://zotero.org/users/8977980/items/KGEFYZPT"],"itemData":{"id":3627,"type":"article-journal","abstract":"The latter half of the twentieth century witnessed an upsurge in mobilization and collective action by a wide range of activists and groups engaging in social and political protest, all over the world, which continues to this day. New media are not only greatly facilitating the ways in which activists communicate and protest, but are also altering the relation of the movements to territorial boundaries and localities. Scholars from a wide range of disciplines have tended to focus on questions about the internet’s role in protest, without attempting to answer the changing meaning of what it means to be a citizen within such movements and through their practices. This article responds to this need by developing an analytical framework for studying the connection between citizenship and ICT-mediated social movements, drawing on existing scholarship on social movements, citizenship and ICTs. Specifically, using citizenship studies as a starting point, it brings together elements that are necessary for a two-level analysis: a) the tangible aspects that are seen as the concrete practices of movements and their participants and b) the ideational aspects that are seen as the abstract practices of movements and their participants. This provides a theoretical structure that facilitates connections between different disciplines that might otherwise be difficult to discern, so that the construction of citizenship can be studied on an interdisciplinary basis.","container-title":"Networking Knowledge: Journal of the MeCCSA Postgraduate Network","DOI":"10.31165/nk.2013.63.303","ISSN":"1755-9944","issue":"3","language":"en","license":"Copyright (c)","note":"number: 3","source":"ojs.meccsa.org.uk","title":"Active Citizenship or Activist Citizenship? A Framework for Studying Citizenship in New Social Movements and the Role of ICTs","title-short":"Active Citizenship or Activist Citizenship?","URL":"https://ojs.meccsa.org.uk/index.php/netknow/article/view/303","volume":"6","author":[{"family":"Papa","given":"Venetia"},{"family":"Milioni","given":"Dimitra L."}],"accessed":{"date-parts":[["2023",2,7]]},"issued":{"date-parts":[["2013",11,29]]}}}],"schema":"https://github.com/citation-style-language/schema/raw/master/csl-citation.json"} </w:instrText>
      </w:r>
      <w:r w:rsidRPr="00662E51">
        <w:rPr>
          <w:szCs w:val="24"/>
        </w:rPr>
        <w:fldChar w:fldCharType="separate"/>
      </w:r>
      <w:r w:rsidR="00E3175C" w:rsidRPr="00E3175C">
        <w:t>(e.g., Fagan and Sircar 2017; Papa and Milioni 2013)</w:t>
      </w:r>
      <w:r w:rsidRPr="00662E51">
        <w:rPr>
          <w:szCs w:val="24"/>
        </w:rPr>
        <w:fldChar w:fldCharType="end"/>
      </w:r>
      <w:r w:rsidR="0044205C" w:rsidRPr="00662E51">
        <w:rPr>
          <w:szCs w:val="24"/>
        </w:rPr>
        <w:t xml:space="preserve">. </w:t>
      </w:r>
      <w:r w:rsidRPr="00662E51">
        <w:rPr>
          <w:szCs w:val="24"/>
        </w:rPr>
        <w:t xml:space="preserve">I </w:t>
      </w:r>
      <w:r w:rsidR="0044205C" w:rsidRPr="00662E51">
        <w:rPr>
          <w:szCs w:val="24"/>
        </w:rPr>
        <w:t xml:space="preserve">however </w:t>
      </w:r>
      <w:r w:rsidRPr="00662E51">
        <w:rPr>
          <w:szCs w:val="24"/>
        </w:rPr>
        <w:t xml:space="preserve">argue that the answer is no. As citizenship involves habitus that is formed over time </w:t>
      </w:r>
      <w:r w:rsidRPr="00662E51">
        <w:rPr>
          <w:i/>
          <w:iCs/>
          <w:szCs w:val="24"/>
        </w:rPr>
        <w:t>and</w:t>
      </w:r>
      <w:r w:rsidRPr="00662E51">
        <w:rPr>
          <w:szCs w:val="24"/>
        </w:rPr>
        <w:t xml:space="preserve"> a formal legal status, it follows that citizenship is contingent</w:t>
      </w:r>
      <w:r w:rsidR="00A75C1C" w:rsidRPr="00662E51">
        <w:rPr>
          <w:szCs w:val="24"/>
        </w:rPr>
        <w:t xml:space="preserve">: </w:t>
      </w:r>
      <w:r w:rsidRPr="00662E51">
        <w:rPr>
          <w:szCs w:val="24"/>
        </w:rPr>
        <w:t xml:space="preserve">neither habitus nor legal status is mutable </w:t>
      </w:r>
      <w:r w:rsidRPr="00662E51">
        <w:rPr>
          <w:szCs w:val="24"/>
        </w:rPr>
        <w:fldChar w:fldCharType="begin"/>
      </w:r>
      <w:r w:rsidR="008E2F28">
        <w:rPr>
          <w:szCs w:val="24"/>
        </w:rPr>
        <w:instrText xml:space="preserve"> ADDIN ZOTERO_ITEM CSL_CITATION {"citationID":"mRBljwE9","properties":{"formattedCitation":"(Isin 2008)","plainCitation":"(Isin 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Marc"}],"author":[{"family":"Isin","given":"Engin"}],"accessed":{"date-parts":[["2022",2,3]]},"issued":{"date-parts":[["2008"]]}}}],"schema":"https://github.com/citation-style-language/schema/raw/master/csl-citation.json"} </w:instrText>
      </w:r>
      <w:r w:rsidRPr="00662E51">
        <w:rPr>
          <w:szCs w:val="24"/>
        </w:rPr>
        <w:fldChar w:fldCharType="separate"/>
      </w:r>
      <w:r w:rsidR="008E2F28" w:rsidRPr="008E2F28">
        <w:t>(Isin 2008)</w:t>
      </w:r>
      <w:r w:rsidRPr="00662E51">
        <w:rPr>
          <w:szCs w:val="24"/>
        </w:rPr>
        <w:fldChar w:fldCharType="end"/>
      </w:r>
      <w:r w:rsidRPr="00662E51">
        <w:rPr>
          <w:szCs w:val="24"/>
        </w:rPr>
        <w:t xml:space="preserve">. Moreover, as citizenship and its subsidiary categories are sites of struggle, subject positions (e.g., outsiders or aliens) are “neither static nor impermeable,” especially given new cross-border lived experience(s) </w:t>
      </w:r>
      <w:r w:rsidRPr="00662E51">
        <w:rPr>
          <w:szCs w:val="24"/>
        </w:rPr>
        <w:fldChar w:fldCharType="begin"/>
      </w:r>
      <w:r w:rsidR="008E2F28">
        <w:rPr>
          <w:szCs w:val="24"/>
        </w:rPr>
        <w:instrText xml:space="preserve"> ADDIN ZOTERO_ITEM CSL_CITATION {"citationID":"UivXl9Dh","properties":{"formattedCitation":"(Isin 2017, 504\\uc0\\u8211{}5)","plainCitation":"(Isin 2017, 504–5)","noteIndex":0},"citationItems":[{"id":28,"uris":["http://zotero.org/users/8977980/items/6QP49N43"],"itemData":{"id":28,"type":"chapter","abstract":"This chapter outlines a perspective that broadens the conventional view of citizenship as a legal institution by expanding on its performative force. A performative perspective on citizenship as making rights claims across multiple social groups and polities reveals its creative and transformative possibilities. By focusing our attention on performative acts or on how people creatively perform citizenship and not merely follow rules, the chapter invites us to appreciate that how people perform citizenship plays an important role in contesting and constructing citizenship and in attaching meanings to rights. By highlighting that those perform citizenship are not always citizens in the conventional sense of members of a nation-state and that they do not always act in the context of democratic or Euro-American polities, the chapter illustrates how to study multiple meanings and functions of citizenship in and across multiple polities.","container-title":"The Oxford Handbook of Citizenship","DOI":"10.1093/oxfordhb/9780198805854.013.22","ISBN":"978-0-19-880585-4","language":"en","page":"499-523","publisher":"Oxford University Press","source":"DOI.org (Crossref)","title":"Performative Citizenship","URL":"http://oxfordhandbooks.com/view/10.1093/oxfordhb/9780198805854.001.0001/oxfordhb-9780198805854-e-22","editor":[{"family":"Shachar","given":"Ayelet"},{"family":"Bauböck","given":"Rainer"},{"family":"Bloemraad","given":"Irene"},{"family":"Vink","given":"Maarten"}],"author":[{"family":"Isin","given":"Engin"}],"accessed":{"date-parts":[["2022",1,18]]},"issued":{"date-parts":[["2017",8,3]]}},"locator":"504-5","label":"page"}],"schema":"https://github.com/citation-style-language/schema/raw/master/csl-citation.json"} </w:instrText>
      </w:r>
      <w:r w:rsidRPr="00662E51">
        <w:rPr>
          <w:szCs w:val="24"/>
        </w:rPr>
        <w:fldChar w:fldCharType="separate"/>
      </w:r>
      <w:r w:rsidR="008E2F28" w:rsidRPr="008E2F28">
        <w:rPr>
          <w:rFonts w:cs="Times New Roman"/>
          <w:kern w:val="0"/>
        </w:rPr>
        <w:t>(Isin 2017, 504–5)</w:t>
      </w:r>
      <w:r w:rsidRPr="00662E51">
        <w:rPr>
          <w:szCs w:val="24"/>
        </w:rPr>
        <w:fldChar w:fldCharType="end"/>
      </w:r>
      <w:r w:rsidRPr="00662E51">
        <w:rPr>
          <w:szCs w:val="24"/>
        </w:rPr>
        <w:t xml:space="preserve">. Moreover, as reviewed earlier, research on social citizenship has shown that welfare rights derived from citizenship have fluctuated across space and time </w:t>
      </w:r>
      <w:r w:rsidRPr="00662E51">
        <w:rPr>
          <w:szCs w:val="24"/>
        </w:rPr>
        <w:fldChar w:fldCharType="begin"/>
      </w:r>
      <w:r w:rsidR="008835AB" w:rsidRPr="00662E51">
        <w:rPr>
          <w:szCs w:val="24"/>
        </w:rPr>
        <w:instrText xml:space="preserve"> ADDIN ZOTERO_ITEM CSL_CITATION {"citationID":"xSR4WXKV","properties":{"formattedCitation":"(Somers 2022)","plainCitation":"(Somers 2022)","noteIndex":0},"citationItems":[{"id":7066,"uris":["http://zotero.org/users/8977980/items/QEI6AUPF"],"itemData":{"id":7066,"type":"article-journal","abstract":"Twenty-five years ago the new citizenship studies rightly predicted the egregious inegalitarian effects of neoliberalism’s dismantling of the social welfare state, but misrecognised the cause as a retreat of the state and the return of unfettered market forces. That continuing misrecognition obscures the roots of today’s surging authoritarianism and the dedemocratization of citizenship. The attack on social citizenship was instead a battle over control of the predistributive powers that engineer the market economy. Because social citizenship is not merely an effect of democracy but also one of its conditions, neoliberalism weaponized the moral economy of market justice and the mechanisms of dedemocratization against expanded social rights to give cover to its now increasingly successful war against democratic citizenship.","container-title":"Citizenship Studies","DOI":"10.1080/13621025.2022.2091250","ISSN":"1362-1025","issue":"4-5","note":"_eprint: https://doi.org/10.1080/13621025.2022.2091250","page":"661-674","publisher":"Routledge","source":"Taylor and Francis+NEJM","title":"Dedemocratizing citizenship: how neoliberalism used market justice to move from welfare queening to authoritarianism in 25 short years","title-short":"Dedemocratizing citizenship","volume":"26","author":[{"family":"Somers","given":"Margaret R."}],"issued":{"date-parts":[["2022",7,4]]}}}],"schema":"https://github.com/citation-style-language/schema/raw/master/csl-citation.json"} </w:instrText>
      </w:r>
      <w:r w:rsidRPr="00662E51">
        <w:rPr>
          <w:szCs w:val="24"/>
        </w:rPr>
        <w:fldChar w:fldCharType="separate"/>
      </w:r>
      <w:r w:rsidR="0095662D" w:rsidRPr="00662E51">
        <w:t>(Somers 2022)</w:t>
      </w:r>
      <w:r w:rsidRPr="00662E51">
        <w:rPr>
          <w:szCs w:val="24"/>
        </w:rPr>
        <w:fldChar w:fldCharType="end"/>
      </w:r>
      <w:r w:rsidRPr="00662E51">
        <w:rPr>
          <w:szCs w:val="24"/>
        </w:rPr>
        <w:t>. In other words, a withdrawal of these certain rights therefore destabilises citizenship from full to partial</w:t>
      </w:r>
      <w:r w:rsidR="00AA2930">
        <w:rPr>
          <w:szCs w:val="24"/>
        </w:rPr>
        <w:t xml:space="preserve">: </w:t>
      </w:r>
      <w:r w:rsidRPr="00662E51">
        <w:rPr>
          <w:szCs w:val="24"/>
        </w:rPr>
        <w:t>some individuals los</w:t>
      </w:r>
      <w:r w:rsidR="00CC2508">
        <w:rPr>
          <w:szCs w:val="24"/>
        </w:rPr>
        <w:t>e</w:t>
      </w:r>
      <w:r w:rsidRPr="00662E51">
        <w:rPr>
          <w:szCs w:val="24"/>
        </w:rPr>
        <w:t xml:space="preserve"> rights while others did not. To regain lost rights, a partial citizen must shift from active to activist and engage in acts.</w:t>
      </w:r>
      <w:r w:rsidR="00F922C1">
        <w:rPr>
          <w:szCs w:val="24"/>
        </w:rPr>
        <w:t xml:space="preserve"> </w:t>
      </w:r>
      <w:r w:rsidRPr="00662E51">
        <w:rPr>
          <w:szCs w:val="24"/>
        </w:rPr>
        <w:t xml:space="preserve">The active/activist binary is thus a helpful heuristic—but the categories should not be understood as fixed. </w:t>
      </w:r>
    </w:p>
    <w:p w14:paraId="663FF40E" w14:textId="77777777" w:rsidR="007B4EA4" w:rsidRPr="00662E51" w:rsidRDefault="007B4EA4" w:rsidP="00F56305">
      <w:pPr>
        <w:spacing w:line="360" w:lineRule="auto"/>
        <w:ind w:left="0"/>
        <w:rPr>
          <w:szCs w:val="24"/>
        </w:rPr>
      </w:pPr>
    </w:p>
    <w:p w14:paraId="3E82BCC4" w14:textId="1A028747" w:rsidR="007B4EA4" w:rsidRPr="00662E51" w:rsidRDefault="007B4EA4" w:rsidP="00F56305">
      <w:pPr>
        <w:pStyle w:val="Heading4"/>
        <w:spacing w:before="0" w:after="0"/>
        <w:rPr>
          <w:vertAlign w:val="subscript"/>
        </w:rPr>
      </w:pPr>
      <w:bookmarkStart w:id="184" w:name="_Toc221184326"/>
      <w:r w:rsidRPr="00662E51">
        <w:t>Critique</w:t>
      </w:r>
      <w:r w:rsidR="004738B9">
        <w:t xml:space="preserve"> of Acts of Citizenship</w:t>
      </w:r>
      <w:r w:rsidRPr="00662E51">
        <w:t>:</w:t>
      </w:r>
      <w:bookmarkEnd w:id="184"/>
    </w:p>
    <w:p w14:paraId="38907276" w14:textId="4C777486" w:rsidR="007B4EA4" w:rsidRPr="00662E51" w:rsidRDefault="007B4EA4" w:rsidP="00F56305">
      <w:pPr>
        <w:spacing w:line="360" w:lineRule="auto"/>
        <w:ind w:left="0" w:firstLine="720"/>
        <w:rPr>
          <w:szCs w:val="24"/>
        </w:rPr>
      </w:pPr>
      <w:r w:rsidRPr="00662E51">
        <w:rPr>
          <w:szCs w:val="24"/>
        </w:rPr>
        <w:t xml:space="preserve">The acts of citizenship approach is not without criticism. For one, acts themselves are difficult to delineate. Although an act’s subject transformation is a clearly defined rule, in practice this is difficult to determine </w:t>
      </w:r>
      <w:r w:rsidRPr="00662E51">
        <w:rPr>
          <w:szCs w:val="24"/>
        </w:rPr>
        <w:fldChar w:fldCharType="begin"/>
      </w:r>
      <w:r w:rsidR="008835AB" w:rsidRPr="00662E51">
        <w:rPr>
          <w:szCs w:val="24"/>
        </w:rPr>
        <w:instrText xml:space="preserve"> ADDIN ZOTERO_ITEM CSL_CITATION {"citationID":"kNOeCuC3","properties":{"formattedCitation":"(Darling 2017)","plainCitation":"(Darling 2017)","noteIndex":0},"citationItems":[{"id":3614,"uris":["http://zotero.org/users/8977980/items/YMH527KD"],"itemData":{"id":3614,"type":"article-journal","abstract":"This afterword discusses a variety of approaches to exploring the contestation of citizenship, and foregrounds the spatial politics that underpin forms of contestation, struggle and claims making. Beginning with a reflection on how recent work has sought to explore citizenship ‘from below’, this afterword asks how citizenship studies might begin to accommodate an expanded range of sites, subjects and practices in the contestation of citizenship. Studying acts of citizenship and the minor interventions that surround such acts, the often ambiguous nature of citizenship claims and the prosaic learning that goes into producing the conditions for contestation, all offer useful directions to explore. However, addressing the contestation nature of citizenship requires both exploring these practices in relation to one another, and exploring how established and normative models of citizenship variously incorporate, co-opt and manage forms of contestation as they continue to ‘make citizens’. I conclude by reflecting on how the governmental process of ‘making citizens’ is also one of constructing spaces, mobilising materials and producing affective responses of hope, fear, hatred and desire.","container-title":"Citizenship Studies","DOI":"10.1080/13621025.2017.1341658","ISSN":"1362-1025","issue":"6","note":"_eprint: https://doi.org/10.1080/13621025.2017.1341658","page":"727-736","publisher":"Routledge","source":"Taylor and Francis+NEJM","title":"Acts, ambiguities, and the labour of contesting citizenship","volume":"21","author":[{"family":"Darling","given":"Jonathan"}],"issued":{"date-parts":[["2017",8,18]]}}}],"schema":"https://github.com/citation-style-language/schema/raw/master/csl-citation.json"} </w:instrText>
      </w:r>
      <w:r w:rsidRPr="00662E51">
        <w:rPr>
          <w:szCs w:val="24"/>
        </w:rPr>
        <w:fldChar w:fldCharType="separate"/>
      </w:r>
      <w:r w:rsidR="0095662D" w:rsidRPr="00662E51">
        <w:t>(Darling 2017)</w:t>
      </w:r>
      <w:r w:rsidRPr="00662E51">
        <w:rPr>
          <w:szCs w:val="24"/>
        </w:rPr>
        <w:fldChar w:fldCharType="end"/>
      </w:r>
      <w:r w:rsidRPr="00662E51">
        <w:rPr>
          <w:szCs w:val="24"/>
        </w:rPr>
        <w:t xml:space="preserve">. As discussed above and elaborated in Chapter </w:t>
      </w:r>
      <w:r w:rsidR="00033248" w:rsidRPr="00662E51">
        <w:rPr>
          <w:szCs w:val="24"/>
        </w:rPr>
        <w:t>5</w:t>
      </w:r>
      <w:r w:rsidRPr="00662E51">
        <w:rPr>
          <w:szCs w:val="24"/>
        </w:rPr>
        <w:t xml:space="preserve">, political activism is contingent on context, and scholars situated in the Global North should not assume acts are consistent cross-geographically. </w:t>
      </w:r>
      <w:r w:rsidR="00F12020" w:rsidRPr="00662E51">
        <w:rPr>
          <w:szCs w:val="24"/>
        </w:rPr>
        <w:t xml:space="preserve">Brandzel </w:t>
      </w:r>
      <w:r w:rsidR="00F12020" w:rsidRPr="00662E51">
        <w:rPr>
          <w:szCs w:val="24"/>
        </w:rPr>
        <w:fldChar w:fldCharType="begin"/>
      </w:r>
      <w:r w:rsidR="008835AB" w:rsidRPr="00662E51">
        <w:rPr>
          <w:szCs w:val="24"/>
        </w:rPr>
        <w:instrText xml:space="preserve"> ADDIN ZOTERO_ITEM CSL_CITATION {"citationID":"2fq8Smbv","properties":{"formattedCitation":"(2022)","plainCitation":"(2022)","noteIndex":0},"citationItems":[{"id":6749,"uris":["http://zotero.org/users/8977980/items/UVBGQNS9"],"itemData":{"id":6749,"type":"article-journal","abstract":"In this short essay, Brandzel cautions scholars as to how their scholarship might inadvertently reproduce the violent operations of citizenship. Focusing on over thirty articles from this journal that deploy Engin Isin’s framework of ‘acts of citizenship’ as an example, Brandzel points towards a troubling trend of calling practices, identities, or behaviors as an ‘act of citizenship’ without qualifying why citizenship is the appropriate framework. In the end, Brandzel appeals to citizenship studies scholars to be more selective of their uses of citizenship, and to consider focusing their work on ways to disrupt or ‘act against citizenship’.","container-title":"Citizenship Studies","DOI":"10.1080/13621025.2022.2091219","ISSN":"1362-1025","issue":"4-5","note":"_eprint: https://doi.org/10.1080/13621025.2022.2091219","page":"393-400","publisher":"Routledge","source":"Taylor and Francis+NEJM","title":"Act up against citizenship: a plea to citizenship studies","title-short":"Act up against citizenship","volume":"26","author":[{"family":"Brandzel","given":"Amy L."}],"issued":{"date-parts":[["2022",7,4]]}},"label":"page","suppress-author":true}],"schema":"https://github.com/citation-style-language/schema/raw/master/csl-citation.json"} </w:instrText>
      </w:r>
      <w:r w:rsidR="00F12020" w:rsidRPr="00662E51">
        <w:rPr>
          <w:szCs w:val="24"/>
        </w:rPr>
        <w:fldChar w:fldCharType="separate"/>
      </w:r>
      <w:r w:rsidR="00F12020" w:rsidRPr="00662E51">
        <w:t>(2022)</w:t>
      </w:r>
      <w:r w:rsidR="00F12020" w:rsidRPr="00662E51">
        <w:rPr>
          <w:szCs w:val="24"/>
        </w:rPr>
        <w:fldChar w:fldCharType="end"/>
      </w:r>
      <w:r w:rsidR="00F12020" w:rsidRPr="00662E51">
        <w:rPr>
          <w:szCs w:val="24"/>
        </w:rPr>
        <w:t xml:space="preserve"> and </w:t>
      </w:r>
      <w:r w:rsidRPr="00662E51">
        <w:rPr>
          <w:szCs w:val="24"/>
        </w:rPr>
        <w:t xml:space="preserve">Fortier </w:t>
      </w:r>
      <w:r w:rsidRPr="00662E51">
        <w:rPr>
          <w:szCs w:val="24"/>
        </w:rPr>
        <w:fldChar w:fldCharType="begin"/>
      </w:r>
      <w:r w:rsidR="008835AB" w:rsidRPr="00662E51">
        <w:rPr>
          <w:szCs w:val="24"/>
        </w:rPr>
        <w:instrText xml:space="preserve"> ADDIN ZOTERO_ITEM CSL_CITATION {"citationID":"wYOixB6t","properties":{"formattedCitation":"(2016)","plainCitation":"(2016)","noteIndex":0},"citationItems":[{"id":3620,"uris":["http://zotero.org/users/8977980/items/YQDLHNPX"],"itemData":{"id":3620,"type":"article-journal","abstract":"After briefly discussing the ‘affective turn’ in citizenship studies, this afterword discusses the political mobilisation of affect to consider when, where and how affect may be connected to citizenship. It asks: What does it mean and do to speak of affective acts as acts of affective citizenship? I argue that the phrase ‘affective citizenship’ attaches affect to a very specific object: citizenship. Studying affective citizenship requires attention to how some feelings attach themselves to citizenship and to how citizenship itself can evoke certain feelings. But affective citizenship does not occur ‘naturally’: it arises from, requires and/or produces knowledge, labour, and (new) ‘feeling rules’. I conclude with a call for more research into the dynamics of affective citizenship that go beyond a simple opposition between those simply conceived of as agents of disciplinary power and those seen as (resisting) subjects of disciplinary power.","container-title":"Citizenship Studies","DOI":"10.1080/13621025.2016.1229190","ISSN":"1362-1025","issue":"8","note":"_eprint: https://doi.org/10.1080/13621025.2016.1229190","page":"1038-1044","publisher":"Routledge","source":"Taylor and Francis+NEJM","title":"Afterword: acts of affective citizenship? Possibilities and limitations","title-short":"Afterword","volume":"20","author":[{"family":"Fortier","given":"Anne-Marie"}],"issued":{"date-parts":[["2016",11,16]]}},"label":"page","suppress-author":true}],"schema":"https://github.com/citation-style-language/schema/raw/master/csl-citation.json"} </w:instrText>
      </w:r>
      <w:r w:rsidRPr="00662E51">
        <w:rPr>
          <w:szCs w:val="24"/>
        </w:rPr>
        <w:fldChar w:fldCharType="separate"/>
      </w:r>
      <w:r w:rsidR="0095662D" w:rsidRPr="00662E51">
        <w:t>(2016)</w:t>
      </w:r>
      <w:r w:rsidRPr="00662E51">
        <w:rPr>
          <w:szCs w:val="24"/>
        </w:rPr>
        <w:fldChar w:fldCharType="end"/>
      </w:r>
      <w:r w:rsidRPr="00662E51">
        <w:rPr>
          <w:szCs w:val="24"/>
        </w:rPr>
        <w:t xml:space="preserve"> rightly point out that many studies that claim to describe an act of citizenship do so thinly, with many merely describing habitus or a ripple in the script—rather than a clear break.</w:t>
      </w:r>
      <w:r w:rsidR="007C0ABB">
        <w:rPr>
          <w:szCs w:val="24"/>
        </w:rPr>
        <w:t xml:space="preserve"> </w:t>
      </w:r>
      <w:r w:rsidRPr="00662E51">
        <w:rPr>
          <w:szCs w:val="24"/>
        </w:rPr>
        <w:t xml:space="preserve">Finally, the theory of acts hazards reifying the violence inherent in the bordering processes implied by citizenship </w:t>
      </w:r>
      <w:r w:rsidRPr="00662E51">
        <w:rPr>
          <w:szCs w:val="24"/>
        </w:rPr>
        <w:fldChar w:fldCharType="begin"/>
      </w:r>
      <w:r w:rsidR="008835AB" w:rsidRPr="00662E51">
        <w:rPr>
          <w:szCs w:val="24"/>
        </w:rPr>
        <w:instrText xml:space="preserve"> ADDIN ZOTERO_ITEM CSL_CITATION {"citationID":"KnRMaOSJ","properties":{"formattedCitation":"(Brandzel 2016; Nyers 2018)","plainCitation":"(Brandzel 2016; Nyers 2018)","noteIndex":0},"citationItems":[{"id":6750,"uris":["http://zotero.org/users/8977980/items/YRJNQNKY"],"itemData":{"id":6750,"type":"book","abstract":"Numerous activists and scholars have appealed for rights, inclusion, and justice in the name of \"citizenship.\" Against Citizenship provocatively shows that there is nothing redeemable about citizenship, nothing worth salvaging or sustaining in the name of \"community,\" practice, or belonging. According to Brandzel, citizenship is a violent dehumanizing mechanism that makes the comparative devaluing of human lives seem commonsensical, logical, and even necessary. Against Citizenship argues that whenever we work on behalf of citizenship, whenever we work toward including more types of peoples under its reign, we inevitably reify the violence of citizenship against nonnormative others. Brandzel's focus on three legal case studies--same-sex marriage law, hate crime legislation, and Native Hawaiian sovereignty and racialization--exposes how citizenship confounds and obscures the mutual processes of settler colonialism, racism, sexism, and heterosexism. In this way, Brandzel argues that citizenship requires anti-intersectionality, that is, strategies that deny the mutuality and contingency of race, class, gender, sexuality, and nation--and how, oftentimes, progressive left activists and scholars follow suit. Against Citizenship is an impassioned plea for a queer, decolonial, anti-racist coalitional stance against the systemized human de/valuing and anti-intersectionalities of citizenship.","ISBN":"978-0-252-09823-9","language":"en","note":"Google-Books-ID: wZzcCwAAQBAJ","number-of-pages":"237","publisher":"University of Illinois Press","source":"Google Books","title":"Against Citizenship: The Violence of the Normative","title-short":"Against Citizenship","author":[{"family":"Brandzel","given":"Amy L."}],"issued":{"date-parts":[["2016",4,15]]}}},{"id":6738,"uris":["http://zotero.org/users/8977980/items/679P5H4I"],"itemData":{"id":6738,"type":"book","abstract":"Deportation has again taken a prominent place within the immigration policies of nation-states. Irregular Citizenship, Immigration, and Deportation addresses the social responses to deportation, in particular the growing movements against deportation and detention, and for freedom of movement and the regularization of status. \nThe book brings deportation and anti-deportation together with the aim of understanding the political subjects that emerge in this contested field of governance and control, freedom and struggle. However, rather than focusing on the typical subjects of removal – refugees, the undocumented, and irregular migrants – Irregular Citizenship, Immigration, and Deportation looks at the ways that citizens get caught up in the deportation apparatus and must struggle to remain in or return to their country of citizenship. The transformation of ‘regular’ citizens into deportable ‘irregular’ citizens involves the removal of the rights, duties, and obligations of citizenship. This includes unmaking citizenship through official revocation or denationalization, as well as through informal, extra-legal, and unofficial means. The book features stories about struggles over removal and return, deportation and repatriation, rescue and abandonment. The book features eleven ‘acts of citizenship’ that occur in the context of deportation and anti-deportation, arguing that these struggles for rights, recognition, and return are fundamentally struggles over political subjectivity – of citizenship.\nThis book will be of interest to students and scholars of citizenship, migration and security studies.","DOI":"10.4324/9780429442704","ISBN":"978-0-429-44270-4","number-of-pages":"182","publisher":"Routledge","publisher-place":"London","title":"Irregular Citizenship, Immigration, and Deportation","author":[{"family":"Nyers","given":"Peter"}],"issued":{"date-parts":[["2018",12,14]]}}}],"schema":"https://github.com/citation-style-language/schema/raw/master/csl-citation.json"} </w:instrText>
      </w:r>
      <w:r w:rsidRPr="00662E51">
        <w:rPr>
          <w:szCs w:val="24"/>
        </w:rPr>
        <w:fldChar w:fldCharType="separate"/>
      </w:r>
      <w:r w:rsidR="0095662D" w:rsidRPr="00662E51">
        <w:t>(Brandzel 2016; Nyers 2018)</w:t>
      </w:r>
      <w:r w:rsidRPr="00662E51">
        <w:rPr>
          <w:szCs w:val="24"/>
        </w:rPr>
        <w:fldChar w:fldCharType="end"/>
      </w:r>
      <w:r w:rsidRPr="00662E51">
        <w:rPr>
          <w:szCs w:val="24"/>
        </w:rPr>
        <w:t xml:space="preserve">. As Tyler writes </w:t>
      </w:r>
      <w:r w:rsidRPr="00662E51">
        <w:rPr>
          <w:szCs w:val="24"/>
        </w:rPr>
        <w:fldChar w:fldCharType="begin"/>
      </w:r>
      <w:r w:rsidRPr="00662E51">
        <w:rPr>
          <w:szCs w:val="24"/>
        </w:rPr>
        <w:instrText xml:space="preserve"> ADDIN ZOTERO_ITEM CSL_CITATION {"citationID":"VapsduhN","properties":{"formattedCitation":"(2010, 66)","plainCitation":"(2010, 66)","noteIndex":0},"citationItems":[{"id":1485,"uris":["http://zotero.org/users/8977980/items/7FLDWJ6X"],"itemData":{"id":1485,"type":"article-journal","container-title":"Citizenship Studies","DOI":"10.1080/13621020903466357","ISSN":"1362-1025, 1469-3593","issue":"1","journalAbbreviation":"Citizenship Studies","language":"en","page":"61-74","source":"DOI.org (Crossref)","title":"Designed to fail: A biopolitics of British citizenship","title-short":"Designed to fail","volume":"14","author":[{"family":"Tyler","given":"Imogen"}],"issued":{"date-parts":[["2010",2]]}},"locator":"66","label":"page","suppress-author":true}],"schema":"https://github.com/citation-style-language/schema/raw/master/csl-citation.json"} </w:instrText>
      </w:r>
      <w:r w:rsidRPr="00662E51">
        <w:rPr>
          <w:szCs w:val="24"/>
        </w:rPr>
        <w:fldChar w:fldCharType="separate"/>
      </w:r>
      <w:r w:rsidR="0095662D" w:rsidRPr="00662E51">
        <w:t>(2010, 66)</w:t>
      </w:r>
      <w:r w:rsidRPr="00662E51">
        <w:rPr>
          <w:szCs w:val="24"/>
        </w:rPr>
        <w:fldChar w:fldCharType="end"/>
      </w:r>
      <w:r w:rsidRPr="00662E51">
        <w:rPr>
          <w:szCs w:val="24"/>
        </w:rPr>
        <w:t xml:space="preserve">, citizenship “feeds from the power of sovereignty to erect and </w:t>
      </w:r>
      <w:r w:rsidRPr="00662E51">
        <w:rPr>
          <w:szCs w:val="24"/>
        </w:rPr>
        <w:lastRenderedPageBreak/>
        <w:t xml:space="preserve">maintain borders—borders that it cannot ultimately fully control. Citizenship cannot be thought outside of sovereignty and control.” Thus, to work on acts of citizenship, while seemingly critical and progressive, is to “consistently mold and remold citizenship, to claim to find one more type, or authorize one more manifestation of citizenship, is to continue to build another rampart on behalf of violent regimes and institutions” </w:t>
      </w:r>
      <w:r w:rsidRPr="00662E51">
        <w:rPr>
          <w:szCs w:val="24"/>
        </w:rPr>
        <w:fldChar w:fldCharType="begin"/>
      </w:r>
      <w:r w:rsidR="008835AB" w:rsidRPr="00662E51">
        <w:rPr>
          <w:szCs w:val="24"/>
        </w:rPr>
        <w:instrText xml:space="preserve"> ADDIN ZOTERO_ITEM CSL_CITATION {"citationID":"NkI07QFm","properties":{"formattedCitation":"(Brandzel 2022, 399)","plainCitation":"(Brandzel 2022, 399)","noteIndex":0},"citationItems":[{"id":6749,"uris":["http://zotero.org/users/8977980/items/UVBGQNS9"],"itemData":{"id":6749,"type":"article-journal","abstract":"In this short essay, Brandzel cautions scholars as to how their scholarship might inadvertently reproduce the violent operations of citizenship. Focusing on over thirty articles from this journal that deploy Engin Isin’s framework of ‘acts of citizenship’ as an example, Brandzel points towards a troubling trend of calling practices, identities, or behaviors as an ‘act of citizenship’ without qualifying why citizenship is the appropriate framework. In the end, Brandzel appeals to citizenship studies scholars to be more selective of their uses of citizenship, and to consider focusing their work on ways to disrupt or ‘act against citizenship’.","container-title":"Citizenship Studies","DOI":"10.1080/13621025.2022.2091219","ISSN":"1362-1025","issue":"4-5","note":"_eprint: https://doi.org/10.1080/13621025.2022.2091219","page":"393-400","publisher":"Routledge","source":"Taylor and Francis+NEJM","title":"Act up against citizenship: a plea to citizenship studies","title-short":"Act up against citizenship","volume":"26","author":[{"family":"Brandzel","given":"Amy L."}],"issued":{"date-parts":[["2022",7,4]]}},"locator":"399"}],"schema":"https://github.com/citation-style-language/schema/raw/master/csl-citation.json"} </w:instrText>
      </w:r>
      <w:r w:rsidRPr="00662E51">
        <w:rPr>
          <w:szCs w:val="24"/>
        </w:rPr>
        <w:fldChar w:fldCharType="separate"/>
      </w:r>
      <w:r w:rsidR="0095662D" w:rsidRPr="00662E51">
        <w:t>(Brandzel 2022, 399)</w:t>
      </w:r>
      <w:r w:rsidRPr="00662E51">
        <w:rPr>
          <w:szCs w:val="24"/>
        </w:rPr>
        <w:fldChar w:fldCharType="end"/>
      </w:r>
      <w:r w:rsidRPr="00662E51">
        <w:rPr>
          <w:szCs w:val="24"/>
        </w:rPr>
        <w:t>. Put another way, to valorise certain elements of a violent system is to potentially reinforce it.</w:t>
      </w:r>
    </w:p>
    <w:p w14:paraId="1883E8BE" w14:textId="622042A5" w:rsidR="007B4EA4" w:rsidRPr="00662E51" w:rsidRDefault="007B4EA4" w:rsidP="00F56305">
      <w:pPr>
        <w:spacing w:line="360" w:lineRule="auto"/>
        <w:ind w:left="0" w:firstLine="720"/>
        <w:rPr>
          <w:szCs w:val="24"/>
        </w:rPr>
      </w:pPr>
      <w:r w:rsidRPr="00662E51">
        <w:rPr>
          <w:szCs w:val="24"/>
        </w:rPr>
        <w:t xml:space="preserve">However, thorns aside, the conceptualisation of acts remains a powerful approach to unpacking citizenship and its development. First, its emphasis on process already rethinks citizenship at its core by doing away with simple binaries of status and substance to focus on a more holistic view </w:t>
      </w:r>
      <w:r w:rsidRPr="00662E51">
        <w:rPr>
          <w:szCs w:val="24"/>
        </w:rPr>
        <w:fldChar w:fldCharType="begin"/>
      </w:r>
      <w:r w:rsidR="008E2F28">
        <w:rPr>
          <w:szCs w:val="24"/>
        </w:rPr>
        <w:instrText xml:space="preserve"> ADDIN ZOTERO_ITEM CSL_CITATION {"citationID":"Mz3taxHI","properties":{"formattedCitation":"(Brandzel 2022; Darling 2017; Isin 2017)","plainCitation":"(Brandzel 2022; Darling 2017; Isin 2017)","noteIndex":0},"citationItems":[{"id":6749,"uris":["http://zotero.org/users/8977980/items/UVBGQNS9"],"itemData":{"id":6749,"type":"article-journal","abstract":"In this short essay, Brandzel cautions scholars as to how their scholarship might inadvertently reproduce the violent operations of citizenship. Focusing on over thirty articles from this journal that deploy Engin Isin’s framework of ‘acts of citizenship’ as an example, Brandzel points towards a troubling trend of calling practices, identities, or behaviors as an ‘act of citizenship’ without qualifying why citizenship is the appropriate framework. In the end, Brandzel appeals to citizenship studies scholars to be more selective of their uses of citizenship, and to consider focusing their work on ways to disrupt or ‘act against citizenship’.","container-title":"Citizenship Studies","DOI":"10.1080/13621025.2022.2091219","ISSN":"1362-1025","issue":"4-5","note":"_eprint: https://doi.org/10.1080/13621025.2022.2091219","page":"393-400","publisher":"Routledge","source":"Taylor and Francis+NEJM","title":"Act up against citizenship: a plea to citizenship studies","title-short":"Act up against citizenship","volume":"26","author":[{"family":"Brandzel","given":"Amy L."}],"issued":{"date-parts":[["2022",7,4]]}}},{"id":3614,"uris":["http://zotero.org/users/8977980/items/YMH527KD"],"itemData":{"id":3614,"type":"article-journal","abstract":"This afterword discusses a variety of approaches to exploring the contestation of citizenship, and foregrounds the spatial politics that underpin forms of contestation, struggle and claims making. Beginning with a reflection on how recent work has sought to explore citizenship ‘from below’, this afterword asks how citizenship studies might begin to accommodate an expanded range of sites, subjects and practices in the contestation of citizenship. Studying acts of citizenship and the minor interventions that surround such acts, the often ambiguous nature of citizenship claims and the prosaic learning that goes into producing the conditions for contestation, all offer useful directions to explore. However, addressing the contestation nature of citizenship requires both exploring these practices in relation to one another, and exploring how established and normative models of citizenship variously incorporate, co-opt and manage forms of contestation as they continue to ‘make citizens’. I conclude by reflecting on how the governmental process of ‘making citizens’ is also one of constructing spaces, mobilising materials and producing affective responses of hope, fear, hatred and desire.","container-title":"Citizenship Studies","DOI":"10.1080/13621025.2017.1341658","ISSN":"1362-1025","issue":"6","note":"_eprint: https://doi.org/10.1080/13621025.2017.1341658","page":"727-736","publisher":"Routledge","source":"Taylor and Francis+NEJM","title":"Acts, ambiguities, and the labour of contesting citizenship","volume":"21","author":[{"family":"Darling","given":"Jonathan"}],"issued":{"date-parts":[["2017",8,18]]}}},{"id":28,"uris":["http://zotero.org/users/8977980/items/6QP49N43"],"itemData":{"id":28,"type":"chapter","abstract":"This chapter outlines a perspective that broadens the conventional view of citizenship as a legal institution by expanding on its performative force. A performative perspective on citizenship as making rights claims across multiple social groups and polities reveals its creative and transformative possibilities. By focusing our attention on performative acts or on how people creatively perform citizenship and not merely follow rules, the chapter invites us to appreciate that how people perform citizenship plays an important role in contesting and constructing citizenship and in attaching meanings to rights. By highlighting that those perform citizenship are not always citizens in the conventional sense of members of a nation-state and that they do not always act in the context of democratic or Euro-American polities, the chapter illustrates how to study multiple meanings and functions of citizenship in and across multiple polities.","container-title":"The Oxford Handbook of Citizenship","DOI":"10.1093/oxfordhb/9780198805854.013.22","ISBN":"978-0-19-880585-4","language":"en","page":"499-523","publisher":"Oxford University Press","source":"DOI.org (Crossref)","title":"Performative Citizenship","URL":"http://oxfordhandbooks.com/view/10.1093/oxfordhb/9780198805854.001.0001/oxfordhb-9780198805854-e-22","editor":[{"family":"Shachar","given":"Ayelet"},{"family":"Bauböck","given":"Rainer"},{"family":"Bloemraad","given":"Irene"},{"family":"Vink","given":"Maarten"}],"author":[{"family":"Isin","given":"Engin"}],"accessed":{"date-parts":[["2022",1,18]]},"issued":{"date-parts":[["2017",8,3]]}}}],"schema":"https://github.com/citation-style-language/schema/raw/master/csl-citation.json"} </w:instrText>
      </w:r>
      <w:r w:rsidRPr="00662E51">
        <w:rPr>
          <w:szCs w:val="24"/>
        </w:rPr>
        <w:fldChar w:fldCharType="separate"/>
      </w:r>
      <w:r w:rsidR="008E2F28" w:rsidRPr="008E2F28">
        <w:t>(Brandzel 2022; Darling 2017; Isin 2017)</w:t>
      </w:r>
      <w:r w:rsidRPr="00662E51">
        <w:rPr>
          <w:szCs w:val="24"/>
        </w:rPr>
        <w:fldChar w:fldCharType="end"/>
      </w:r>
      <w:r w:rsidRPr="00662E51">
        <w:rPr>
          <w:szCs w:val="24"/>
        </w:rPr>
        <w:t xml:space="preserve">. A subtle but powerful shift, a processual standpoint better captures not only the lived experience of citizenship but also the wider context of how claims to/from citizenship play out. More importantly, the theory of acts stresses the “contingencies, ambiguities, and contestations of citizenship, as opposed to the certainties, assuredness, and formalities of legal approaches.” It is this openness that allows acts to be “attuned to how citizenship is simultaneously a means of governance and exclusionary rule, and also an important identity through which progressive struggles get enacted and performed” </w:t>
      </w:r>
      <w:r w:rsidRPr="00662E51">
        <w:rPr>
          <w:szCs w:val="24"/>
        </w:rPr>
        <w:fldChar w:fldCharType="begin"/>
      </w:r>
      <w:r w:rsidRPr="00662E51">
        <w:rPr>
          <w:szCs w:val="24"/>
        </w:rPr>
        <w:instrText xml:space="preserve"> ADDIN ZOTERO_ITEM CSL_CITATION {"citationID":"EXTPrgOa","properties":{"formattedCitation":"(Nyers 2015, 33\\uc0\\u8211{}34)","plainCitation":"(Nyers 2015, 33–34)","noteIndex":0},"citationItems":[{"id":6758,"uris":["http://zotero.org/users/8977980/items/2DZAVEKR"],"itemData":{"id":6758,"type":"article-journal","abstract":"The study of the political agency and subjectivity of refugees and migrants has become an increasingly important topic within migration studies. Migration involves struggles around fundamental social and political issues, namely mobility, residence, and citizenship rights. Expressions of this struggle can be found in local actions against detention, deportation, and other border controls; campaigns for regularization and status; the revival of sanctuary cities; and global struggles for freedom of movement. However, the traditional concepts and frameworks of migration do not adequately take into account the full dynamic range of migrant practices of political subject-making. This article analyses the “autonomy of migration” literature within migration studies and critically assesses whether the concepts from this perspective can be mobilized to understand the political agency and subjectivity of migrants. While the autonomist approach to migration makes vital and dynamic contributions to our understanding of migrant political agency, its dismissal of citizenship as an exclusionary concept would benefit from a more nuanced approach.","container-title":"Migration, Mobility, &amp; Displacement","DOI":"10.18357/mmd11201513521","ISSN":"2369-288X","issue":"1","language":"en","license":"Copyright (c) 2015 Migration, Mobility, &amp; Displacement","note":"number: 1","source":"journals.uvic.ca","title":"Migrant Citizenships and Autonomous Mobilities","URL":"https://journals.uvic.ca/index.php/mmd/article/view/13521","volume":"1","author":[{"family":"Nyers","given":"Peter"}],"accessed":{"date-parts":[["2025",7,17]]},"issued":{"date-parts":[["2015",5,27]]}},"locator":"33-4","label":"page"}],"schema":"https://github.com/citation-style-language/schema/raw/master/csl-citation.json"} </w:instrText>
      </w:r>
      <w:r w:rsidRPr="00662E51">
        <w:rPr>
          <w:szCs w:val="24"/>
        </w:rPr>
        <w:fldChar w:fldCharType="separate"/>
      </w:r>
      <w:r w:rsidR="0095662D" w:rsidRPr="00662E51">
        <w:rPr>
          <w:rFonts w:cs="Times New Roman"/>
          <w:kern w:val="0"/>
        </w:rPr>
        <w:t>(Nyers 2015, 33–34)</w:t>
      </w:r>
      <w:r w:rsidRPr="00662E51">
        <w:rPr>
          <w:szCs w:val="24"/>
        </w:rPr>
        <w:fldChar w:fldCharType="end"/>
      </w:r>
      <w:r w:rsidRPr="00662E51">
        <w:rPr>
          <w:szCs w:val="24"/>
        </w:rPr>
        <w:t xml:space="preserve">. Second, in a more grounded sense, acts deals with the actually existing context of bordering regimes that have a vested interest in maintaining violent structures—but without necessarily reinforcing citizenship’s perceived value. That is, scholars can acknowledge that obtaining full citizenship brings benefits to a group without falling into the trap described by Brandzel </w:t>
      </w:r>
      <w:r w:rsidRPr="00662E51">
        <w:rPr>
          <w:szCs w:val="24"/>
        </w:rPr>
        <w:fldChar w:fldCharType="begin"/>
      </w:r>
      <w:r w:rsidR="00F15CF8">
        <w:rPr>
          <w:szCs w:val="24"/>
        </w:rPr>
        <w:instrText xml:space="preserve"> ADDIN ZOTERO_ITEM CSL_CITATION {"citationID":"H55TZcIQ","properties":{"formattedCitation":"(2016, 2022)","plainCitation":"(2016, 2022)","noteIndex":0},"citationItems":[{"id":6750,"uris":["http://zotero.org/users/8977980/items/YRJNQNKY"],"itemData":{"id":6750,"type":"book","abstract":"Numerous activists and scholars have appealed for rights, inclusion, and justice in the name of \"citizenship.\" Against Citizenship provocatively shows that there is nothing redeemable about citizenship, nothing worth salvaging or sustaining in the name of \"community,\" practice, or belonging. According to Brandzel, citizenship is a violent dehumanizing mechanism that makes the comparative devaluing of human lives seem commonsensical, logical, and even necessary. Against Citizenship argues that whenever we work on behalf of citizenship, whenever we work toward including more types of peoples under its reign, we inevitably reify the violence of citizenship against nonnormative others. Brandzel's focus on three legal case studies--same-sex marriage law, hate crime legislation, and Native Hawaiian sovereignty and racialization--exposes how citizenship confounds and obscures the mutual processes of settler colonialism, racism, sexism, and heterosexism. In this way, Brandzel argues that citizenship requires anti-intersectionality, that is, strategies that deny the mutuality and contingency of race, class, gender, sexuality, and nation--and how, oftentimes, progressive left activists and scholars follow suit. Against Citizenship is an impassioned plea for a queer, decolonial, anti-racist coalitional stance against the systemized human de/valuing and anti-intersectionalities of citizenship.","ISBN":"978-0-252-09823-9","language":"en","note":"Google-Books-ID: wZzcCwAAQBAJ","number-of-pages":"237","publisher":"University of Illinois Press","source":"Google Books","title":"Against Citizenship: The Violence of the Normative","title-short":"Against Citizenship","author":[{"family":"Brandzel","given":"Amy L."}],"issued":{"date-parts":[["2016",4,15]]}},"label":"page","suppress-author":true},{"id":6749,"uris":["http://zotero.org/users/8977980/items/UVBGQNS9"],"itemData":{"id":6749,"type":"article-journal","abstract":"In this short essay, Brandzel cautions scholars as to how their scholarship might inadvertently reproduce the violent operations of citizenship. Focusing on over thirty articles from this journal that deploy Engin Isin’s framework of ‘acts of citizenship’ as an example, Brandzel points towards a troubling trend of calling practices, identities, or behaviors as an ‘act of citizenship’ without qualifying why citizenship is the appropriate framework. In the end, Brandzel appeals to citizenship studies scholars to be more selective of their uses of citizenship, and to consider focusing their work on ways to disrupt or ‘act against citizenship’.","container-title":"Citizenship Studies","DOI":"10.1080/13621025.2022.2091219","ISSN":"1362-1025","issue":"4-5","note":"_eprint: https://doi.org/10.1080/13621025.2022.2091219","page":"393-400","publisher":"Routledge","source":"Taylor and Francis+NEJM","title":"Act up against citizenship: a plea to citizenship studies","title-short":"Act up against citizenship","volume":"26","author":[{"family":"Brandzel","given":"Amy L."}],"issued":{"date-parts":[["2022",7,4]]}},"label":"page","suppress-author":true}],"schema":"https://github.com/citation-style-language/schema/raw/master/csl-citation.json"} </w:instrText>
      </w:r>
      <w:r w:rsidRPr="00662E51">
        <w:rPr>
          <w:szCs w:val="24"/>
        </w:rPr>
        <w:fldChar w:fldCharType="separate"/>
      </w:r>
      <w:r w:rsidR="00F15CF8" w:rsidRPr="00F15CF8">
        <w:t>(2016, 2022)</w:t>
      </w:r>
      <w:r w:rsidRPr="00662E51">
        <w:rPr>
          <w:szCs w:val="24"/>
        </w:rPr>
        <w:fldChar w:fldCharType="end"/>
      </w:r>
      <w:r w:rsidRPr="00662E51">
        <w:rPr>
          <w:szCs w:val="24"/>
        </w:rPr>
        <w:t xml:space="preserve">. </w:t>
      </w:r>
    </w:p>
    <w:p w14:paraId="17848CA1" w14:textId="7AC8681F" w:rsidR="007B4EA4" w:rsidRPr="00662E51" w:rsidRDefault="007B4EA4" w:rsidP="00F56305">
      <w:pPr>
        <w:spacing w:line="360" w:lineRule="auto"/>
        <w:ind w:left="0" w:firstLine="720"/>
        <w:contextualSpacing/>
        <w:rPr>
          <w:rFonts w:eastAsia="Arial"/>
          <w:szCs w:val="24"/>
        </w:rPr>
      </w:pPr>
      <w:r w:rsidRPr="00662E51">
        <w:rPr>
          <w:rFonts w:eastAsia="Arial"/>
          <w:szCs w:val="24"/>
        </w:rPr>
        <w:t xml:space="preserve">Therefore, citizenship, constantly contested and unstable, is a wide term that contains four main subsets: membership, rights, participation, and legal status. Of interest here is rights, which is further separated into social, civil, and political rights. Nevertheless, neoliberalism has refigured the definition of ‘citizen’ in crucial ways: now, good citizens are supposed to consume and act in certain, prescribed manners. Those who do not meet expectations are excluded. Excluded citizens, as considered below, are prevented from obtaining full citizenship as they are stigmatised, punished, and barred from achieving true social citizenship. One </w:t>
      </w:r>
      <w:r w:rsidRPr="00662E51">
        <w:rPr>
          <w:rFonts w:eastAsia="Arial"/>
          <w:szCs w:val="24"/>
        </w:rPr>
        <w:lastRenderedPageBreak/>
        <w:t xml:space="preserve">explanation of how groups actually obtain the label ‘citizen’ is Isin </w:t>
      </w:r>
      <w:r w:rsidRPr="00662E51">
        <w:rPr>
          <w:rFonts w:eastAsia="Arial"/>
          <w:szCs w:val="24"/>
        </w:rPr>
        <w:fldChar w:fldCharType="begin"/>
      </w:r>
      <w:r w:rsidR="00F15CF8">
        <w:rPr>
          <w:rFonts w:eastAsia="Arial"/>
          <w:szCs w:val="24"/>
        </w:rPr>
        <w:instrText xml:space="preserve"> ADDIN ZOTERO_ITEM CSL_CITATION {"citationID":"WkZsOHua","properties":{"formattedCitation":"(2008, 2009, 2017)","plainCitation":"(2008, 2009, 2017)","noteIndex":0},"citationItems":[{"id":256,"uris":["http://zotero.org/users/8977980/items/ZRWP6PIY"],"itemData":{"id":256,"type":"chapter","abstract":"Politics,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abel":"page","suppress-author":true},{"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flux","volume":"29","author":[{"family":"Isin","given":"Engin"}],"issued":{"date-parts":[["2009",12,1]]}},"label":"page","suppress-author":true},{"id":28,"uris":["http://zotero.org/users/8977980/items/6QP49N43"],"itemData":{"id":28,"type":"chapter","abstract":"This chapter outlines a perspective that broadens the conventional view of citizenship as a legal institution by expanding on its performative force. A performative perspective on citizenship as making rights claims across multiple social groups and polities reveals its creative and transformative possibilities. By focusing our attention on performative acts or on how people creatively perform citizenship and not merely follow rules, the chapter invites us to appreciate that how people perform citizenship plays an important role in contesting and constructing citizenship and in attaching meanings to rights. By highlighting that those perform citizenship are not always citizens in the conventional sense of members of a nation-state and that they do not always act in the context of democratic or Euro-American polities, the chapter illustrates how to study multiple meanings and functions of citizenship in and across multiple polities.","container-title":"The Oxford Handbook of Citizenship","DOI":"10.1093/oxfordhb/9780198805854.013.22","ISBN":"978-0-19-880585-4","language":"en","page":"499-523","publisher":"Oxford University Press","source":"DOI.org (Crossref)","title":"Performative Citizenship","URL":"http://oxfordhandbooks.com/view/10.1093/oxfordhb/9780198805854.001.0001/oxfordhb-9780198805854-e-22","editor":[{"family":"Shachar","given":"Ayelet"},{"family":"Bauböck","given":"Rainer"},{"family":"Bloemraad","given":"Irene"},{"family":"Vink","given":"Maarten"}],"author":[{"family":"Isin","given":"Engin"}],"accessed":{"date-parts":[["2022",1,18]]},"issued":{"date-parts":[["2017",8,3]]}},"label":"page","suppress-author":true}],"schema":"https://github.com/citation-style-language/schema/raw/master/csl-citation.json"} </w:instrText>
      </w:r>
      <w:r w:rsidRPr="00662E51">
        <w:rPr>
          <w:rFonts w:eastAsia="Arial"/>
          <w:szCs w:val="24"/>
        </w:rPr>
        <w:fldChar w:fldCharType="separate"/>
      </w:r>
      <w:r w:rsidR="00F15CF8" w:rsidRPr="00F15CF8">
        <w:t>(2008, 2009, 2017)</w:t>
      </w:r>
      <w:r w:rsidRPr="00662E51">
        <w:rPr>
          <w:rFonts w:eastAsia="Arial"/>
          <w:szCs w:val="24"/>
        </w:rPr>
        <w:fldChar w:fldCharType="end"/>
      </w:r>
      <w:r w:rsidRPr="00662E51">
        <w:rPr>
          <w:rFonts w:eastAsia="Arial"/>
          <w:szCs w:val="24"/>
        </w:rPr>
        <w:t>’s concept of ‘acts of citizenship.’ He theorises that groups act in ways that rupture a given order that culminate in their transformation from non-citizen to citizen, ultimately generating new social scripts through their rupturing.</w:t>
      </w:r>
    </w:p>
    <w:p w14:paraId="5313BA87" w14:textId="77777777" w:rsidR="007B4EA4" w:rsidRPr="00662E51" w:rsidRDefault="007B4EA4" w:rsidP="00F56305">
      <w:pPr>
        <w:spacing w:line="360" w:lineRule="auto"/>
        <w:ind w:left="0"/>
        <w:contextualSpacing/>
        <w:rPr>
          <w:rFonts w:eastAsia="Arial"/>
          <w:szCs w:val="24"/>
        </w:rPr>
      </w:pPr>
    </w:p>
    <w:p w14:paraId="36E7B62B" w14:textId="6067EE79" w:rsidR="007B4EA4" w:rsidRPr="00662E51" w:rsidRDefault="007B4EA4" w:rsidP="00F56305">
      <w:pPr>
        <w:pStyle w:val="Heading2"/>
        <w:rPr>
          <w:rStyle w:val="Heading3Char"/>
          <w:i w:val="0"/>
          <w:iCs w:val="0"/>
        </w:rPr>
      </w:pPr>
      <w:bookmarkStart w:id="185" w:name="_Toc213173938"/>
      <w:bookmarkStart w:id="186" w:name="_Toc216096153"/>
      <w:bookmarkStart w:id="187" w:name="_Toc221184327"/>
      <w:bookmarkStart w:id="188" w:name="_Toc231215245"/>
      <w:r w:rsidRPr="00662E51">
        <w:rPr>
          <w:rStyle w:val="Heading3Char"/>
          <w:i w:val="0"/>
          <w:iCs w:val="0"/>
        </w:rPr>
        <w:t>Conclusion</w:t>
      </w:r>
      <w:bookmarkEnd w:id="185"/>
      <w:bookmarkEnd w:id="186"/>
      <w:bookmarkEnd w:id="187"/>
      <w:r w:rsidR="004738B9">
        <w:rPr>
          <w:rStyle w:val="Heading3Char"/>
          <w:i w:val="0"/>
          <w:iCs w:val="0"/>
        </w:rPr>
        <w:t>:</w:t>
      </w:r>
      <w:bookmarkEnd w:id="188"/>
    </w:p>
    <w:p w14:paraId="72446363" w14:textId="46BC1906" w:rsidR="007B4EA4" w:rsidRPr="00662E51" w:rsidRDefault="007B4EA4" w:rsidP="00F56305">
      <w:pPr>
        <w:spacing w:line="360" w:lineRule="auto"/>
        <w:ind w:left="0"/>
        <w:rPr>
          <w:szCs w:val="24"/>
        </w:rPr>
      </w:pPr>
      <w:r w:rsidRPr="00662E51">
        <w:rPr>
          <w:szCs w:val="24"/>
        </w:rPr>
        <w:t xml:space="preserve">This chapter has presented and discussed different bodies of literature to think through authoritarian neoliberalism; the local state and the local party; and theories of citizenship. The chapter started </w:t>
      </w:r>
      <w:r w:rsidR="009148E9">
        <w:rPr>
          <w:szCs w:val="24"/>
        </w:rPr>
        <w:t xml:space="preserve">by considering </w:t>
      </w:r>
      <w:r w:rsidR="009148E9" w:rsidRPr="009148E9">
        <w:rPr>
          <w:szCs w:val="24"/>
        </w:rPr>
        <w:t>the state, emphasising its relational character. Using regulation school debates about the state, I turned to critically analysing its role in the maintenance of capitalist relations. Given the importance of the local in the maintenance of neoliberalism, it was also important to then consider the local state—in the UK, the council. Although councils have been examined extensively, less is known about how political parties influence the work of councils and councillors. My research intervenes here. Returning to the political party, I assessed how local parties work with the local state to reproduce authoritarian neoliberal logics, which I then concretised using critical perspectives of the Labour Party. In Section 3.2.3, I have called this relation the ‘state-party nexus’ to underline the tightness of connection, which I further examine in Chapter 6. Leveraging research from political science on hegemonic parties, I finally combined these threads to build background on spaces of contestation in local political parties and illiberal logics.</w:t>
      </w:r>
    </w:p>
    <w:p w14:paraId="3D9090BA" w14:textId="77777777" w:rsidR="009148E9" w:rsidRPr="00662E51" w:rsidRDefault="007B4EA4" w:rsidP="009148E9">
      <w:pPr>
        <w:spacing w:line="360" w:lineRule="auto"/>
        <w:ind w:left="0" w:firstLine="720"/>
        <w:rPr>
          <w:szCs w:val="24"/>
        </w:rPr>
      </w:pPr>
      <w:r w:rsidRPr="00662E51">
        <w:rPr>
          <w:szCs w:val="24"/>
        </w:rPr>
        <w:t xml:space="preserve">From there, I turned to </w:t>
      </w:r>
      <w:r w:rsidR="009148E9" w:rsidRPr="00662E51">
        <w:rPr>
          <w:szCs w:val="24"/>
        </w:rPr>
        <w:t xml:space="preserve">examining contemporary modes of governance, with an emphasis on analysing state actions amidst resistance to neoliberal political economy. Considering how the state engages in insulation and oppression allowed me to not only historically contextualise my research, but also to start thinking about illiberalism’s geography: that is, the relevance of the urban scale in processes of governance. A motivation of my research is to continue to develop scaled understandings of authoritarian neoliberalism, demonstrating how the local scale is key to neoliberalism’s continuing success. This review has revealed the dearth of research on the importance of party politics. Thus, one of this thesis’s </w:t>
      </w:r>
      <w:r w:rsidR="009148E9" w:rsidRPr="00662E51">
        <w:rPr>
          <w:szCs w:val="24"/>
        </w:rPr>
        <w:lastRenderedPageBreak/>
        <w:t>contentions is that scholars must pay more attention to the relationship between parties and authoritarian neoliberalism.</w:t>
      </w:r>
    </w:p>
    <w:p w14:paraId="2829F775" w14:textId="77777777" w:rsidR="007B4EA4" w:rsidRPr="00662E51" w:rsidRDefault="007B4EA4" w:rsidP="00F56305">
      <w:pPr>
        <w:spacing w:line="360" w:lineRule="auto"/>
        <w:ind w:left="0"/>
        <w:rPr>
          <w:szCs w:val="24"/>
        </w:rPr>
      </w:pPr>
      <w:r w:rsidRPr="00662E51">
        <w:rPr>
          <w:szCs w:val="24"/>
        </w:rPr>
        <w:tab/>
        <w:t xml:space="preserve">Next, I assessed theories of citizenship. I began by exploring how citizenship is related to AN, demonstrating their mutual dependence. The review then considered citizenship’s makeup and conceptual development. I link new modes of citizenship (i.e., active citizenship) back to authoritarian neoliberalism, demonstrating citizenship’s usefulness in interpreting the moral and cultural discourses of contemporary illiberalism. I conclude with discussing the acts of citizenship, which posits that full inclusion in citizenship is achieved through groups acting </w:t>
      </w:r>
      <w:r w:rsidRPr="00662E51">
        <w:rPr>
          <w:i/>
          <w:iCs/>
          <w:szCs w:val="24"/>
        </w:rPr>
        <w:t xml:space="preserve">as if </w:t>
      </w:r>
      <w:r w:rsidRPr="00662E51">
        <w:rPr>
          <w:szCs w:val="24"/>
        </w:rPr>
        <w:t xml:space="preserve">they were full citizens. Often, acts are spectacular forms of resistance like protests and sit-ins. I highlight new research that troubles this perspective by emphasising the quieter forms of resistance, termed resistance by accommodation. </w:t>
      </w:r>
    </w:p>
    <w:p w14:paraId="4EF3C36E" w14:textId="2E17477D" w:rsidR="00F93B29" w:rsidRDefault="007B4EA4" w:rsidP="00611B19">
      <w:pPr>
        <w:spacing w:line="360" w:lineRule="auto"/>
        <w:ind w:left="0" w:firstLine="720"/>
        <w:contextualSpacing/>
        <w:rPr>
          <w:szCs w:val="24"/>
        </w:rPr>
      </w:pPr>
      <w:r w:rsidRPr="00662E51">
        <w:rPr>
          <w:szCs w:val="24"/>
        </w:rPr>
        <w:t>Through the articulation of literatures from various fields and theories, this chapter has constructed a framework for the analysis of my three cases in Haringey, London. Specifically, by drawing together elements from theories of the local state, parties, authoritarian neoliberalism, and citizenship I have developed a conceptual frame for this thesis. This framework allows me to examine how the local state and the local party stifle dissent; how this relation—while strong—is not all powerful and remains open to contestation; and how groups living in illiberal times might be able to effectively resist. The next chapter outlines the methodology employed in my research. It also reflects on the research’s political and ethical dimensions. I subsequently present the three empirical chapters, which concretise this literature—illustrating how those insights break new ground in understandings of the state and resistance.</w:t>
      </w:r>
    </w:p>
    <w:p w14:paraId="4E1E487F" w14:textId="77777777" w:rsidR="00F93B29" w:rsidRDefault="00F93B29">
      <w:pPr>
        <w:rPr>
          <w:szCs w:val="24"/>
        </w:rPr>
      </w:pPr>
      <w:r>
        <w:rPr>
          <w:szCs w:val="24"/>
        </w:rPr>
        <w:br w:type="page"/>
      </w:r>
    </w:p>
    <w:p w14:paraId="52A2C3C6" w14:textId="58B7C47B" w:rsidR="000F3E6B" w:rsidRPr="00662E51" w:rsidRDefault="00900D2A" w:rsidP="00DB0DB6">
      <w:pPr>
        <w:pStyle w:val="Style1"/>
      </w:pPr>
      <w:bookmarkStart w:id="189" w:name="_Toc213173939"/>
      <w:bookmarkStart w:id="190" w:name="_Toc216096154"/>
      <w:bookmarkStart w:id="191" w:name="_Toc221184328"/>
      <w:bookmarkStart w:id="192" w:name="_Toc231215246"/>
      <w:r w:rsidRPr="00662E51">
        <w:lastRenderedPageBreak/>
        <w:t xml:space="preserve">Chapter 4: </w:t>
      </w:r>
      <w:r w:rsidR="000F3E6B" w:rsidRPr="00662E51">
        <w:t>Methodology</w:t>
      </w:r>
      <w:bookmarkEnd w:id="111"/>
      <w:bookmarkEnd w:id="189"/>
      <w:bookmarkEnd w:id="190"/>
      <w:bookmarkEnd w:id="191"/>
      <w:bookmarkEnd w:id="192"/>
    </w:p>
    <w:p w14:paraId="497A9EED" w14:textId="5635FB5C" w:rsidR="007C703B" w:rsidRPr="00662E51" w:rsidRDefault="00602567" w:rsidP="00F56305">
      <w:pPr>
        <w:spacing w:line="360" w:lineRule="auto"/>
        <w:ind w:left="0"/>
        <w:rPr>
          <w:rFonts w:cs="Arial"/>
          <w:szCs w:val="24"/>
        </w:rPr>
      </w:pPr>
      <w:bookmarkStart w:id="193" w:name="_Toc213160101"/>
      <w:bookmarkStart w:id="194" w:name="_Toc213160185"/>
      <w:bookmarkEnd w:id="193"/>
      <w:bookmarkEnd w:id="194"/>
      <w:r w:rsidRPr="00662E51">
        <w:rPr>
          <w:rFonts w:cs="Arial"/>
          <w:szCs w:val="24"/>
        </w:rPr>
        <w:t>This section lays out the methodological approach to the research. It covers the groundwork of the range of methods I employed and the making of this document. I describe in detail each of the utilised methods, explicating the kinds of data each method attempted to address. I then demonstrate how the methods fit together in Section 4.</w:t>
      </w:r>
      <w:r w:rsidR="00F94EF0" w:rsidRPr="00662E51">
        <w:rPr>
          <w:rFonts w:cs="Arial"/>
          <w:szCs w:val="24"/>
        </w:rPr>
        <w:t>1</w:t>
      </w:r>
      <w:r w:rsidRPr="00662E51">
        <w:rPr>
          <w:rFonts w:cs="Arial"/>
          <w:szCs w:val="24"/>
        </w:rPr>
        <w:t>.6, recognising the gaps, overlaps, and fragments of data inherent in qualitative research. I outline how I mixed the methods while also attending to the multiplicity of place and research. I next lay out my analytical approach, which straddled all four methods. This subsection further links together each of the methods. I conclude with a discussion of research ethics—both institutional and in my presentation of findings—as well as my positionality as a researcher and an in/outsider.</w:t>
      </w:r>
    </w:p>
    <w:p w14:paraId="167BC6CE" w14:textId="246DF8AA" w:rsidR="007C703B" w:rsidRPr="00662E51" w:rsidRDefault="007C703B" w:rsidP="00F56305">
      <w:pPr>
        <w:spacing w:line="360" w:lineRule="auto"/>
        <w:ind w:left="0" w:firstLine="720"/>
        <w:rPr>
          <w:rFonts w:cs="Arial"/>
          <w:szCs w:val="24"/>
        </w:rPr>
      </w:pPr>
      <w:r w:rsidRPr="00662E51">
        <w:rPr>
          <w:rFonts w:cs="Arial"/>
          <w:szCs w:val="24"/>
        </w:rPr>
        <w:t>The intentionally wide-ranging character of my methodological approach arises from a recognition that housing is an affectively and emotionally charged subject</w:t>
      </w:r>
      <w:r w:rsidR="00C26CA7">
        <w:rPr>
          <w:rFonts w:cs="Arial"/>
          <w:szCs w:val="24"/>
        </w:rPr>
        <w:t>,</w:t>
      </w:r>
      <w:r w:rsidR="005A63EF">
        <w:rPr>
          <w:rFonts w:cs="Arial"/>
          <w:szCs w:val="24"/>
        </w:rPr>
        <w:t xml:space="preserve"> </w:t>
      </w:r>
      <w:r w:rsidR="00815288">
        <w:rPr>
          <w:rFonts w:cs="Arial"/>
          <w:szCs w:val="24"/>
        </w:rPr>
        <w:t xml:space="preserve">so its meaning </w:t>
      </w:r>
      <w:r w:rsidR="00B553EE">
        <w:rPr>
          <w:rFonts w:cs="Arial"/>
          <w:szCs w:val="24"/>
        </w:rPr>
        <w:t xml:space="preserve">to individuals is varied. </w:t>
      </w:r>
      <w:r w:rsidRPr="00662E51">
        <w:rPr>
          <w:rFonts w:cs="Arial"/>
          <w:szCs w:val="24"/>
        </w:rPr>
        <w:t xml:space="preserve">Simultaneously, housing is a politically charged object, circulating in various spheres and ideologies </w:t>
      </w:r>
      <w:r w:rsidRPr="00662E51">
        <w:rPr>
          <w:rFonts w:cs="Arial"/>
          <w:szCs w:val="24"/>
        </w:rPr>
        <w:fldChar w:fldCharType="begin"/>
      </w:r>
      <w:r w:rsidR="008835AB" w:rsidRPr="00662E51">
        <w:rPr>
          <w:rFonts w:cs="Arial"/>
          <w:szCs w:val="24"/>
        </w:rPr>
        <w:instrText xml:space="preserve"> ADDIN ZOTERO_ITEM CSL_CITATION {"citationID":"BMH44ity","properties":{"formattedCitation":"(Nowicki 2023)","plainCitation":"(Nowicki 2023)","noteIndex":0},"citationItems":[{"id":6156,"uris":["http://zotero.org/users/8977980/items/UWQ6HL6V"],"itemData":{"id":6156,"type":"book","DOI":"10.51952/9781447361886","ISBN":"978-1-4473-6188-6","publisher":"Policy Press","source":"DOI.org (Crossref)","title":"Bringing Home the Housing Crisis: Politics, Precarity and Domicide in Austerity London","title-short":"Bringing Home the Housing Crisis","URL":"https://bristoluniversitypressdigital.com/view/book/9781447361886/9781447361886.xml","author":[{"family":"Nowicki","given":"Mel"}],"accessed":{"date-parts":[["2024",12,4]]},"issued":{"date-parts":[["2023",4,27]]}}}],"schema":"https://github.com/citation-style-language/schema/raw/master/csl-citation.json"} </w:instrText>
      </w:r>
      <w:r w:rsidRPr="00662E51">
        <w:rPr>
          <w:rFonts w:cs="Arial"/>
          <w:szCs w:val="24"/>
        </w:rPr>
        <w:fldChar w:fldCharType="separate"/>
      </w:r>
      <w:r w:rsidR="0095662D" w:rsidRPr="00662E51">
        <w:t>(Nowicki 2023)</w:t>
      </w:r>
      <w:r w:rsidRPr="00662E51">
        <w:rPr>
          <w:rFonts w:cs="Arial"/>
          <w:szCs w:val="24"/>
        </w:rPr>
        <w:fldChar w:fldCharType="end"/>
      </w:r>
      <w:r w:rsidRPr="00662E51">
        <w:rPr>
          <w:rFonts w:cs="Arial"/>
          <w:szCs w:val="24"/>
        </w:rPr>
        <w:t xml:space="preserve">. It also comes from an acknowledgement that my interests themselves were broad, covering housing, activism, politics, etc. Combining a disparate set of methods meant attending to the fragments </w:t>
      </w:r>
      <w:r w:rsidRPr="00662E51">
        <w:rPr>
          <w:rFonts w:cs="Arial"/>
          <w:szCs w:val="24"/>
        </w:rPr>
        <w:fldChar w:fldCharType="begin"/>
      </w:r>
      <w:r w:rsidRPr="00662E51">
        <w:rPr>
          <w:rFonts w:cs="Arial"/>
          <w:szCs w:val="24"/>
        </w:rPr>
        <w:instrText xml:space="preserve"> ADDIN ZOTERO_ITEM CSL_CITATION {"citationID":"825qdcRd","properties":{"formattedCitation":"(McFarlane 2018)","plainCitation":"(McFarlane 2018)","noteIndex":0},"citationItems":[{"id":87,"uris":["http://zotero.org/users/8977980/items/AA327SLC"],"itemData":{"id":87,"type":"article-journal","abstract":"Fragmentation is a keyword in the history of critical urban thought. Yet the products of fragmentation – the fragments themselves – tend to receive less attention. In this paper, I develop a politics of urban fragments as a contribution to debates both in urban theory and in urban poverty and inequality. I examine inadequate and broken material fragments on the economic margins of the urban global South, and ask how they become differently politicized in cities. I develop a three-fold framework for understanding the politics of fragments: attending to, generative translation and surveying wholes. I build these arguments through a focus on a fundamental provision – urban sanitation – drawing on research in Mumbai in particular, as well as Cape Town, and connecting those instances to research on urban poverty, politics and fragmentation.","container-title":"Environment and Planning D: Society and Space","DOI":"10.1177/0263775818777496","ISSN":"0263-7758, 1472-3433","issue":"6","journalAbbreviation":"Environ Plan D","language":"en","page":"1007-1025","source":"DOI.org (Crossref)","title":"Fragment urbanism: Politics at the margins of the city","title-short":"Fragment urbanism","volume":"36","author":[{"family":"McFarlane","given":"Colin"}],"issued":{"date-parts":[["2018",12]]}}}],"schema":"https://github.com/citation-style-language/schema/raw/master/csl-citation.json"} </w:instrText>
      </w:r>
      <w:r w:rsidRPr="00662E51">
        <w:rPr>
          <w:rFonts w:cs="Arial"/>
          <w:szCs w:val="24"/>
        </w:rPr>
        <w:fldChar w:fldCharType="separate"/>
      </w:r>
      <w:r w:rsidR="0095662D" w:rsidRPr="00662E51">
        <w:t>(McFarlane 2018)</w:t>
      </w:r>
      <w:r w:rsidRPr="00662E51">
        <w:rPr>
          <w:rFonts w:cs="Arial"/>
          <w:szCs w:val="24"/>
        </w:rPr>
        <w:fldChar w:fldCharType="end"/>
      </w:r>
      <w:r w:rsidRPr="00662E51">
        <w:rPr>
          <w:rFonts w:cs="Arial"/>
          <w:szCs w:val="24"/>
        </w:rPr>
        <w:t xml:space="preserve">, gaps and subsequent collage </w:t>
      </w:r>
      <w:r w:rsidRPr="00662E51">
        <w:rPr>
          <w:rFonts w:cs="Arial"/>
          <w:szCs w:val="24"/>
        </w:rPr>
        <w:fldChar w:fldCharType="begin"/>
      </w:r>
      <w:r w:rsidR="008835AB" w:rsidRPr="00662E51">
        <w:rPr>
          <w:rFonts w:cs="Arial"/>
          <w:szCs w:val="24"/>
        </w:rPr>
        <w:instrText xml:space="preserve"> ADDIN ZOTERO_ITEM CSL_CITATION {"citationID":"MWJDJYqx","properties":{"formattedCitation":"(C. Freeman 2020)","plainCitation":"(C. Freeman 2020)","noteIndex":0},"citationItems":[{"id":6225,"uris":["http://zotero.org/users/8977980/items/3RFVPE2P"],"itemData":{"id":6225,"type":"article-journal","abstract":"Triangulation is increasingly being seen as a concept that has lost clarity and become too broad to be of use. A new language is required to explain how and why researchers bring together multiple perspectives to study phenomena. By drawing on my own research experiences I propose ‘collage’ as a framework for using multiple methods in geography. This framework differs from triangulation in two important ways: firstly, it brings multiple methods together to elucidate a broad research area rather than a precise one, and secondly, it allows for greater spontaneity and the shifting of the frame of research. This paper explains how multiple methods can be used to gather fragments of knowledge on a topic that, when pieced together, can create a more complex understanding of the wider research area. A focus on this process emphasizes the role of the researcher in putting the pieces together.","container-title":"Geografiska Annaler: Series B, Human Geography","DOI":"10.1080/04353684.2020.1807383","ISSN":"0435-3684","issue":"4","note":"_eprint: https://doi.org/10.1080/04353684.2020.1807383","page":"328-340","publisher":"Routledge","source":"Taylor and Francis+NEJM","title":"Multiple methods beyond triangulation: collage as a methodological framework in geography","title-short":"Multiple methods beyond triangulation","volume":"102","author":[{"family":"Freeman","given":"Cordelia"}],"issued":{"date-parts":[["2020",10,1]]}}}],"schema":"https://github.com/citation-style-language/schema/raw/master/csl-citation.json"} </w:instrText>
      </w:r>
      <w:r w:rsidRPr="00662E51">
        <w:rPr>
          <w:rFonts w:cs="Arial"/>
          <w:szCs w:val="24"/>
        </w:rPr>
        <w:fldChar w:fldCharType="separate"/>
      </w:r>
      <w:r w:rsidR="0095662D" w:rsidRPr="00662E51">
        <w:t>(C. Freeman 2020)</w:t>
      </w:r>
      <w:r w:rsidRPr="00662E51">
        <w:rPr>
          <w:rFonts w:cs="Arial"/>
          <w:szCs w:val="24"/>
        </w:rPr>
        <w:fldChar w:fldCharType="end"/>
      </w:r>
      <w:r w:rsidRPr="00662E51">
        <w:rPr>
          <w:rFonts w:cs="Arial"/>
          <w:szCs w:val="24"/>
        </w:rPr>
        <w:t xml:space="preserve">, and hybridity </w:t>
      </w:r>
      <w:r w:rsidRPr="00662E51">
        <w:rPr>
          <w:rFonts w:cs="Arial"/>
          <w:szCs w:val="24"/>
        </w:rPr>
        <w:fldChar w:fldCharType="begin"/>
      </w:r>
      <w:r w:rsidR="008835AB" w:rsidRPr="00662E51">
        <w:rPr>
          <w:rFonts w:cs="Arial"/>
          <w:szCs w:val="24"/>
        </w:rPr>
        <w:instrText xml:space="preserve"> ADDIN ZOTERO_ITEM CSL_CITATION {"citationID":"rA4NW5x8","properties":{"formattedCitation":"(Watkins 2020)","plainCitation":"(Watkins 2020)","noteIndex":0},"citationItems":[{"id":6228,"uris":["http://zotero.org/users/8977980/items/BE388CW9"],"itemData":{"id":6228,"type":"article-journal","abstract":"This paper outlines an adaptable concept of hybridity to frame and facilitate fieldwork, research, and writing. It combines geographical theories of place and methodology to propose a hybrid approach to mixed-method research. Hybrid field-work iterates and mixes multiple methods for imagining and co-conducting research in and with places. Reflections on the author’s fieldwork in Northeast Brazil illustrate the approach.","container-title":"Geographical Review","DOI":"10.1111/gere.12353","ISSN":"0016-7428","issue":"1-2","note":"_eprint: https://doi.org/10.1111/gere.12353","page":"8-22","publisher":"Routledge","source":"Taylor and Francis+NEJM","title":"The Field and the Work: Hybridity as Mantra and Method","title-short":"The Field and the Work","volume":"110","author":[{"family":"Watkins","given":"Case"}],"issued":{"date-parts":[["2020",1,2]]}}}],"schema":"https://github.com/citation-style-language/schema/raw/master/csl-citation.json"} </w:instrText>
      </w:r>
      <w:r w:rsidRPr="00662E51">
        <w:rPr>
          <w:rFonts w:cs="Arial"/>
          <w:szCs w:val="24"/>
        </w:rPr>
        <w:fldChar w:fldCharType="separate"/>
      </w:r>
      <w:r w:rsidR="0095662D" w:rsidRPr="00662E51">
        <w:t>(Watkins 2020)</w:t>
      </w:r>
      <w:r w:rsidRPr="00662E51">
        <w:rPr>
          <w:rFonts w:cs="Arial"/>
          <w:szCs w:val="24"/>
        </w:rPr>
        <w:fldChar w:fldCharType="end"/>
      </w:r>
      <w:r w:rsidRPr="00662E51">
        <w:rPr>
          <w:rFonts w:cs="Arial"/>
          <w:szCs w:val="24"/>
        </w:rPr>
        <w:t xml:space="preserve"> inherent in social science research. Woven through this section is also a process of unlearning my own biases as a former state actor. Learning to trust the instincts and viewpoints of a diverse set of actors was as much as an inquiry into my own development as it was of this thesis’s three case studies </w:t>
      </w:r>
      <w:r w:rsidRPr="00662E51">
        <w:rPr>
          <w:rFonts w:cs="Arial"/>
          <w:szCs w:val="24"/>
        </w:rPr>
        <w:fldChar w:fldCharType="begin"/>
      </w:r>
      <w:r w:rsidR="008835AB" w:rsidRPr="00662E51">
        <w:rPr>
          <w:rFonts w:cs="Arial"/>
          <w:szCs w:val="24"/>
        </w:rPr>
        <w:instrText xml:space="preserve"> ADDIN ZOTERO_ITEM CSL_CITATION {"citationID":"7KgK6SYC","properties":{"formattedCitation":"(Herbert 2000)","plainCitation":"(Herbert 2000)","noteIndex":0},"citationItems":[{"id":6986,"uris":["http://zotero.org/users/8977980/items/3STQA325"],"itemData":{"id":6986,"type":"article-journal","abstract":"Ethnography is an underused methodology in geography. This neglect is especially injurious to the discipline because ethnography provides unreplicable insight into the processes and meanings that sustain and motivate social groups. These processes and meanings vary across space, and are central to the construction and transformation of landscapes; they are both place-bound and place-making. Ethnography's potential contribution to geography is thus profound. The aversion to ethnography may derive from three major criticisms frequently directed toward it: that it is unscientific; that it is too limited to enable generalization; and that it fails to consider its inherent representational practices. Considered responses to these critiques, however, restore ethnography's significance for geographic study.","container-title":"Progress in Human Geography","DOI":"10.1191/030913200100189102","ISSN":"0309-1325","issue":"4","language":"EN","page":"550-568","publisher":"SAGE Publications Ltd","source":"SAGE Journals","title":"For ethnography","volume":"24","author":[{"family":"Herbert","given":"Steve"}],"issued":{"date-parts":[["2000",12,1]]}}}],"schema":"https://github.com/citation-style-language/schema/raw/master/csl-citation.json"} </w:instrText>
      </w:r>
      <w:r w:rsidRPr="00662E51">
        <w:rPr>
          <w:rFonts w:cs="Arial"/>
          <w:szCs w:val="24"/>
        </w:rPr>
        <w:fldChar w:fldCharType="separate"/>
      </w:r>
      <w:r w:rsidR="0095662D" w:rsidRPr="00662E51">
        <w:t>(Herbert 2000)</w:t>
      </w:r>
      <w:r w:rsidRPr="00662E51">
        <w:rPr>
          <w:rFonts w:cs="Arial"/>
          <w:szCs w:val="24"/>
        </w:rPr>
        <w:fldChar w:fldCharType="end"/>
      </w:r>
      <w:r w:rsidRPr="00662E51">
        <w:rPr>
          <w:rFonts w:cs="Arial"/>
          <w:szCs w:val="24"/>
        </w:rPr>
        <w:t xml:space="preserve">. As Haraway </w:t>
      </w:r>
      <w:r w:rsidRPr="00662E51">
        <w:rPr>
          <w:rFonts w:cs="Arial"/>
          <w:szCs w:val="24"/>
        </w:rPr>
        <w:fldChar w:fldCharType="begin"/>
      </w:r>
      <w:r w:rsidR="008835AB" w:rsidRPr="00662E51">
        <w:rPr>
          <w:rFonts w:cs="Arial"/>
          <w:szCs w:val="24"/>
        </w:rPr>
        <w:instrText xml:space="preserve"> ADDIN ZOTERO_ITEM CSL_CITATION {"citationID":"ohlp3Npz","properties":{"formattedCitation":"(1988)","plainCitation":"(1988)","noteIndex":0},"citationItems":[{"id":6234,"uris":["http://zotero.org/users/8977980/items/GLXAL335"],"itemData":{"id":6234,"type":"article-journal","container-title":"Feminist Studies","DOI":"10.2307/3178066","ISSN":"0046-3663","issue":"3","page":"575-599","publisher":"Feminist Studies, Inc.","source":"JSTOR","title":"Situated Knowledges: The Science Question in Feminism and the Privilege of Partial Perspective","title-short":"Situated Knowledges","volume":"14","author":[{"family":"Haraway","given":"Donna"}],"issued":{"date-parts":[["1988"]]}},"suppress-author":true}],"schema":"https://github.com/citation-style-language/schema/raw/master/csl-citation.json"} </w:instrText>
      </w:r>
      <w:r w:rsidRPr="00662E51">
        <w:rPr>
          <w:rFonts w:cs="Arial"/>
          <w:szCs w:val="24"/>
        </w:rPr>
        <w:fldChar w:fldCharType="separate"/>
      </w:r>
      <w:r w:rsidR="0095662D" w:rsidRPr="00662E51">
        <w:t>(1988)</w:t>
      </w:r>
      <w:r w:rsidRPr="00662E51">
        <w:rPr>
          <w:rFonts w:cs="Arial"/>
          <w:szCs w:val="24"/>
        </w:rPr>
        <w:fldChar w:fldCharType="end"/>
      </w:r>
      <w:r w:rsidRPr="00662E51">
        <w:rPr>
          <w:rFonts w:cs="Arial"/>
          <w:szCs w:val="24"/>
        </w:rPr>
        <w:t xml:space="preserve"> reminds us, knowledge is not neutral. By approaching inquiry with flexibility and openness, I worked to ensure that the produced knowledge reflects its situatedness but also to draw attention to the very politics that undergird the research. </w:t>
      </w:r>
    </w:p>
    <w:p w14:paraId="338AF385" w14:textId="77777777" w:rsidR="007C703B" w:rsidRPr="00662E51" w:rsidRDefault="007C703B" w:rsidP="00F56305">
      <w:pPr>
        <w:spacing w:line="360" w:lineRule="auto"/>
        <w:ind w:left="0"/>
        <w:rPr>
          <w:rFonts w:cs="Arial"/>
          <w:szCs w:val="24"/>
        </w:rPr>
      </w:pPr>
    </w:p>
    <w:p w14:paraId="28416D4B" w14:textId="77777777" w:rsidR="006C0B0C" w:rsidRPr="00662E51" w:rsidRDefault="006C0B0C" w:rsidP="00F56305">
      <w:pPr>
        <w:pStyle w:val="ListParagraph"/>
        <w:keepNext/>
        <w:keepLines/>
        <w:numPr>
          <w:ilvl w:val="0"/>
          <w:numId w:val="5"/>
        </w:numPr>
        <w:spacing w:line="360" w:lineRule="auto"/>
        <w:contextualSpacing w:val="0"/>
        <w:outlineLvl w:val="1"/>
        <w:rPr>
          <w:rFonts w:eastAsiaTheme="majorEastAsia" w:cstheme="majorBidi"/>
          <w:vanish/>
          <w:u w:val="single"/>
          <w:lang w:eastAsia="en-US"/>
        </w:rPr>
      </w:pPr>
      <w:bookmarkStart w:id="195" w:name="_Toc213170661"/>
      <w:bookmarkStart w:id="196" w:name="_Toc213173940"/>
      <w:bookmarkStart w:id="197" w:name="_Toc216095968"/>
      <w:bookmarkStart w:id="198" w:name="_Toc216096072"/>
      <w:bookmarkStart w:id="199" w:name="_Toc216096155"/>
      <w:bookmarkStart w:id="200" w:name="_Toc216875723"/>
      <w:bookmarkStart w:id="201" w:name="_Toc216875827"/>
      <w:bookmarkStart w:id="202" w:name="_Toc216876604"/>
      <w:bookmarkStart w:id="203" w:name="_Toc216877771"/>
      <w:bookmarkStart w:id="204" w:name="_Toc216878160"/>
      <w:bookmarkStart w:id="205" w:name="_Toc216878511"/>
      <w:bookmarkStart w:id="206" w:name="_Toc216959818"/>
      <w:bookmarkStart w:id="207" w:name="_Toc216960682"/>
      <w:bookmarkStart w:id="208" w:name="_Toc216968021"/>
      <w:bookmarkStart w:id="209" w:name="_Toc216968282"/>
      <w:bookmarkStart w:id="210" w:name="_Toc216968424"/>
      <w:bookmarkStart w:id="211" w:name="_Toc216970096"/>
      <w:bookmarkStart w:id="212" w:name="_Toc216985740"/>
      <w:bookmarkStart w:id="213" w:name="_Toc216985857"/>
      <w:bookmarkStart w:id="214" w:name="_Toc216985974"/>
      <w:bookmarkStart w:id="215" w:name="_Toc216986091"/>
      <w:bookmarkStart w:id="216" w:name="_Toc216986208"/>
      <w:bookmarkStart w:id="217" w:name="_Toc217295428"/>
      <w:bookmarkStart w:id="218" w:name="_Toc220791050"/>
      <w:bookmarkStart w:id="219" w:name="_Toc220922381"/>
      <w:bookmarkStart w:id="220" w:name="_Toc221112502"/>
      <w:bookmarkStart w:id="221" w:name="_Toc221184329"/>
      <w:bookmarkStart w:id="222" w:name="_Toc221195239"/>
      <w:bookmarkStart w:id="223" w:name="_Toc221786823"/>
      <w:bookmarkStart w:id="224" w:name="_Toc208328782"/>
      <w:bookmarkStart w:id="225" w:name="_Toc231215247"/>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5"/>
    </w:p>
    <w:p w14:paraId="2B26D99D" w14:textId="502789A3" w:rsidR="000F3E6B" w:rsidRPr="00662E51" w:rsidRDefault="000F3E6B" w:rsidP="008C7DAE">
      <w:pPr>
        <w:pStyle w:val="Heading2"/>
      </w:pPr>
      <w:bookmarkStart w:id="226" w:name="_Toc213173941"/>
      <w:bookmarkStart w:id="227" w:name="_Toc216096156"/>
      <w:bookmarkStart w:id="228" w:name="_Toc221184330"/>
      <w:bookmarkStart w:id="229" w:name="_Toc231215248"/>
      <w:r w:rsidRPr="00662E51">
        <w:t>Methods</w:t>
      </w:r>
      <w:bookmarkEnd w:id="224"/>
      <w:bookmarkEnd w:id="226"/>
      <w:bookmarkEnd w:id="227"/>
      <w:bookmarkEnd w:id="228"/>
      <w:r w:rsidR="00BC44B5">
        <w:t>:</w:t>
      </w:r>
      <w:bookmarkEnd w:id="229"/>
    </w:p>
    <w:p w14:paraId="0C773162" w14:textId="120E783D" w:rsidR="000F3E6B" w:rsidRPr="00662E51" w:rsidRDefault="000F3E6B" w:rsidP="00F56305">
      <w:pPr>
        <w:pStyle w:val="Heading3"/>
      </w:pPr>
      <w:bookmarkStart w:id="230" w:name="_Toc208328783"/>
      <w:bookmarkStart w:id="231" w:name="_Toc213173942"/>
      <w:bookmarkStart w:id="232" w:name="_Toc221184331"/>
      <w:bookmarkStart w:id="233" w:name="_Toc231215249"/>
      <w:r w:rsidRPr="00662E51">
        <w:t>Casting the Net</w:t>
      </w:r>
      <w:bookmarkEnd w:id="230"/>
      <w:bookmarkEnd w:id="231"/>
      <w:bookmarkEnd w:id="232"/>
      <w:r w:rsidR="00BC44B5">
        <w:t>:</w:t>
      </w:r>
      <w:bookmarkEnd w:id="233"/>
    </w:p>
    <w:p w14:paraId="0A477809" w14:textId="08DD998C" w:rsidR="0086512C" w:rsidRPr="00662E51" w:rsidRDefault="0086512C" w:rsidP="00951141">
      <w:pPr>
        <w:spacing w:line="360" w:lineRule="auto"/>
        <w:ind w:left="0" w:firstLine="720"/>
        <w:rPr>
          <w:rFonts w:cs="Arial"/>
          <w:szCs w:val="24"/>
        </w:rPr>
      </w:pPr>
      <w:r w:rsidRPr="00662E51">
        <w:rPr>
          <w:rFonts w:cs="Arial"/>
          <w:szCs w:val="24"/>
        </w:rPr>
        <w:t xml:space="preserve">My PhD proposal began as a look into the Haringey Development Vehicle and claims to citizenship within the StopHDV movement. I intended to uncover how such claims were made, understood, and responded to by a wide range of actors (including but not limited to councillors, activists, lay residents, and council staff). As part of my graduate studies, I completed a master’s degree. </w:t>
      </w:r>
      <w:r w:rsidR="004B3A51" w:rsidRPr="00662E51">
        <w:rPr>
          <w:rFonts w:cs="Arial"/>
          <w:szCs w:val="24"/>
        </w:rPr>
        <w:t xml:space="preserve">I used the master’s dissertation as a case study </w:t>
      </w:r>
      <w:r w:rsidR="004B3A51" w:rsidRPr="00662E51">
        <w:rPr>
          <w:rFonts w:cs="Arial"/>
          <w:szCs w:val="24"/>
        </w:rPr>
        <w:fldChar w:fldCharType="begin"/>
      </w:r>
      <w:r w:rsidR="008835AB" w:rsidRPr="00662E51">
        <w:rPr>
          <w:rFonts w:cs="Arial"/>
          <w:szCs w:val="24"/>
        </w:rPr>
        <w:instrText xml:space="preserve"> ADDIN ZOTERO_ITEM CSL_CITATION {"citationID":"gOdXACOM","properties":{"formattedCitation":"(Cousin 2005)","plainCitation":"(Cousin 2005)","noteIndex":0},"citationItems":[{"id":6559,"uris":["http://zotero.org/users/8977980/items/CJYKF48J"],"itemData":{"id":6559,"type":"article-journal","abstract":"Case study research aims to explore and depict a setting with a view to advancing understanding. This note explores the dimensions of case study research in higher education, with special reference to geographical fieldwork. It explores Stake's three categories of case study research: intrinsic, instrumental and collective. It provides guidelines concerning the limits and definitions of case study research, the provision of ‘thick descriptions’, the formulation of good research questions, data collection, analysis and the search for meaning in case study research findings. Case study research has the capacity to ‘sophisticate the beholding’ of the settings and activities that are scrutinized.","container-title":"Journal of Geography in Higher Education","DOI":"10.1080/03098260500290967","ISSN":"0309-8265","issue":"3","note":"_eprint: https://doi.org/10.1080/03098260500290967","page":"421-427","publisher":"Routledge","source":"Taylor and Francis+NEJM","title":"Case Study Research","volume":"29","author":[{"family":"Cousin","given":"Glynis"}],"issued":{"date-parts":[["2005",11,1]]}}}],"schema":"https://github.com/citation-style-language/schema/raw/master/csl-citation.json"} </w:instrText>
      </w:r>
      <w:r w:rsidR="004B3A51" w:rsidRPr="00662E51">
        <w:rPr>
          <w:rFonts w:cs="Arial"/>
          <w:szCs w:val="24"/>
        </w:rPr>
        <w:fldChar w:fldCharType="separate"/>
      </w:r>
      <w:r w:rsidR="004B3A51" w:rsidRPr="00662E51">
        <w:rPr>
          <w:szCs w:val="24"/>
        </w:rPr>
        <w:t>(Cousin 2005)</w:t>
      </w:r>
      <w:r w:rsidR="004B3A51" w:rsidRPr="00662E51">
        <w:rPr>
          <w:rFonts w:cs="Arial"/>
          <w:szCs w:val="24"/>
        </w:rPr>
        <w:fldChar w:fldCharType="end"/>
      </w:r>
      <w:r w:rsidR="004B3A51" w:rsidRPr="00662E51">
        <w:rPr>
          <w:rFonts w:cs="Arial"/>
          <w:szCs w:val="24"/>
        </w:rPr>
        <w:t>, in which I conducted a document analysis of two core documents of the Vehicle. This exercise was intended to pull out key themes, actors, and interests that were associated with the Vehicle—as well as guide the doctoral research.</w:t>
      </w:r>
    </w:p>
    <w:p w14:paraId="63B51A43" w14:textId="17768386" w:rsidR="006C46F8" w:rsidRPr="00662E51" w:rsidRDefault="006C46F8" w:rsidP="00951141">
      <w:pPr>
        <w:spacing w:line="360" w:lineRule="auto"/>
        <w:ind w:left="0" w:firstLine="720"/>
        <w:rPr>
          <w:rFonts w:cs="Arial"/>
          <w:szCs w:val="24"/>
        </w:rPr>
      </w:pPr>
      <w:r w:rsidRPr="00662E51">
        <w:rPr>
          <w:rFonts w:cs="Arial"/>
          <w:szCs w:val="24"/>
        </w:rPr>
        <w:t xml:space="preserve">It was during this brief </w:t>
      </w:r>
      <w:r w:rsidR="00C15F7E">
        <w:rPr>
          <w:rFonts w:cs="Arial"/>
          <w:szCs w:val="24"/>
        </w:rPr>
        <w:t xml:space="preserve">study </w:t>
      </w:r>
      <w:r w:rsidRPr="00662E51">
        <w:rPr>
          <w:rFonts w:cs="Arial"/>
          <w:szCs w:val="24"/>
        </w:rPr>
        <w:t xml:space="preserve">that I stumbled upon the Broadwater Farm Youth Association. The estate’s historical significance as both a site of Black resistance to policing </w:t>
      </w:r>
      <w:r w:rsidRPr="00662E51">
        <w:rPr>
          <w:rFonts w:cs="Arial"/>
          <w:szCs w:val="24"/>
        </w:rPr>
        <w:fldChar w:fldCharType="begin"/>
      </w:r>
      <w:r w:rsidR="008835AB" w:rsidRPr="00662E51">
        <w:rPr>
          <w:rFonts w:cs="Arial"/>
          <w:szCs w:val="24"/>
        </w:rPr>
        <w:instrText xml:space="preserve"> ADDIN ZOTERO_ITEM CSL_CITATION {"citationID":"s7wDth0l","properties":{"formattedCitation":"(Elliott-Cooper 2021)","plainCitation":"(Elliott-Cooper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schema":"https://github.com/citation-style-language/schema/raw/master/csl-citation.json"} </w:instrText>
      </w:r>
      <w:r w:rsidRPr="00662E51">
        <w:rPr>
          <w:rFonts w:cs="Arial"/>
          <w:szCs w:val="24"/>
        </w:rPr>
        <w:fldChar w:fldCharType="separate"/>
      </w:r>
      <w:r w:rsidRPr="00662E51">
        <w:rPr>
          <w:szCs w:val="24"/>
        </w:rPr>
        <w:t>(Elliott-Cooper 2021)</w:t>
      </w:r>
      <w:r w:rsidRPr="00662E51">
        <w:rPr>
          <w:rFonts w:cs="Arial"/>
          <w:szCs w:val="24"/>
        </w:rPr>
        <w:fldChar w:fldCharType="end"/>
      </w:r>
      <w:r w:rsidRPr="00662E51">
        <w:rPr>
          <w:rFonts w:cs="Arial"/>
          <w:szCs w:val="24"/>
        </w:rPr>
        <w:t xml:space="preserve"> and as a “sink estate”</w:t>
      </w:r>
      <w:r w:rsidR="00CE1789" w:rsidRPr="00662E51">
        <w:rPr>
          <w:rFonts w:cs="Arial"/>
          <w:szCs w:val="24"/>
        </w:rPr>
        <w:t xml:space="preserve"> </w:t>
      </w:r>
      <w:r w:rsidR="00CE1789" w:rsidRPr="00662E51">
        <w:rPr>
          <w:rFonts w:cs="Arial"/>
          <w:szCs w:val="24"/>
        </w:rPr>
        <w:fldChar w:fldCharType="begin"/>
      </w:r>
      <w:r w:rsidR="001B2CAA">
        <w:rPr>
          <w:rFonts w:cs="Arial"/>
          <w:szCs w:val="24"/>
        </w:rPr>
        <w:instrText xml:space="preserve"> ADDIN ZOTERO_ITEM CSL_CITATION {"citationID":"k58bd22F","properties":{"formattedCitation":"(Slater 2018b)","plainCitation":"(Slater 2018b)","noteIndex":0},"citationItems":[{"id":"n0Saldgp/lTrFgxr9","uris":["http://zotero.org/users/8977980/items/G54SJBAX"],"itemData":{"id":"x5AkqsWl/bZKzqmQg","type":"article-journal","abstract":"This article explores the history and traces the realisation of a category that was invented by journalists, amplified by free market think tanks and converted into policy doxa (common sense) by politicians in the United Kingdom: the ‘sink estate’. This derogatory designator, signifying social housing estates that supposedly create poverty, family breakdown, worklessness, welfare dependency, antisocial behaviour and personal irresponsibility, has become the symbolic frame justifying current policies towards social housing that have resulted in considerable social suffering and intensified dislocation. The article deploys a conceptual articulation of agnotology (the intentional production of ignorance) with Bourdieu’s theory of symbolic power to understand the institutional arrangements and cognitive systems structuring deeply unequal social relations. Specifically, the highly influential publications on housing by a free market think tank, Policy Exchange, are dissected in order to demonstrate how the activation of territorial stigma has become an instrument of urban politics. The ‘sink estate’, it is argued, is the semantic battering ram in the ideological assault on social housing, deflecting attention away from social housing not only as urgent necessity during a serious crisis of affordability, but as incubator of community, solidarity, shelter and home.","container-title":"The Sociological Review","DOI":"10.1177/0038026118777451","ISSN":"0038-0261","issue":"4","journalAbbreviation":"The Sociological Review","language":"en","note":"publisher: SAGE Publications Ltd","page":"877-897","source":"SAGE Journals","title":"The invention of the ‘sink estate’: Consequential categorisation and the UK housing crisis","title-short":"The invention of the ‘sink estate’","volume":"66","author":[{"family":"Slater","given":"Tom"}],"issued":{"date-parts":[["2018",7,1]]}}}],"schema":"https://github.com/citation-style-language/schema/raw/master/csl-citation.json"} </w:instrText>
      </w:r>
      <w:r w:rsidR="00CE1789" w:rsidRPr="00662E51">
        <w:rPr>
          <w:rFonts w:cs="Arial"/>
          <w:szCs w:val="24"/>
        </w:rPr>
        <w:fldChar w:fldCharType="separate"/>
      </w:r>
      <w:r w:rsidR="00CE1789" w:rsidRPr="00662E51">
        <w:t>(Slater 2018b)</w:t>
      </w:r>
      <w:r w:rsidR="00CE1789" w:rsidRPr="00662E51">
        <w:rPr>
          <w:rFonts w:cs="Arial"/>
          <w:szCs w:val="24"/>
        </w:rPr>
        <w:fldChar w:fldCharType="end"/>
      </w:r>
      <w:r w:rsidRPr="00662E51">
        <w:rPr>
          <w:rFonts w:cs="Arial"/>
          <w:szCs w:val="24"/>
        </w:rPr>
        <w:t xml:space="preserve"> sparked my curiosity. Its striking architecture and historical import suggested the estate held onto important stories. It is a space and place unlike any other in Haringey. Preliminary desk research led me to the Association. As Lorimer </w:t>
      </w:r>
      <w:r w:rsidRPr="00662E51">
        <w:rPr>
          <w:rFonts w:cs="Arial"/>
          <w:szCs w:val="24"/>
        </w:rPr>
        <w:fldChar w:fldCharType="begin"/>
      </w:r>
      <w:r w:rsidR="008835AB" w:rsidRPr="00662E51">
        <w:rPr>
          <w:rFonts w:cs="Arial"/>
          <w:szCs w:val="24"/>
        </w:rPr>
        <w:instrText xml:space="preserve"> ADDIN ZOTERO_ITEM CSL_CITATION {"citationID":"FXandluO","properties":{"formattedCitation":"(2010, 257)","plainCitation":"(2010, 257)","noteIndex":0},"citationItems":[{"id":4043,"uris":["http://zotero.org/users/8977980/items/ETKPZBCR"],"itemData":{"id":4043,"type":"chapter","container-title":"The SAGE handbook of qualitative geography","edition":"1st edition.","ISBN":"978-1-5264-8508-3","language":"eng","publisher":"SAGE Publications, Inc.","publisher-place":"Los Angeles, CA","source":"discover.durham.ac.uk","title":"Caught in the Nick of Time: Archives and Fieldwork","editor":[{"family":"DeLyser","given":"Dydia"},{"family":"Herbert","given":"Steve"},{"family":"Aitken","given":"Stuart"},{"family":"Crang","given":"Mike"},{"family":"McDowell","given":"Linda"}],"author":[{"family":"Lorimer","given":"Hayden"}],"issued":{"date-parts":[["2010"]]}},"locator":"257","label":"page","suppress-author":true}],"schema":"https://github.com/citation-style-language/schema/raw/master/csl-citation.json"} </w:instrText>
      </w:r>
      <w:r w:rsidRPr="00662E51">
        <w:rPr>
          <w:rFonts w:cs="Arial"/>
          <w:szCs w:val="24"/>
        </w:rPr>
        <w:fldChar w:fldCharType="separate"/>
      </w:r>
      <w:r w:rsidRPr="00662E51">
        <w:rPr>
          <w:szCs w:val="24"/>
        </w:rPr>
        <w:t>(2010, 257)</w:t>
      </w:r>
      <w:r w:rsidRPr="00662E51">
        <w:rPr>
          <w:rFonts w:cs="Arial"/>
          <w:szCs w:val="24"/>
        </w:rPr>
        <w:fldChar w:fldCharType="end"/>
      </w:r>
      <w:r w:rsidRPr="00662E51">
        <w:rPr>
          <w:rFonts w:cs="Arial"/>
          <w:szCs w:val="24"/>
        </w:rPr>
        <w:t xml:space="preserve"> observes, diving into the archive can spark a “yearning to pay a visit in person to </w:t>
      </w:r>
      <w:r w:rsidRPr="00662E51">
        <w:rPr>
          <w:rFonts w:cs="Arial"/>
          <w:i/>
          <w:iCs/>
          <w:szCs w:val="24"/>
        </w:rPr>
        <w:t>that</w:t>
      </w:r>
      <w:r w:rsidRPr="00662E51">
        <w:rPr>
          <w:rFonts w:cs="Arial"/>
          <w:szCs w:val="24"/>
        </w:rPr>
        <w:t xml:space="preserve"> place” of research, something I felt. When I came to Tottenham for the first time, I realised I needed to visit the estate. The initial walking visit of Broadwater Farm inspired many questions: Why are all the (few) shops closed? Why is it hemmed in by a park on one side and two schools on the other? Why are there no ground floor flats—but no way of walking between block’s upper floors? What is the story of all the huge, beautiful murals? Although such curiosity is a sensation that is not new to researchers </w:t>
      </w:r>
      <w:r w:rsidRPr="00662E51">
        <w:rPr>
          <w:rFonts w:cs="Arial"/>
          <w:szCs w:val="24"/>
        </w:rPr>
        <w:fldChar w:fldCharType="begin"/>
      </w:r>
      <w:r w:rsidR="008835AB" w:rsidRPr="00662E51">
        <w:rPr>
          <w:rFonts w:cs="Arial"/>
          <w:szCs w:val="24"/>
        </w:rPr>
        <w:instrText xml:space="preserve"> ADDIN ZOTERO_ITEM CSL_CITATION {"citationID":"dITu5RiB","properties":{"formattedCitation":"(e.g., Nassar 2018)","plainCitation":"(e.g., Nassar 2018)","noteIndex":0},"citationItems":[{"id":6336,"uris":["http://zotero.org/users/8977980/items/8PV86LGQ"],"itemData":{"id":6336,"type":"article-journal","container-title":"Contemporary Social Science","DOI":"10.1080/21582041.2017.1418521","ISSN":"2158-2041","issue":"3-4","page":"412-428","publisher":"RSA Website","source":"tandfonline.com (Atypon)","title":"Where the dust settles: fieldwork, subjectivity and materiality in Cairo","title-short":"Where the dust settles","volume":"13","author":[{"family":"Nassar","given":"Aya"}],"issued":{"date-parts":[["2018",10,2]]}},"label":"page","prefix":"e.g., "}],"schema":"https://github.com/citation-style-language/schema/raw/master/csl-citation.json"} </w:instrText>
      </w:r>
      <w:r w:rsidRPr="00662E51">
        <w:rPr>
          <w:rFonts w:cs="Arial"/>
          <w:szCs w:val="24"/>
        </w:rPr>
        <w:fldChar w:fldCharType="separate"/>
      </w:r>
      <w:r w:rsidRPr="00662E51">
        <w:rPr>
          <w:szCs w:val="24"/>
        </w:rPr>
        <w:t>(e.g., Nassar 2018)</w:t>
      </w:r>
      <w:r w:rsidRPr="00662E51">
        <w:rPr>
          <w:rFonts w:cs="Arial"/>
          <w:szCs w:val="24"/>
        </w:rPr>
        <w:fldChar w:fldCharType="end"/>
      </w:r>
      <w:r w:rsidRPr="00662E51">
        <w:rPr>
          <w:rFonts w:cs="Arial"/>
          <w:szCs w:val="24"/>
        </w:rPr>
        <w:t xml:space="preserve">, I call attention to its significance in contrast to more rigid methods like triangulation (see Section </w:t>
      </w:r>
      <w:r w:rsidR="00951141" w:rsidRPr="00662E51">
        <w:rPr>
          <w:rFonts w:cs="Arial"/>
          <w:szCs w:val="24"/>
        </w:rPr>
        <w:t>4.2</w:t>
      </w:r>
      <w:r w:rsidRPr="00662E51">
        <w:rPr>
          <w:rFonts w:cs="Arial"/>
          <w:szCs w:val="24"/>
        </w:rPr>
        <w:t xml:space="preserve">), which tend to focus in rather than broaden out. As such, the embodied experience of the estate’s scale was important to developing my interest in Broadwater Farm. This visit prompted me to “shift my frame of research in an ad hoc way,” as the BFYA was initially meant to be a short aside </w:t>
      </w:r>
      <w:r w:rsidRPr="00662E51">
        <w:rPr>
          <w:rFonts w:cs="Arial"/>
          <w:szCs w:val="24"/>
        </w:rPr>
        <w:fldChar w:fldCharType="begin"/>
      </w:r>
      <w:r w:rsidR="008835AB" w:rsidRPr="00662E51">
        <w:rPr>
          <w:rFonts w:cs="Arial"/>
          <w:szCs w:val="24"/>
        </w:rPr>
        <w:instrText xml:space="preserve"> ADDIN ZOTERO_ITEM CSL_CITATION {"citationID":"p7Qrywdd","properties":{"formattedCitation":"(C. Freeman 2020, 333)","plainCitation":"(C. Freeman 2020, 333)","noteIndex":0},"citationItems":[{"id":6225,"uris":["http://zotero.org/users/8977980/items/3RFVPE2P"],"itemData":{"id":6225,"type":"article-journal","abstract":"Triangulation is increasingly being seen as a concept that has lost clarity and become too broad to be of use. A new language is required to explain how and why researchers bring together multiple perspectives to study phenomena. By drawing on my own research experiences I propose ‘collage’ as a framework for using multiple methods in geography. This framework differs from triangulation in two important ways: firstly, it brings multiple methods together to elucidate a broad research area rather than a precise one, and secondly, it allows for greater spontaneity and the shifting of the frame of research. This paper explains how multiple methods can be used to gather fragments of knowledge on a topic that, when pieced together, can create a more complex understanding of the wider research area. A focus on this process emphasizes the role of the researcher in putting the pieces together.","container-title":"Geografiska Annaler: Series B, Human Geography","DOI":"10.1080/04353684.2020.1807383","ISSN":"0435-3684","issue":"4","note":"_eprint: https://doi.org/10.1080/04353684.2020.1807383","page":"328-340","publisher":"Routledge","source":"Taylor and Francis+NEJM","title":"Multiple methods beyond triangulation: collage as a methodological framework in geography","title-short":"Multiple methods beyond triangulation","volume":"102","author":[{"family":"Freeman","given":"Cordelia"}],"issued":{"date-parts":[["2020",10,1]]}},"locator":"333"}],"schema":"https://github.com/citation-style-language/schema/raw/master/csl-citation.json"} </w:instrText>
      </w:r>
      <w:r w:rsidRPr="00662E51">
        <w:rPr>
          <w:rFonts w:cs="Arial"/>
          <w:szCs w:val="24"/>
        </w:rPr>
        <w:fldChar w:fldCharType="separate"/>
      </w:r>
      <w:r w:rsidR="00951141" w:rsidRPr="00662E51">
        <w:t>(C. Freeman 2020, 333)</w:t>
      </w:r>
      <w:r w:rsidRPr="00662E51">
        <w:rPr>
          <w:rFonts w:cs="Arial"/>
          <w:szCs w:val="24"/>
        </w:rPr>
        <w:fldChar w:fldCharType="end"/>
      </w:r>
      <w:r w:rsidRPr="00662E51">
        <w:rPr>
          <w:rFonts w:cs="Arial"/>
          <w:szCs w:val="24"/>
        </w:rPr>
        <w:t xml:space="preserve">. </w:t>
      </w:r>
    </w:p>
    <w:p w14:paraId="2746FC91" w14:textId="33F49447" w:rsidR="00715629" w:rsidRPr="00662E51" w:rsidRDefault="00715629" w:rsidP="00715629">
      <w:pPr>
        <w:spacing w:line="360" w:lineRule="auto"/>
        <w:ind w:left="0" w:firstLine="720"/>
        <w:rPr>
          <w:rFonts w:cs="Arial"/>
          <w:szCs w:val="24"/>
        </w:rPr>
      </w:pPr>
      <w:r w:rsidRPr="00662E51">
        <w:rPr>
          <w:rFonts w:cs="Arial"/>
          <w:szCs w:val="24"/>
        </w:rPr>
        <w:t xml:space="preserve">Having conducted this initial research, I then began a period of “casting [the] net,” with the aim of making connections with activists, (past and current) </w:t>
      </w:r>
      <w:r w:rsidRPr="00662E51">
        <w:rPr>
          <w:rFonts w:cs="Arial"/>
          <w:szCs w:val="24"/>
        </w:rPr>
        <w:lastRenderedPageBreak/>
        <w:t xml:space="preserve">councillors, and other community leaders </w:t>
      </w:r>
      <w:r w:rsidRPr="00662E51">
        <w:rPr>
          <w:rFonts w:cs="Arial"/>
          <w:szCs w:val="24"/>
        </w:rPr>
        <w:fldChar w:fldCharType="begin"/>
      </w:r>
      <w:r w:rsidR="008835AB" w:rsidRPr="00662E51">
        <w:rPr>
          <w:rFonts w:cs="Arial"/>
          <w:szCs w:val="24"/>
        </w:rPr>
        <w:instrText xml:space="preserve"> ADDIN ZOTERO_ITEM CSL_CITATION {"citationID":"veA6yWjl","properties":{"formattedCitation":"(Crang and Cook 2007)","plainCitation":"(Crang and Cook 2007)","noteIndex":0},"citationItems":[{"id":4039,"uris":["http://zotero.org/users/8977980/items/FA68N5RM"],"itemData":{"id":4039,"type":"book","abstract":"&lt;p&gt;Doing Ethnographies is an introductory and applied guide to ethnographic methods. It focuses on those methods - participant observation, interviewing, focus","DOI":"10.4135/9781849208949","ISBN":"978-1-84920-894-9","language":"en","publisher":"SAGE Publications Ltd","source":"methods.sagepub.com","title":"Doing Ethnographies","URL":"https://methods.sagepub.com/book/doing-ethnographies","author":[{"family":"Crang","given":"Mike"},{"family":"Cook","given":"Ian"}],"accessed":{"date-parts":[["2023",3,17]]},"issued":{"date-parts":[["2007"]]}}}],"schema":"https://github.com/citation-style-language/schema/raw/master/csl-citation.json"} </w:instrText>
      </w:r>
      <w:r w:rsidRPr="00662E51">
        <w:rPr>
          <w:rFonts w:cs="Arial"/>
          <w:szCs w:val="24"/>
        </w:rPr>
        <w:fldChar w:fldCharType="separate"/>
      </w:r>
      <w:r w:rsidRPr="00662E51">
        <w:rPr>
          <w:rFonts w:cs="Arial"/>
          <w:szCs w:val="24"/>
        </w:rPr>
        <w:t>(Crang and Cook 2007)</w:t>
      </w:r>
      <w:r w:rsidRPr="00662E51">
        <w:rPr>
          <w:rFonts w:cs="Arial"/>
          <w:szCs w:val="24"/>
        </w:rPr>
        <w:fldChar w:fldCharType="end"/>
      </w:r>
      <w:r w:rsidRPr="00662E51">
        <w:rPr>
          <w:rFonts w:cs="Arial"/>
          <w:szCs w:val="24"/>
        </w:rPr>
        <w:t xml:space="preserve">. I contacted several academics and journalists who had done similar work in Haringey, with the aim of having informal conversations and developing a list of contacts. Having built these seeds for my later snowballing </w:t>
      </w:r>
      <w:r w:rsidRPr="00662E51">
        <w:rPr>
          <w:rFonts w:cs="Arial"/>
          <w:szCs w:val="24"/>
        </w:rPr>
        <w:fldChar w:fldCharType="begin"/>
      </w:r>
      <w:r w:rsidR="008835AB" w:rsidRPr="00662E51">
        <w:rPr>
          <w:rFonts w:cs="Arial"/>
          <w:szCs w:val="24"/>
        </w:rPr>
        <w:instrText xml:space="preserve"> ADDIN ZOTERO_ITEM CSL_CITATION {"citationID":"8gzFCzsW","properties":{"formattedCitation":"(Parker et al. 2020)","plainCitation":"(Parker et al. 2020)","noteIndex":0},"citationItems":[{"id":6534,"uris":["http://zotero.org/users/8977980/items/27U9KL7P"],"itemData":{"id":6534,"type":"chapter","container-title":"SAGE Research Methods Foundations","DOI":"10.4135/9781526421036831710","ISBN":"978-1-5264-2103-6","publisher":"SAGE Publications Ltd","publisher-place":"1 Oliver's Yard, 55 City Road, London EC1Y 1SP United Kingdom","source":"DOI.org (Crossref)","title":"Snowball Sampling","URL":"https://methods.sagepub.com/foundations/snowball-sampling","author":[{"family":"Parker","given":"Charlie"},{"family":"Scott","given":"Sam"},{"family":"Geddes","given":"Alistair"}],"accessed":{"date-parts":[["2025",6,10]]},"issued":{"date-parts":[["2020"]]}}}],"schema":"https://github.com/citation-style-language/schema/raw/master/csl-citation.json"} </w:instrText>
      </w:r>
      <w:r w:rsidRPr="00662E51">
        <w:rPr>
          <w:rFonts w:cs="Arial"/>
          <w:szCs w:val="24"/>
        </w:rPr>
        <w:fldChar w:fldCharType="separate"/>
      </w:r>
      <w:r w:rsidRPr="00662E51">
        <w:rPr>
          <w:rFonts w:cs="Arial"/>
          <w:szCs w:val="24"/>
        </w:rPr>
        <w:t>(Parker et al. 2020)</w:t>
      </w:r>
      <w:r w:rsidRPr="00662E51">
        <w:rPr>
          <w:rFonts w:cs="Arial"/>
          <w:szCs w:val="24"/>
        </w:rPr>
        <w:fldChar w:fldCharType="end"/>
      </w:r>
      <w:r w:rsidRPr="00662E51">
        <w:rPr>
          <w:rFonts w:cs="Arial"/>
          <w:szCs w:val="24"/>
        </w:rPr>
        <w:t xml:space="preserve">, I committed to spending three months at the start of my field research to familiarising myself with Tottenham (August to December 2024). On the suggestion of one contact, I began contributing at a foodbank based in Northumberland Park. Though this started as a way of meeting new contacts and integrating myself into the area, I continued to volunteer between once and twice a week for the research year (August 2024-2025). Through this experience, I built a deeper knowledge of Tottenham’s daily flows of life—and developed strong connections with activists. These connections then reinforced and legitimised my presence in the area </w:t>
      </w:r>
      <w:r w:rsidRPr="00662E51">
        <w:rPr>
          <w:rFonts w:cs="Arial"/>
          <w:szCs w:val="24"/>
        </w:rPr>
        <w:fldChar w:fldCharType="begin"/>
      </w:r>
      <w:r w:rsidRPr="00662E51">
        <w:rPr>
          <w:rFonts w:cs="Arial"/>
          <w:szCs w:val="24"/>
        </w:rPr>
        <w:instrText xml:space="preserve"> ADDIN ZOTERO_ITEM CSL_CITATION {"citationID":"xEDqIOpq","properties":{"formattedCitation":"(Jordan and Moser 2020)","plainCitation":"(Jordan and Moser 2020)","noteIndex":0},"citationItems":[{"id":6982,"uris":["http://zotero.org/users/8977980/items/AQKVH956"],"itemData":{"id":6982,"type":"article-journal","abstract":"The changing geographies of irregular migration require new methodological approaches and modes of researcher engagement. In and around Europe, migrants are increasingly residing in unconventional, dynamic, and diverse spaces such as informal transit camps. Along the Balkan Route, these temporary, makeshift encampments are emerging as a result of the EU’s crackdown on border controls, tightening restrictions on asylum legislation and aid provision, and increasingly long, difficult, and fragmented migratory journeys. Across cities, border-zones, and at strategic transit hubs, immobilised migrants have established informal transit camps where they may temporarily reside and access services, information, and smugglers before their next clandestine attempt to cross into the EU. Due to transit state policies that effectively ignore these transit camps and ban larger NGOs from operating there, the majority of services and humanitarian aid is provided by small, grassroots organisations and unpaid volunteers. The proliferation of informal transit camps, and the particular social constellations of actors who reside and operate in these spaces, call for further scholarly attention. In this paper, we reflect on the challenges and opportunities of taking on a role as a volunteer while conducting research among migrants in informal transit camps. By considering the acute conditions of informality, vulnerability, and precariousness, this paper illustrates how volunteering in this context is a way of gaining access to the site, establishing rapport and legitimacy, and fostering reciprocity among migrant subjects. Drawing from fieldwork along the Balkan Route as a volunteer-researcher, this paper examines methodology, best practices, positionality, and the ethical benefits and limitations of highly participatory, engagement-driven research in informal transit camps at Europe's periphery.","container-title":"Area","DOI":"10.1111/area.12614","ISSN":"1475-4762","issue":"3","language":"en","note":"_eprint: https://rgs-ibg.onlinelibrary.wiley.com/doi/pdf/10.1111/area.12614","page":"566-574","source":"Wiley Online Library","title":"Researching migrants in informal transit camps along the Balkan Route: Reflections on volunteer activism, access, and reciprocity","title-short":"Researching migrants in informal transit camps along the Balkan Route","volume":"52","author":[{"family":"Jordan","given":"Joanna"},{"family":"Moser","given":"Sarah"}],"issued":{"date-parts":[["2020"]]}}}],"schema":"https://github.com/citation-style-language/schema/raw/master/csl-citation.json"} </w:instrText>
      </w:r>
      <w:r w:rsidRPr="00662E51">
        <w:rPr>
          <w:rFonts w:cs="Arial"/>
          <w:szCs w:val="24"/>
        </w:rPr>
        <w:fldChar w:fldCharType="separate"/>
      </w:r>
      <w:r w:rsidRPr="00662E51">
        <w:rPr>
          <w:rFonts w:cs="Arial"/>
          <w:szCs w:val="24"/>
        </w:rPr>
        <w:t>(Jordan and Moser 2020)</w:t>
      </w:r>
      <w:r w:rsidRPr="00662E51">
        <w:rPr>
          <w:rFonts w:cs="Arial"/>
          <w:szCs w:val="24"/>
        </w:rPr>
        <w:fldChar w:fldCharType="end"/>
      </w:r>
      <w:r w:rsidRPr="00662E51">
        <w:rPr>
          <w:rFonts w:cs="Arial"/>
          <w:szCs w:val="24"/>
        </w:rPr>
        <w:t>. Importantly, I discovered that the Haringey Development Vehicle had receded in the minds of activists. Although the risk of regeneration continues, this specific scheme became less relevant. As such, though my research frame would eventually shift after a first round of interviews—</w:t>
      </w:r>
      <w:r w:rsidR="001D0C17">
        <w:rPr>
          <w:rFonts w:cs="Arial"/>
          <w:szCs w:val="24"/>
        </w:rPr>
        <w:t>comparably</w:t>
      </w:r>
      <w:r w:rsidRPr="00662E51">
        <w:rPr>
          <w:rFonts w:cs="Arial"/>
          <w:szCs w:val="24"/>
        </w:rPr>
        <w:t xml:space="preserve"> to C</w:t>
      </w:r>
      <w:r w:rsidR="001A3E3B">
        <w:rPr>
          <w:rFonts w:cs="Arial"/>
          <w:szCs w:val="24"/>
        </w:rPr>
        <w:t>ordelia</w:t>
      </w:r>
      <w:r w:rsidRPr="00662E51">
        <w:rPr>
          <w:rFonts w:cs="Arial"/>
          <w:szCs w:val="24"/>
        </w:rPr>
        <w:t xml:space="preserve"> Freeman’s </w:t>
      </w:r>
      <w:r w:rsidRPr="00662E51">
        <w:rPr>
          <w:rFonts w:cs="Arial"/>
          <w:szCs w:val="24"/>
        </w:rPr>
        <w:fldChar w:fldCharType="begin"/>
      </w:r>
      <w:r w:rsidR="008835AB" w:rsidRPr="00662E51">
        <w:rPr>
          <w:rFonts w:cs="Arial"/>
          <w:szCs w:val="24"/>
        </w:rPr>
        <w:instrText xml:space="preserve"> ADDIN ZOTERO_ITEM CSL_CITATION {"citationID":"q61sUra4","properties":{"formattedCitation":"(2020)","plainCitation":"(2020)","noteIndex":0},"citationItems":[{"id":6225,"uris":["http://zotero.org/users/8977980/items/3RFVPE2P"],"itemData":{"id":6225,"type":"article-journal","abstract":"Triangulation is increasingly being seen as a concept that has lost clarity and become too broad to be of use. A new language is required to explain how and why researchers bring together multiple perspectives to study phenomena. By drawing on my own research experiences I propose ‘collage’ as a framework for using multiple methods in geography. This framework differs from triangulation in two important ways: firstly, it brings multiple methods together to elucidate a broad research area rather than a precise one, and secondly, it allows for greater spontaneity and the shifting of the frame of research. This paper explains how multiple methods can be used to gather fragments of knowledge on a topic that, when pieced together, can create a more complex understanding of the wider research area. A focus on this process emphasizes the role of the researcher in putting the pieces together.","container-title":"Geografiska Annaler: Series B, Human Geography","DOI":"10.1080/04353684.2020.1807383","ISSN":"0435-3684","issue":"4","note":"_eprint: https://doi.org/10.1080/04353684.2020.1807383","page":"328-340","publisher":"Routledge","source":"Taylor and Francis+NEJM","title":"Multiple methods beyond triangulation: collage as a methodological framework in geography","title-short":"Multiple methods beyond triangulation","volume":"102","author":[{"family":"Freeman","given":"Cordelia"}],"issued":{"date-parts":[["2020",10,1]]}},"label":"page","suppress-author":true}],"schema":"https://github.com/citation-style-language/schema/raw/master/csl-citation.json"} </w:instrText>
      </w:r>
      <w:r w:rsidRPr="00662E51">
        <w:rPr>
          <w:rFonts w:cs="Arial"/>
          <w:szCs w:val="24"/>
        </w:rPr>
        <w:fldChar w:fldCharType="separate"/>
      </w:r>
      <w:r w:rsidRPr="00662E51">
        <w:rPr>
          <w:rFonts w:cs="Arial"/>
          <w:szCs w:val="24"/>
        </w:rPr>
        <w:t>(2020)</w:t>
      </w:r>
      <w:r w:rsidRPr="00662E51">
        <w:rPr>
          <w:rFonts w:cs="Arial"/>
          <w:szCs w:val="24"/>
        </w:rPr>
        <w:fldChar w:fldCharType="end"/>
      </w:r>
      <w:r w:rsidRPr="00662E51">
        <w:rPr>
          <w:rFonts w:cs="Arial"/>
          <w:szCs w:val="24"/>
        </w:rPr>
        <w:t xml:space="preserve"> experience—this ‘casting the net’ was vital to, and necessary for, the shape of the research </w:t>
      </w:r>
      <w:r w:rsidRPr="00662E51">
        <w:rPr>
          <w:rFonts w:cs="Arial"/>
          <w:szCs w:val="24"/>
        </w:rPr>
        <w:fldChar w:fldCharType="begin"/>
      </w:r>
      <w:r w:rsidR="008835AB" w:rsidRPr="00662E51">
        <w:rPr>
          <w:rFonts w:cs="Arial"/>
          <w:szCs w:val="24"/>
        </w:rPr>
        <w:instrText xml:space="preserve"> ADDIN ZOTERO_ITEM CSL_CITATION {"citationID":"tkB2jwAG","properties":{"formattedCitation":"(Crang and Cook 2007)","plainCitation":"(Crang and Cook 2007)","noteIndex":0},"citationItems":[{"id":4039,"uris":["http://zotero.org/users/8977980/items/FA68N5RM"],"itemData":{"id":4039,"type":"book","abstract":"&lt;p&gt;Doing Ethnographies is an introductory and applied guide to ethnographic methods. It focuses on those methods - participant observation, interviewing, focus","DOI":"10.4135/9781849208949","ISBN":"978-1-84920-894-9","language":"en","publisher":"SAGE Publications Ltd","source":"methods.sagepub.com","title":"Doing Ethnographies","URL":"https://methods.sagepub.com/book/doing-ethnographies","author":[{"family":"Crang","given":"Mike"},{"family":"Cook","given":"Ian"}],"accessed":{"date-parts":[["2023",3,17]]},"issued":{"date-parts":[["2007"]]}}}],"schema":"https://github.com/citation-style-language/schema/raw/master/csl-citation.json"} </w:instrText>
      </w:r>
      <w:r w:rsidRPr="00662E51">
        <w:rPr>
          <w:rFonts w:cs="Arial"/>
          <w:szCs w:val="24"/>
        </w:rPr>
        <w:fldChar w:fldCharType="separate"/>
      </w:r>
      <w:r w:rsidRPr="00662E51">
        <w:rPr>
          <w:rFonts w:cs="Arial"/>
          <w:szCs w:val="24"/>
        </w:rPr>
        <w:t>(Crang and Cook 2007)</w:t>
      </w:r>
      <w:r w:rsidRPr="00662E51">
        <w:rPr>
          <w:rFonts w:cs="Arial"/>
          <w:szCs w:val="24"/>
        </w:rPr>
        <w:fldChar w:fldCharType="end"/>
      </w:r>
      <w:r w:rsidRPr="00662E51">
        <w:rPr>
          <w:rFonts w:cs="Arial"/>
          <w:szCs w:val="24"/>
        </w:rPr>
        <w:t xml:space="preserve">. The following sections built on these first impressions of Haringey, and so the remaining methods explain my approach from this point on.  </w:t>
      </w:r>
    </w:p>
    <w:p w14:paraId="53A5BD37" w14:textId="77777777" w:rsidR="0086512C" w:rsidRPr="00662E51" w:rsidRDefault="0086512C" w:rsidP="00F56305">
      <w:pPr>
        <w:spacing w:line="360" w:lineRule="auto"/>
        <w:rPr>
          <w:rFonts w:cs="Arial"/>
          <w:szCs w:val="24"/>
        </w:rPr>
      </w:pPr>
    </w:p>
    <w:p w14:paraId="7991A6FD" w14:textId="17D80503" w:rsidR="000F3E6B" w:rsidRPr="00662E51" w:rsidRDefault="000F3E6B" w:rsidP="00F56305">
      <w:pPr>
        <w:pStyle w:val="Heading3"/>
      </w:pPr>
      <w:bookmarkStart w:id="234" w:name="_Toc208328784"/>
      <w:bookmarkStart w:id="235" w:name="_Toc213173943"/>
      <w:bookmarkStart w:id="236" w:name="_Toc221184332"/>
      <w:bookmarkStart w:id="237" w:name="_Toc231215250"/>
      <w:r w:rsidRPr="00662E51">
        <w:t>Document Analysis</w:t>
      </w:r>
      <w:bookmarkEnd w:id="234"/>
      <w:bookmarkEnd w:id="235"/>
      <w:bookmarkEnd w:id="236"/>
      <w:r w:rsidR="00BC44B5">
        <w:t>:</w:t>
      </w:r>
      <w:bookmarkEnd w:id="237"/>
    </w:p>
    <w:p w14:paraId="548803BF" w14:textId="6CB1FE31" w:rsidR="00A56C35" w:rsidRPr="00662E51" w:rsidRDefault="00A56C35" w:rsidP="00A56C35">
      <w:pPr>
        <w:spacing w:line="360" w:lineRule="auto"/>
        <w:ind w:left="0" w:firstLine="720"/>
        <w:rPr>
          <w:rFonts w:cs="Arial"/>
          <w:szCs w:val="24"/>
        </w:rPr>
      </w:pPr>
      <w:r w:rsidRPr="00662E51">
        <w:rPr>
          <w:rFonts w:cs="Arial"/>
          <w:szCs w:val="24"/>
        </w:rPr>
        <w:t xml:space="preserve">I conducted a systematic investigation of key documents across both the Haringey Development Vehicle and High Road West schemes as a starting point for this research and as following on from my master’s research. This method aimed to uncover the political and economic logics of regeneration, reveal the evidentiary base for the two schemes, and see Tottenham through the eyes of the state </w:t>
      </w:r>
      <w:r w:rsidRPr="00662E51">
        <w:rPr>
          <w:rFonts w:cs="Arial"/>
          <w:szCs w:val="24"/>
        </w:rPr>
        <w:fldChar w:fldCharType="begin"/>
      </w:r>
      <w:r w:rsidR="00213B80">
        <w:rPr>
          <w:rFonts w:cs="Arial"/>
          <w:szCs w:val="24"/>
        </w:rPr>
        <w:instrText xml:space="preserve"> ADDIN ZOTERO_ITEM CSL_CITATION {"citationID":"8uGh1ZLk","properties":{"formattedCitation":"(J. C. Scott 2020)","plainCitation":"(J. C. Scott 2020)","noteIndex":0},"citationItems":[{"id":6572,"uris":["http://zotero.org/groups/4816685/items/VTQZ5I9E"],"itemData":{"id":6572,"type":"book","collection-title":"Veritas Paperbacks Ser","ISBN":"978-0-300-24675-9","language":"eng","number-of-pages":"1","publisher":"Yale University Press","publisher-place":"New Haven","source":"K10plus ISBN","title":"Seeing like a state: how certain schemes to improve the human condition have failed","title-short":"Seeing like a state","author":[{"family":"Scott","given":"James C."}],"issued":{"date-parts":[["2020"]]}}}],"schema":"https://github.com/citation-style-language/schema/raw/master/csl-citation.json"} </w:instrText>
      </w:r>
      <w:r w:rsidRPr="00662E51">
        <w:rPr>
          <w:rFonts w:cs="Arial"/>
          <w:szCs w:val="24"/>
        </w:rPr>
        <w:fldChar w:fldCharType="separate"/>
      </w:r>
      <w:r w:rsidR="00213B80" w:rsidRPr="00213B80">
        <w:t>(J. C. Scott 2020)</w:t>
      </w:r>
      <w:r w:rsidRPr="00662E51">
        <w:rPr>
          <w:rFonts w:cs="Arial"/>
          <w:szCs w:val="24"/>
        </w:rPr>
        <w:fldChar w:fldCharType="end"/>
      </w:r>
      <w:r w:rsidRPr="00662E51">
        <w:rPr>
          <w:rFonts w:cs="Arial"/>
          <w:szCs w:val="24"/>
        </w:rPr>
        <w:t xml:space="preserve">. </w:t>
      </w:r>
      <w:r w:rsidR="00384B0D">
        <w:rPr>
          <w:rFonts w:cs="Arial"/>
          <w:szCs w:val="24"/>
        </w:rPr>
        <w:t xml:space="preserve">These documents spoke specifically to Research Questions 2 and 3, with a focus </w:t>
      </w:r>
      <w:r w:rsidR="002021C1">
        <w:rPr>
          <w:rFonts w:cs="Arial"/>
          <w:szCs w:val="24"/>
        </w:rPr>
        <w:t>on Haringey Borough and its specific</w:t>
      </w:r>
      <w:r w:rsidR="00690096">
        <w:rPr>
          <w:rFonts w:cs="Arial"/>
          <w:szCs w:val="24"/>
        </w:rPr>
        <w:t xml:space="preserve"> policies. </w:t>
      </w:r>
      <w:r w:rsidRPr="00662E51">
        <w:rPr>
          <w:rFonts w:cs="Arial"/>
          <w:szCs w:val="24"/>
        </w:rPr>
        <w:t xml:space="preserve">I read 31 documents from both schemes by critically reading them (see Appendix A for a complete list), attempting to uncover both the literal meaning of the texts but also the hidden and implied meaning across the two schemes of interest </w:t>
      </w:r>
      <w:r w:rsidRPr="00662E51">
        <w:rPr>
          <w:rFonts w:cs="Arial"/>
          <w:szCs w:val="24"/>
        </w:rPr>
        <w:fldChar w:fldCharType="begin"/>
      </w:r>
      <w:r w:rsidR="008835AB" w:rsidRPr="00662E51">
        <w:rPr>
          <w:rFonts w:cs="Arial"/>
          <w:szCs w:val="24"/>
        </w:rPr>
        <w:instrText xml:space="preserve"> ADDIN ZOTERO_ITEM CSL_CITATION {"citationID":"jYzr0lHy","properties":{"formattedCitation":"(Dittmer 2010)","plainCitation":"(Dittmer 2010)","noteIndex":0},"citationItems":[{"id":6578,"uris":["http://zotero.org/users/8977980/items/JJRPMIRM"],"itemData":{"id":6578,"type":"chapter","abstract":"&lt;p&gt;Exploring the dynamic growth, change, and complexity of qualitative research in human geography, The SAGE Handbook of Qualitative Geography brings together l","container-title":"The SAGE Handbook of Qualitative Geography","DOI":"10.4135/9780857021090","ISBN":"978-0-85702-109-0","language":"en","page":"274-286","publisher":"SAGE Publications, Inc.","source":"methods-sagepub-com.ezphost.dur.ac.uk","title":"Textual and Discourse Analysis","URL":"https://methods-sagepub-com.ezphost.dur.ac.uk/hnbk/edvol/the-sage-handbook-of-qualitative-geography-srm/chpt/15-textual-discourse-analysis","editor":[{"family":"DeLyser","given":"Dydia"},{"family":"Herbert","given":"Steve"},{"family":"Aitken","given":"Stuart"},{"family":"Crang","given":"Mike"},{"family":"McDowell","given":"Linda"}],"author":[{"family":"Dittmer","given":"Jason"}],"accessed":{"date-parts":[["2025",6,19]]},"issued":{"date-parts":[["2010"]]}}}],"schema":"https://github.com/citation-style-language/schema/raw/master/csl-citation.json"} </w:instrText>
      </w:r>
      <w:r w:rsidRPr="00662E51">
        <w:rPr>
          <w:rFonts w:cs="Arial"/>
          <w:szCs w:val="24"/>
        </w:rPr>
        <w:fldChar w:fldCharType="separate"/>
      </w:r>
      <w:r w:rsidRPr="00662E51">
        <w:rPr>
          <w:rFonts w:cs="Arial"/>
          <w:szCs w:val="24"/>
        </w:rPr>
        <w:t xml:space="preserve">(Dittmer </w:t>
      </w:r>
      <w:r w:rsidRPr="00662E51">
        <w:rPr>
          <w:rFonts w:cs="Arial"/>
          <w:szCs w:val="24"/>
        </w:rPr>
        <w:lastRenderedPageBreak/>
        <w:t>2010)</w:t>
      </w:r>
      <w:r w:rsidRPr="00662E51">
        <w:rPr>
          <w:rFonts w:cs="Arial"/>
          <w:szCs w:val="24"/>
        </w:rPr>
        <w:fldChar w:fldCharType="end"/>
      </w:r>
      <w:r w:rsidRPr="00662E51">
        <w:rPr>
          <w:rFonts w:cs="Arial"/>
          <w:szCs w:val="24"/>
        </w:rPr>
        <w:t xml:space="preserve">. This entailed selecting the documents from Haringey Council’s website and search engines, using key words like “Haringey Development Vehicle.” I then read them from start to finish twice: once to check their relevance and second to code. When documents referred to each other, I noted this down and made sure to cross-check the two documents to identify their relationship. This was then noted in NVivo, a computer-assisted qualitative data analysis software </w:t>
      </w:r>
      <w:r w:rsidRPr="00662E51">
        <w:rPr>
          <w:rFonts w:cs="Arial"/>
          <w:szCs w:val="24"/>
        </w:rPr>
        <w:fldChar w:fldCharType="begin"/>
      </w:r>
      <w:r w:rsidRPr="00662E51">
        <w:rPr>
          <w:rFonts w:cs="Arial"/>
          <w:szCs w:val="24"/>
        </w:rPr>
        <w:instrText xml:space="preserve"> ADDIN ZOTERO_ITEM CSL_CITATION {"citationID":"HQeNdQY9","properties":{"formattedCitation":"(Welsh 2002)","plainCitation":"(Welsh 2002)","noteIndex":0},"citationItems":[{"id":6600,"uris":["http://zotero.org/users/8977980/items/TSH56AYC"],"itemData":{"id":6600,"type":"article-journal","abstract":"Dieser Aufsatz behandelt die Art und Weise, wie eine QDA-Software – hier Nvivo – im qualitativen Analyseprozess eingesetzt werden kann. Computerunterstützte qualitative Datenanalysesoftware (CAQDAS) wird als ein Werkzeug beschrieben, das Forschende in ihrer Suche nach einer akkuraten und transparenten Repräsentation der Daten unterstützt, während zur gleichen Zeit ein Audit des Analyseprozess als Ganzes ermöglicht wird – etwas, was oft in Darstellungen des qualitativen Datenanalyseprozesses fehlt. In diesem Beitrag vergleiche ich manuelle Methoden der qualitativen Datenanalyse von Interviewtranskripten mit der Anwendung von Nvivo für den Auswertungsprozess. Im besonderen untersuche ich die Schwierigkeiten, die im Zusammenhang mit der detaillierten Analyse von Interviewtranskripten auftreten können, und befasse mich mit der Frage der Reliabilität und Validität des Analyseprozesses und seiner Ergebnisse. Die zeitlichen Investitionen, die erforderlich sind, um das gesamte Potential von NVivo auszuschöpfen, werden ebenfalls diskutiert. Es wird gezeigt, dass eine Kombination von manuellen und computerunterstützten Verfahren am sinnvollsten zu sein scheint.\nURN: urn:nbn:de:0114-fqs0202260","container-title":"Forum Qualitative Sozialforschung / Forum: Qualitative Social Research","DOI":"10.17169/fqs-3.2.865","ISSN":"1438-5627","issue":"2","language":"en","license":"Copyright (c) 2002 Elaine Welsh","note":"number: 2","source":"www.qualitative-research.net","title":"Dealing with Data: Using NVivo in the Qualitative Data Analysis Process","title-short":"Dealing with Data","URL":"https://www.qualitative-research.net/index.php/fqs/article/view/865","volume":"3","author":[{"family":"Welsh","given":"Elaine"}],"accessed":{"date-parts":[["2025",6,26]]},"issued":{"date-parts":[["2002",5,31]]}}}],"schema":"https://github.com/citation-style-language/schema/raw/master/csl-citation.json"} </w:instrText>
      </w:r>
      <w:r w:rsidRPr="00662E51">
        <w:rPr>
          <w:rFonts w:cs="Arial"/>
          <w:szCs w:val="24"/>
        </w:rPr>
        <w:fldChar w:fldCharType="separate"/>
      </w:r>
      <w:r w:rsidRPr="00662E51">
        <w:rPr>
          <w:rFonts w:cs="Arial"/>
          <w:szCs w:val="24"/>
        </w:rPr>
        <w:t>(Welsh 2002)</w:t>
      </w:r>
      <w:r w:rsidRPr="00662E51">
        <w:rPr>
          <w:rFonts w:cs="Arial"/>
          <w:szCs w:val="24"/>
        </w:rPr>
        <w:fldChar w:fldCharType="end"/>
      </w:r>
      <w:r w:rsidRPr="00662E51">
        <w:rPr>
          <w:rFonts w:cs="Arial"/>
          <w:szCs w:val="24"/>
        </w:rPr>
        <w:t xml:space="preserve">. Critical reading is akin to Foucault’s genealogy, in that it seeks to understand the development and settlement of particular ideas </w:t>
      </w:r>
      <w:r w:rsidRPr="00662E51">
        <w:rPr>
          <w:rFonts w:cs="Arial"/>
          <w:szCs w:val="24"/>
        </w:rPr>
        <w:fldChar w:fldCharType="begin"/>
      </w:r>
      <w:r w:rsidR="008835AB" w:rsidRPr="00662E51">
        <w:rPr>
          <w:rFonts w:cs="Arial"/>
          <w:szCs w:val="24"/>
        </w:rPr>
        <w:instrText xml:space="preserve"> ADDIN ZOTERO_ITEM CSL_CITATION {"citationID":"wxC6ZuRv","properties":{"formattedCitation":"(Garland 2014)","plainCitation":"(Garland 2014)","noteIndex":0},"citationItems":[{"id":2027,"uris":["http://zotero.org/groups/4816685/items/6V4NSWU8"],"itemData":{"id":2027,"type":"article-journal","abstract":"In this article Michel Foucault’s method of writing a “history of the present” is explained, together with its critical objectives and its difference from conventional historiography. Foucault’s shift from a style of historical research and analysis conceived as “archaeology” to one understood as “genealogy” is also discussed, showing how the history of the present deploys genealogical inquiry and the uncovering of hidden conflicts and contexts as a means of re-valuing the value of contemporary phenomena. The article highlights the critical observations of present-day phenomena from which a history of the present begins, paying particular attention to Foucault’s concept of “dispositif” and his method of problematization. Foucault’s analyses of Bentham’s Panopticon, of the disciplinary sources of the modern prison, and of the technology of confession are discussed by way of illustration.","container-title":"Punishment &amp; Society","DOI":"10.1177/1462474514541711","ISSN":"1462-4745","issue":"4","journalAbbreviation":"Punishment &amp; Society","language":"en","page":"365-384","publisher":"SAGE Publications","source":"SAGE Journals","title":"What is a “history of the present”? On Foucault’s genealogies and their critical preconditions","title-short":"What is a “history of the present”?","volume":"16","author":[{"family":"Garland","given":"David"}],"issued":{"date-parts":[["2014",10,1]]}}}],"schema":"https://github.com/citation-style-language/schema/raw/master/csl-citation.json"} </w:instrText>
      </w:r>
      <w:r w:rsidRPr="00662E51">
        <w:rPr>
          <w:rFonts w:cs="Arial"/>
          <w:szCs w:val="24"/>
        </w:rPr>
        <w:fldChar w:fldCharType="separate"/>
      </w:r>
      <w:r w:rsidRPr="00662E51">
        <w:rPr>
          <w:rFonts w:cs="Arial"/>
          <w:szCs w:val="24"/>
        </w:rPr>
        <w:t>(Garland 2014)</w:t>
      </w:r>
      <w:r w:rsidRPr="00662E51">
        <w:rPr>
          <w:rFonts w:cs="Arial"/>
          <w:szCs w:val="24"/>
        </w:rPr>
        <w:fldChar w:fldCharType="end"/>
      </w:r>
      <w:r w:rsidRPr="00662E51">
        <w:rPr>
          <w:rFonts w:cs="Arial"/>
          <w:szCs w:val="24"/>
        </w:rPr>
        <w:t xml:space="preserve">. This is especially true as the HDV was cancelled, so it was important to see the scheme through the state’s eyes as a speculative (in both the financial and future-looking senses), incomplete, and contested policy. </w:t>
      </w:r>
    </w:p>
    <w:p w14:paraId="6C1A0BE7" w14:textId="663E77A9" w:rsidR="003B5011" w:rsidRPr="00662E51" w:rsidRDefault="003B5011" w:rsidP="003B5011">
      <w:pPr>
        <w:spacing w:line="360" w:lineRule="auto"/>
        <w:ind w:left="0" w:firstLine="720"/>
        <w:rPr>
          <w:rFonts w:cs="Arial"/>
          <w:szCs w:val="24"/>
        </w:rPr>
      </w:pPr>
      <w:r w:rsidRPr="00662E51">
        <w:rPr>
          <w:rFonts w:cs="Arial"/>
          <w:szCs w:val="24"/>
        </w:rPr>
        <w:t xml:space="preserve">Document analysis was invaluable in constructing how the state saw Tottenham, its role in development, and the types of populations to ‘make live’ or ‘let die’ </w:t>
      </w:r>
      <w:r w:rsidRPr="00662E51">
        <w:rPr>
          <w:rFonts w:cs="Arial"/>
          <w:szCs w:val="24"/>
        </w:rPr>
        <w:fldChar w:fldCharType="begin"/>
      </w:r>
      <w:r w:rsidR="001B2CAA">
        <w:rPr>
          <w:rFonts w:cs="Arial"/>
          <w:szCs w:val="24"/>
        </w:rPr>
        <w:instrText xml:space="preserve"> ADDIN ZOTERO_ITEM CSL_CITATION {"citationID":"7tWbpdiu","properties":{"formattedCitation":"(Gillespie et al. 2021; see also Chapter 2)","plainCitation":"(Gillespie et al. 2021; see also Chapter 2)","noteIndex":0},"citationItems":[{"id":"n0Saldgp/Pfek5KeZ","uris":["http://zotero.org/users/8977980/items/LK7WKKQI"],"itemData":{"id":"x5AkqsWl/KonZDkgK","type":"article-journal","abstract":"Urban scholars have traditionally associated displacement in cities of the global North with gentriﬁcation, generally understood as a class-based process of neighbourhood change. This article expands this scalar focus and adopts the larger scale of the local authority district (in this case the London borough) as its epistemological starting point to study the displacement of homeless people by the local state. Participatory action research was undertaken with housing campaigners in the East London borough of Newham to explore who is being displaced, their experiences of displacement and the impacts of displacement on their lives. Empirically, the article argues that displacement in this case is a product of national welfare state restructuring – or ‘austerity urbanism’ – implemented through a localised regime of ‘welfare chauvinism’ in which some groups are framed as economically unproductive and therefore undeserving of access to social housing. Displacement has the effect of reinforcing the surplus status of these groups by separating them from employment, education and care networks and eroding their physical and mental health. The article draws on research on the biopolitics of surplus populations in the global South to develop an original theorisation of the relationship between welfare state restructuring and displacement. This theorisation reveals that displacement is the spatial expression of a biopolitical shift away from the logic of ‘making live’ associated with the post-war welfare state towards a logic of ‘letting die’ more traditionally associated with postcolonial contexts.","container-title":"Environment and Planning A: Economy and Space","DOI":"10.1177/0308518X211026323","ISSN":"0308-518X, 1472-3409","issue":"7","journalAbbreviation":"Environ Plan A","language":"en","page":"1713-1729","source":"DOI.org (Crossref)","title":"Surplus to the city: Austerity urbanism, displacement and ‘letting die’","title-short":"Surplus to the city","volume":"53","author":[{"family":"Gillespie","given":"Tom"},{"family":"Hardy","given":"Kate"},{"family":"Watt","given":"Paul"}],"issued":{"date-parts":[["2021",10]]}},"suffix":"; see also Chapter 2"}],"schema":"https://github.com/citation-style-language/schema/raw/master/csl-citation.json"} </w:instrText>
      </w:r>
      <w:r w:rsidRPr="00662E51">
        <w:rPr>
          <w:rFonts w:cs="Arial"/>
          <w:szCs w:val="24"/>
        </w:rPr>
        <w:fldChar w:fldCharType="separate"/>
      </w:r>
      <w:r w:rsidR="009B0D38" w:rsidRPr="00662E51">
        <w:t>(Gillespie et al. 2021; see also Chapter 2)</w:t>
      </w:r>
      <w:r w:rsidRPr="00662E51">
        <w:rPr>
          <w:rFonts w:cs="Arial"/>
          <w:szCs w:val="24"/>
        </w:rPr>
        <w:fldChar w:fldCharType="end"/>
      </w:r>
      <w:r w:rsidRPr="00662E51">
        <w:rPr>
          <w:rFonts w:cs="Arial"/>
          <w:szCs w:val="24"/>
        </w:rPr>
        <w:t>. Building this viewpoint was equally important because it was impossible to interview certain state actors. Council staff and executives declined to be interviews and/or referred me to Council-produced documents that were posted online</w:t>
      </w:r>
      <w:r w:rsidR="009B0D38" w:rsidRPr="00662E51">
        <w:rPr>
          <w:rFonts w:cs="Arial"/>
          <w:szCs w:val="24"/>
        </w:rPr>
        <w:t xml:space="preserve"> (see Appendix D)</w:t>
      </w:r>
      <w:r w:rsidRPr="00662E51">
        <w:rPr>
          <w:rFonts w:cs="Arial"/>
          <w:szCs w:val="24"/>
        </w:rPr>
        <w:t xml:space="preserve">. Textual analysis therefore became the only way in which I could interrogate the state’s </w:t>
      </w:r>
      <w:r w:rsidR="003E7162" w:rsidRPr="00662E51">
        <w:rPr>
          <w:rFonts w:cs="Arial"/>
          <w:szCs w:val="24"/>
        </w:rPr>
        <w:t xml:space="preserve">multiple </w:t>
      </w:r>
      <w:r w:rsidRPr="00662E51">
        <w:rPr>
          <w:rFonts w:cs="Arial"/>
          <w:szCs w:val="24"/>
        </w:rPr>
        <w:t>perspective</w:t>
      </w:r>
      <w:r w:rsidR="003E7162" w:rsidRPr="00662E51">
        <w:rPr>
          <w:rFonts w:cs="Arial"/>
          <w:szCs w:val="24"/>
        </w:rPr>
        <w:t>s</w:t>
      </w:r>
      <w:r w:rsidR="00690096">
        <w:rPr>
          <w:rFonts w:cs="Arial"/>
          <w:szCs w:val="24"/>
        </w:rPr>
        <w:t xml:space="preserve"> and answer Research Questions 2 and 3</w:t>
      </w:r>
      <w:r w:rsidRPr="00662E51">
        <w:rPr>
          <w:rFonts w:cs="Arial"/>
          <w:szCs w:val="24"/>
        </w:rPr>
        <w:t xml:space="preserve">. While some texts were produced by Haringey Council, external consultants contributed to a large proportion of the corpus. This power relationship reinforced the emphasis given to economic development and reflected “a systematic power structure at play in the creation of expert knowledge” about stigmatised neighbourhoods </w:t>
      </w:r>
      <w:r w:rsidR="00527402" w:rsidRPr="00662E51">
        <w:rPr>
          <w:szCs w:val="24"/>
        </w:rPr>
        <w:fldChar w:fldCharType="begin"/>
      </w:r>
      <w:r w:rsidR="005924F0">
        <w:rPr>
          <w:szCs w:val="24"/>
        </w:rPr>
        <w:instrText xml:space="preserve"> ADDIN ZOTERO_ITEM CSL_CITATION {"citationID":"6CPpsWFl","properties":{"formattedCitation":"(Ormerod 2017, 100; see also MacLeod 2018)","plainCitation":"(Ormerod 2017, 100; see also MacLeod 2018)","noteIndex":0},"citationItems":[{"id":6579,"uris":["http://zotero.org/users/8977980/items/UYJQMU9X"],"itemData":{"id":6579,"type":"thesis","abstract":"Housing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5924F0">
        <w:rPr>
          <w:rFonts w:ascii="Cambria Math" w:hAnsi="Cambria Math" w:cs="Cambria Math"/>
          <w:szCs w:val="24"/>
        </w:rPr>
        <w:instrText>‐</w:instrText>
      </w:r>
      <w:r w:rsidR="005924F0">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locator":"100","label":"page"},{"id":7187,"uris":["http://zotero.org/users/8977980/items/VFGU2V4Q"],"itemData":{"id":7187,"type":"article-journal","container-title":"City","DOI":"10.1080/13604813.2018.1507099","ISSN":"1360-4813, 1470-3629","issue":"4","journalAbbreviation":"City","language":"en","page":"460-489","source":"DOI.org (Crossref)","title":"The Grenfell Tower atrocity: Exposing urban worlds of inequality, injustice, and an impaired democracy","title-short":"The Grenfell Tower atrocity","volume":"22","author":[{"family":"MacLeod","given":"Gordon"}],"issued":{"date-parts":[["2018",7,4]]}},"prefix":"see also"}],"schema":"https://github.com/citation-style-language/schema/raw/master/csl-citation.json"} </w:instrText>
      </w:r>
      <w:r w:rsidR="00527402" w:rsidRPr="00662E51">
        <w:rPr>
          <w:szCs w:val="24"/>
        </w:rPr>
        <w:fldChar w:fldCharType="separate"/>
      </w:r>
      <w:r w:rsidR="005924F0" w:rsidRPr="005924F0">
        <w:t>(Ormerod 2017, 100; see also MacLeod 2018)</w:t>
      </w:r>
      <w:r w:rsidR="00527402" w:rsidRPr="00662E51">
        <w:rPr>
          <w:szCs w:val="24"/>
        </w:rPr>
        <w:fldChar w:fldCharType="end"/>
      </w:r>
      <w:r w:rsidR="00527402" w:rsidRPr="00662E51">
        <w:rPr>
          <w:szCs w:val="24"/>
        </w:rPr>
        <w:t>.</w:t>
      </w:r>
      <w:r w:rsidRPr="00662E51">
        <w:rPr>
          <w:rFonts w:cs="Arial"/>
          <w:szCs w:val="24"/>
        </w:rPr>
        <w:t xml:space="preserve"> It also implied a lack of awareness of different forms of community in Tottenham, which are not reflected in official documents. The divergence between official and unofficial knowledges heightened the partial and situated nature of all knowledge </w:t>
      </w:r>
      <w:r w:rsidRPr="00662E51">
        <w:rPr>
          <w:rFonts w:cs="Arial"/>
          <w:szCs w:val="24"/>
        </w:rPr>
        <w:fldChar w:fldCharType="begin"/>
      </w:r>
      <w:r w:rsidR="008835AB" w:rsidRPr="00662E51">
        <w:rPr>
          <w:rFonts w:cs="Arial"/>
          <w:szCs w:val="24"/>
        </w:rPr>
        <w:instrText xml:space="preserve"> ADDIN ZOTERO_ITEM CSL_CITATION {"citationID":"jLnW1rEY","properties":{"formattedCitation":"(Haraway 1988)","plainCitation":"(Haraway 1988)","noteIndex":0},"citationItems":[{"id":6234,"uris":["http://zotero.org/users/8977980/items/GLXAL335"],"itemData":{"id":6234,"type":"article-journal","container-title":"Feminist Studies","DOI":"10.2307/3178066","ISSN":"0046-3663","issue":"3","page":"575-599","publisher":"Feminist Studies, Inc.","source":"JSTOR","title":"Situated Knowledges: The Science Question in Feminism and the Privilege of Partial Perspective","title-short":"Situated Knowledges","volume":"14","author":[{"family":"Haraway","given":"Donna"}],"issued":{"date-parts":[["1988"]]}}}],"schema":"https://github.com/citation-style-language/schema/raw/master/csl-citation.json"} </w:instrText>
      </w:r>
      <w:r w:rsidRPr="00662E51">
        <w:rPr>
          <w:rFonts w:cs="Arial"/>
          <w:szCs w:val="24"/>
        </w:rPr>
        <w:fldChar w:fldCharType="separate"/>
      </w:r>
      <w:r w:rsidRPr="00662E51">
        <w:rPr>
          <w:rFonts w:cs="Arial"/>
          <w:szCs w:val="24"/>
        </w:rPr>
        <w:t>(Haraway 1988)</w:t>
      </w:r>
      <w:r w:rsidRPr="00662E51">
        <w:rPr>
          <w:rFonts w:cs="Arial"/>
          <w:szCs w:val="24"/>
        </w:rPr>
        <w:fldChar w:fldCharType="end"/>
      </w:r>
      <w:r w:rsidRPr="00662E51">
        <w:rPr>
          <w:rFonts w:cs="Arial"/>
          <w:szCs w:val="24"/>
        </w:rPr>
        <w:t xml:space="preserve">, especially that found within the state’s documentation </w:t>
      </w:r>
      <w:r w:rsidRPr="00662E51">
        <w:rPr>
          <w:rFonts w:cs="Arial"/>
          <w:szCs w:val="24"/>
        </w:rPr>
        <w:fldChar w:fldCharType="begin"/>
      </w:r>
      <w:r w:rsidR="00213B80">
        <w:rPr>
          <w:rFonts w:cs="Arial"/>
          <w:szCs w:val="24"/>
        </w:rPr>
        <w:instrText xml:space="preserve"> ADDIN ZOTERO_ITEM CSL_CITATION {"citationID":"nIeQSJZx","properties":{"formattedCitation":"(J. C. Scott 2020)","plainCitation":"(J. C. Scott 2020)","noteIndex":0},"citationItems":[{"id":6572,"uris":["http://zotero.org/groups/4816685/items/VTQZ5I9E"],"itemData":{"id":6572,"type":"book","collection-title":"Veritas Paperbacks Ser","ISBN":"978-0-300-24675-9","language":"eng","number-of-pages":"1","publisher":"Yale University Press","publisher-place":"New Haven","source":"K10plus ISBN","title":"Seeing like a state: how certain schemes to improve the human condition have failed","title-short":"Seeing like a state","author":[{"family":"Scott","given":"James C."}],"issued":{"date-parts":[["2020"]]}}}],"schema":"https://github.com/citation-style-language/schema/raw/master/csl-citation.json"} </w:instrText>
      </w:r>
      <w:r w:rsidRPr="00662E51">
        <w:rPr>
          <w:rFonts w:cs="Arial"/>
          <w:szCs w:val="24"/>
        </w:rPr>
        <w:fldChar w:fldCharType="separate"/>
      </w:r>
      <w:r w:rsidR="00213B80" w:rsidRPr="00213B80">
        <w:t>(J. C. Scott 2020)</w:t>
      </w:r>
      <w:r w:rsidRPr="00662E51">
        <w:rPr>
          <w:rFonts w:cs="Arial"/>
          <w:szCs w:val="24"/>
        </w:rPr>
        <w:fldChar w:fldCharType="end"/>
      </w:r>
      <w:r w:rsidRPr="00662E51">
        <w:rPr>
          <w:rFonts w:cs="Arial"/>
          <w:szCs w:val="24"/>
        </w:rPr>
        <w:t>.</w:t>
      </w:r>
    </w:p>
    <w:p w14:paraId="6C0D2DA6" w14:textId="27DDB8BF" w:rsidR="00797199" w:rsidRPr="00662E51" w:rsidRDefault="00797199" w:rsidP="00797199">
      <w:pPr>
        <w:spacing w:line="360" w:lineRule="auto"/>
        <w:ind w:left="0" w:firstLine="720"/>
        <w:rPr>
          <w:rFonts w:cs="Arial"/>
          <w:szCs w:val="24"/>
        </w:rPr>
      </w:pPr>
      <w:r w:rsidRPr="00662E51">
        <w:rPr>
          <w:rFonts w:cs="Arial"/>
          <w:szCs w:val="24"/>
        </w:rPr>
        <w:t xml:space="preserve">There are </w:t>
      </w:r>
      <w:r w:rsidR="005924F0">
        <w:rPr>
          <w:rFonts w:cs="Arial"/>
          <w:szCs w:val="24"/>
        </w:rPr>
        <w:t>some</w:t>
      </w:r>
      <w:r w:rsidRPr="00662E51">
        <w:rPr>
          <w:rFonts w:cs="Arial"/>
          <w:szCs w:val="24"/>
        </w:rPr>
        <w:t xml:space="preserve"> drawbacks of the method. The analysis of text </w:t>
      </w:r>
      <w:r w:rsidRPr="00662E51">
        <w:rPr>
          <w:rFonts w:cs="Arial"/>
          <w:szCs w:val="24"/>
        </w:rPr>
        <w:fldChar w:fldCharType="begin"/>
      </w:r>
      <w:r w:rsidR="008835AB" w:rsidRPr="00662E51">
        <w:rPr>
          <w:rFonts w:cs="Arial"/>
          <w:szCs w:val="24"/>
        </w:rPr>
        <w:instrText xml:space="preserve"> ADDIN ZOTERO_ITEM CSL_CITATION {"citationID":"513dMTTn","properties":{"formattedCitation":"(broadly understood; Dittmer 2010)","plainCitation":"(broadly understood; Dittmer 2010)","noteIndex":0},"citationItems":[{"id":6578,"uris":["http://zotero.org/users/8977980/items/JJRPMIRM"],"itemData":{"id":6578,"type":"chapter","abstract":"&lt;p&gt;Exploring the dynamic growth, change, and complexity of qualitative research in human geography, The SAGE Handbook of Qualitative Geography brings together l","container-title":"The SAGE Handbook of Qualitative Geography","DOI":"10.4135/9780857021090","ISBN":"978-0-85702-109-0","language":"en","page":"274-286","publisher":"SAGE Publications, Inc.","source":"methods-sagepub-com.ezphost.dur.ac.uk","title":"Textual and Discourse Analysis","URL":"https://methods-sagepub-com.ezphost.dur.ac.uk/hnbk/edvol/the-sage-handbook-of-qualitative-geography-srm/chpt/15-textual-discourse-analysis","editor":[{"family":"DeLyser","given":"Dydia"},{"family":"Herbert","given":"Steve"},{"family":"Aitken","given":"Stuart"},{"family":"Crang","given":"Mike"},{"family":"McDowell","given":"Linda"}],"author":[{"family":"Dittmer","given":"Jason"}],"accessed":{"date-parts":[["2025",6,19]]},"issued":{"date-parts":[["2010"]]}},"label":"page","prefix":"broadly understood; "}],"schema":"https://github.com/citation-style-language/schema/raw/master/csl-citation.json"} </w:instrText>
      </w:r>
      <w:r w:rsidRPr="00662E51">
        <w:rPr>
          <w:rFonts w:cs="Arial"/>
          <w:szCs w:val="24"/>
        </w:rPr>
        <w:fldChar w:fldCharType="separate"/>
      </w:r>
      <w:r w:rsidRPr="00662E51">
        <w:rPr>
          <w:rFonts w:cs="Arial"/>
          <w:szCs w:val="24"/>
        </w:rPr>
        <w:t>(broadly understood; Dittmer 2010)</w:t>
      </w:r>
      <w:r w:rsidRPr="00662E51">
        <w:rPr>
          <w:rFonts w:cs="Arial"/>
          <w:szCs w:val="24"/>
        </w:rPr>
        <w:fldChar w:fldCharType="end"/>
      </w:r>
      <w:r w:rsidRPr="00662E51">
        <w:rPr>
          <w:rFonts w:cs="Arial"/>
          <w:szCs w:val="24"/>
        </w:rPr>
        <w:t xml:space="preserve"> is necessarily political and subjective. As with Ormerod </w:t>
      </w:r>
      <w:r w:rsidR="006F7964" w:rsidRPr="00662E51">
        <w:rPr>
          <w:szCs w:val="24"/>
        </w:rPr>
        <w:fldChar w:fldCharType="begin"/>
      </w:r>
      <w:r w:rsidR="00F15CF8">
        <w:rPr>
          <w:szCs w:val="24"/>
        </w:rPr>
        <w:instrText xml:space="preserve"> ADDIN ZOTERO_ITEM CSL_CITATION {"citationID":"MMzXq94b","properties":{"formattedCitation":"(2017, 2021)","plainCitation":"(2017, 2021)","noteIndex":0},"citationItems":[{"id":6579,"uris":["http://zotero.org/users/8977980/items/UYJQMU9X"],"itemData":{"id":6579,"type":"thesis","abstract":"Housing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label":"page","suppress-author":true},{"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abel":"page","suppress-author":true}],"schema":"https://github.com/citation-style-language/schema/raw/master/csl-citation.json"} </w:instrText>
      </w:r>
      <w:r w:rsidR="006F7964" w:rsidRPr="00662E51">
        <w:rPr>
          <w:szCs w:val="24"/>
        </w:rPr>
        <w:fldChar w:fldCharType="separate"/>
      </w:r>
      <w:r w:rsidR="00F15CF8" w:rsidRPr="00F15CF8">
        <w:t>(2017, 2021)</w:t>
      </w:r>
      <w:r w:rsidR="006F7964" w:rsidRPr="00662E51">
        <w:rPr>
          <w:szCs w:val="24"/>
        </w:rPr>
        <w:fldChar w:fldCharType="end"/>
      </w:r>
      <w:r w:rsidR="006F7964" w:rsidRPr="00662E51">
        <w:rPr>
          <w:szCs w:val="24"/>
        </w:rPr>
        <w:t xml:space="preserve"> </w:t>
      </w:r>
      <w:r w:rsidRPr="00662E51">
        <w:rPr>
          <w:rFonts w:cs="Arial"/>
          <w:szCs w:val="24"/>
        </w:rPr>
        <w:t>my previous professional experience working in municipal government meant that I sometimes was unable to see past</w:t>
      </w:r>
      <w:r w:rsidR="00A60432">
        <w:rPr>
          <w:rFonts w:cs="Arial"/>
          <w:szCs w:val="24"/>
        </w:rPr>
        <w:t xml:space="preserve"> or </w:t>
      </w:r>
      <w:r w:rsidRPr="00662E51">
        <w:rPr>
          <w:rFonts w:cs="Arial"/>
          <w:szCs w:val="24"/>
        </w:rPr>
        <w:t>through the state-</w:t>
      </w:r>
      <w:r w:rsidRPr="00662E51">
        <w:rPr>
          <w:rFonts w:cs="Arial"/>
          <w:szCs w:val="24"/>
        </w:rPr>
        <w:lastRenderedPageBreak/>
        <w:t>produced language and logics held within the documents. For example, I sometimes struggled to critically examine the forms of consultation described by the Council</w:t>
      </w:r>
      <w:r w:rsidR="00107A1A" w:rsidRPr="00662E51">
        <w:rPr>
          <w:rFonts w:cs="Arial"/>
          <w:szCs w:val="24"/>
        </w:rPr>
        <w:t xml:space="preserve">. I initially accepted, on face, that these consultations had in fact meant that community members were adequately </w:t>
      </w:r>
      <w:r w:rsidR="005027C2" w:rsidRPr="00662E51">
        <w:rPr>
          <w:rFonts w:cs="Arial"/>
          <w:szCs w:val="24"/>
        </w:rPr>
        <w:t xml:space="preserve">informed. </w:t>
      </w:r>
      <w:r w:rsidRPr="00662E51">
        <w:rPr>
          <w:rFonts w:cs="Arial"/>
          <w:szCs w:val="24"/>
        </w:rPr>
        <w:t xml:space="preserve">Multiple reads were therefore needed to maintain a critical outlook </w:t>
      </w:r>
      <w:r w:rsidRPr="00662E51">
        <w:rPr>
          <w:rFonts w:cs="Arial"/>
          <w:szCs w:val="24"/>
        </w:rPr>
        <w:fldChar w:fldCharType="begin"/>
      </w:r>
      <w:r w:rsidR="008835AB" w:rsidRPr="00662E51">
        <w:rPr>
          <w:rFonts w:cs="Arial"/>
          <w:szCs w:val="24"/>
        </w:rPr>
        <w:instrText xml:space="preserve"> ADDIN ZOTERO_ITEM CSL_CITATION {"citationID":"PdjLt0Ix","properties":{"formattedCitation":"(Aitken 2008)","plainCitation":"(Aitken 2008)","noteIndex":0},"citationItems":[{"id":6577,"uris":["http://zotero.org/users/8977980/items/IP9YZLV9"],"itemData":{"id":6577,"type":"chapter","container-title":"Methods in Human Geography: A guide for students doing a research project","ISBN":"978-1-281-33404-6","publisher":"Taylor &amp; Francis Group","publisher-place":"Milton, UNITED KINGDOM","source":"ProQuest Ebook Central","title":"Textual analysis: reading culture and context","URL":"http://ebookcentral.proquest.com/lib/durham/detail.action?docID=5268500","container-author":[{"family":"Martin","given":"David"},{"family":"Flowerdew","given":"Robin"}],"author":[{"family":"Aitken","given":"Stuart C"}],"accessed":{"date-parts":[["2025",6,19]]},"issued":{"date-parts":[["2008"]]}}}],"schema":"https://github.com/citation-style-language/schema/raw/master/csl-citation.json"} </w:instrText>
      </w:r>
      <w:r w:rsidRPr="00662E51">
        <w:rPr>
          <w:rFonts w:cs="Arial"/>
          <w:szCs w:val="24"/>
        </w:rPr>
        <w:fldChar w:fldCharType="separate"/>
      </w:r>
      <w:r w:rsidRPr="00662E51">
        <w:rPr>
          <w:rFonts w:cs="Arial"/>
          <w:szCs w:val="24"/>
        </w:rPr>
        <w:t>(Aitken 2008)</w:t>
      </w:r>
      <w:r w:rsidRPr="00662E51">
        <w:rPr>
          <w:rFonts w:cs="Arial"/>
          <w:szCs w:val="24"/>
        </w:rPr>
        <w:fldChar w:fldCharType="end"/>
      </w:r>
      <w:r w:rsidRPr="00662E51">
        <w:rPr>
          <w:rFonts w:cs="Arial"/>
          <w:szCs w:val="24"/>
        </w:rPr>
        <w:t xml:space="preserve">. Significant time, too, had lapsed between the creation of the texts and the current state of the scheme. The impact was felt mostly in interviews, but the availability of documents suffered. Some were mentioned yet lost or linked incorrectly. Many were partially redacted in the name of financial and commercial reasons as experienced by Ormerod </w:t>
      </w:r>
      <w:r w:rsidR="006F7964" w:rsidRPr="00662E51">
        <w:rPr>
          <w:szCs w:val="24"/>
        </w:rPr>
        <w:fldChar w:fldCharType="begin"/>
      </w:r>
      <w:r w:rsidR="00F15CF8">
        <w:rPr>
          <w:szCs w:val="24"/>
        </w:rPr>
        <w:instrText xml:space="preserve"> ADDIN ZOTERO_ITEM CSL_CITATION {"citationID":"2Rt9hx5H","properties":{"formattedCitation":"(2017, 2021)","plainCitation":"(2017, 2021)","noteIndex":0},"citationItems":[{"id":6579,"uris":["http://zotero.org/users/8977980/items/UYJQMU9X"],"itemData":{"id":6579,"type":"thesis","abstract":"Housing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label":"page","suppress-author":true},{"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abel":"page","suppress-author":true}],"schema":"https://github.com/citation-style-language/schema/raw/master/csl-citation.json"} </w:instrText>
      </w:r>
      <w:r w:rsidR="006F7964" w:rsidRPr="00662E51">
        <w:rPr>
          <w:szCs w:val="24"/>
        </w:rPr>
        <w:fldChar w:fldCharType="separate"/>
      </w:r>
      <w:r w:rsidR="00F15CF8" w:rsidRPr="00F15CF8">
        <w:t>(2017, 2021)</w:t>
      </w:r>
      <w:r w:rsidR="006F7964" w:rsidRPr="00662E51">
        <w:rPr>
          <w:szCs w:val="24"/>
        </w:rPr>
        <w:fldChar w:fldCharType="end"/>
      </w:r>
      <w:r w:rsidR="006F7964" w:rsidRPr="00662E51">
        <w:rPr>
          <w:szCs w:val="24"/>
        </w:rPr>
        <w:t xml:space="preserve"> </w:t>
      </w:r>
      <w:r w:rsidRPr="00662E51">
        <w:rPr>
          <w:rFonts w:cs="Arial"/>
          <w:szCs w:val="24"/>
        </w:rPr>
        <w:t xml:space="preserve">and Raco </w:t>
      </w:r>
      <w:r w:rsidRPr="00662E51">
        <w:rPr>
          <w:rFonts w:cs="Arial"/>
          <w:szCs w:val="24"/>
        </w:rPr>
        <w:fldChar w:fldCharType="begin"/>
      </w:r>
      <w:r w:rsidR="008835AB" w:rsidRPr="00662E51">
        <w:rPr>
          <w:rFonts w:cs="Arial"/>
          <w:szCs w:val="24"/>
        </w:rPr>
        <w:instrText xml:space="preserve"> ADDIN ZOTERO_ITEM CSL_CITATION {"citationID":"pEhzfW5p","properties":{"formattedCitation":"(2016)","plainCitation":"(2016)","noteIndex":0},"citationItems":[{"id":6581,"uris":["http://zotero.org/users/8977980/items/ZQYSHVDE"],"itemData":{"id":6581,"type":"book","abstract":"1. State-led privatisation, the restructuring of the state, and the new localism -- 2. Privatisation, welfare reform, and the politics of the new progressivism -- 3. Regulatory capitalism, privatisation, and the new contractualism in the welfare state -- 4. The private finance initiative and the privatisation of the British welfare state -- 5. The consequences of privatisation and the rise of new private sector elites -- 6. The privatisation of healthcare and the new localism -- 7. The privatisation of social housing and the re-making of citizenship -- 8. Transport infrastructure and the impacts of privatisation -- 9. What is left to the state?","DOI":"10.4324/9781315610702","ISBN":"978-1-138-24590-7","language":"eng","number-of-pages":"1","publisher":"Routledge","publisher-place":"London New York","source":"K10plus ISBN","title":"State-led privatisation and the demise of the democratic state: welfare reform and localism in an era of regulatory capitalism","title-short":"State-led privatisation and the demise of the democratic state","author":[{"family":"Raco","given":"Mike"}],"issued":{"date-parts":[["2016"]]}},"label":"page","suppress-author":true}],"schema":"https://github.com/citation-style-language/schema/raw/master/csl-citation.json"} </w:instrText>
      </w:r>
      <w:r w:rsidRPr="00662E51">
        <w:rPr>
          <w:rFonts w:cs="Arial"/>
          <w:szCs w:val="24"/>
        </w:rPr>
        <w:fldChar w:fldCharType="separate"/>
      </w:r>
      <w:r w:rsidRPr="00662E51">
        <w:rPr>
          <w:rFonts w:cs="Arial"/>
          <w:szCs w:val="24"/>
        </w:rPr>
        <w:t>(2016)</w:t>
      </w:r>
      <w:r w:rsidRPr="00662E51">
        <w:rPr>
          <w:rFonts w:cs="Arial"/>
          <w:szCs w:val="24"/>
        </w:rPr>
        <w:fldChar w:fldCharType="end"/>
      </w:r>
      <w:r w:rsidRPr="00662E51">
        <w:rPr>
          <w:rFonts w:cs="Arial"/>
          <w:szCs w:val="24"/>
        </w:rPr>
        <w:t xml:space="preserve">. The situatedness of these documents aside </w:t>
      </w:r>
      <w:r w:rsidRPr="00662E51">
        <w:rPr>
          <w:rFonts w:cs="Arial"/>
          <w:szCs w:val="24"/>
        </w:rPr>
        <w:fldChar w:fldCharType="begin"/>
      </w:r>
      <w:r w:rsidR="008835AB" w:rsidRPr="00662E51">
        <w:rPr>
          <w:rFonts w:cs="Arial"/>
          <w:szCs w:val="24"/>
        </w:rPr>
        <w:instrText xml:space="preserve"> ADDIN ZOTERO_ITEM CSL_CITATION {"citationID":"6V5ir7sl","properties":{"formattedCitation":"(Haraway 1988)","plainCitation":"(Haraway 1988)","noteIndex":0},"citationItems":[{"id":6234,"uris":["http://zotero.org/users/8977980/items/GLXAL335"],"itemData":{"id":6234,"type":"article-journal","container-title":"Feminist Studies","DOI":"10.2307/3178066","ISSN":"0046-3663","issue":"3","page":"575-599","publisher":"Feminist Studies, Inc.","source":"JSTOR","title":"Situated Knowledges: The Science Question in Feminism and the Privilege of Partial Perspective","title-short":"Situated Knowledges","volume":"14","author":[{"family":"Haraway","given":"Donna"}],"issued":{"date-parts":[["1988"]]}}}],"schema":"https://github.com/citation-style-language/schema/raw/master/csl-citation.json"} </w:instrText>
      </w:r>
      <w:r w:rsidRPr="00662E51">
        <w:rPr>
          <w:rFonts w:cs="Arial"/>
          <w:szCs w:val="24"/>
        </w:rPr>
        <w:fldChar w:fldCharType="separate"/>
      </w:r>
      <w:r w:rsidRPr="00662E51">
        <w:rPr>
          <w:rFonts w:cs="Arial"/>
          <w:szCs w:val="24"/>
        </w:rPr>
        <w:t>(Haraway 1988)</w:t>
      </w:r>
      <w:r w:rsidRPr="00662E51">
        <w:rPr>
          <w:rFonts w:cs="Arial"/>
          <w:szCs w:val="24"/>
        </w:rPr>
        <w:fldChar w:fldCharType="end"/>
      </w:r>
      <w:r w:rsidRPr="00662E51">
        <w:rPr>
          <w:rFonts w:cs="Arial"/>
          <w:szCs w:val="24"/>
        </w:rPr>
        <w:t xml:space="preserve">, the method was an important component in uncovering the local state’s perspective of Tottenham, the regeneration schemes in question, and activists opposing them. </w:t>
      </w:r>
    </w:p>
    <w:p w14:paraId="07F33D9C" w14:textId="77777777" w:rsidR="00EB0A87" w:rsidRPr="00662E51" w:rsidRDefault="00EB0A87" w:rsidP="00F56305">
      <w:pPr>
        <w:spacing w:line="360" w:lineRule="auto"/>
        <w:ind w:left="0" w:firstLine="720"/>
        <w:rPr>
          <w:rFonts w:cs="Arial"/>
          <w:szCs w:val="24"/>
        </w:rPr>
      </w:pPr>
    </w:p>
    <w:p w14:paraId="11EF77A0" w14:textId="6E40B370" w:rsidR="000F3E6B" w:rsidRPr="00662E51" w:rsidRDefault="000F3E6B" w:rsidP="00F56305">
      <w:pPr>
        <w:pStyle w:val="Heading3"/>
      </w:pPr>
      <w:bookmarkStart w:id="238" w:name="_Toc208328785"/>
      <w:bookmarkStart w:id="239" w:name="_Toc213173944"/>
      <w:bookmarkStart w:id="240" w:name="_Toc221184333"/>
      <w:bookmarkStart w:id="241" w:name="_Toc231215251"/>
      <w:r w:rsidRPr="00662E51">
        <w:t>Archives</w:t>
      </w:r>
      <w:bookmarkEnd w:id="238"/>
      <w:bookmarkEnd w:id="239"/>
      <w:bookmarkEnd w:id="240"/>
      <w:r w:rsidR="00BC44B5">
        <w:t>:</w:t>
      </w:r>
      <w:bookmarkEnd w:id="241"/>
    </w:p>
    <w:p w14:paraId="2ACCE4EE" w14:textId="19638592" w:rsidR="000F3E6B" w:rsidRPr="00662E51" w:rsidRDefault="000F3E6B" w:rsidP="00F56305">
      <w:pPr>
        <w:spacing w:line="360" w:lineRule="auto"/>
        <w:ind w:left="0" w:firstLine="720"/>
        <w:rPr>
          <w:rFonts w:cs="Arial"/>
          <w:szCs w:val="24"/>
        </w:rPr>
      </w:pPr>
      <w:r w:rsidRPr="00662E51">
        <w:rPr>
          <w:rFonts w:cs="Arial"/>
          <w:szCs w:val="24"/>
        </w:rPr>
        <w:t xml:space="preserve">Archives comprised a significant portion of the data </w:t>
      </w:r>
      <w:r w:rsidR="00C42112" w:rsidRPr="00662E51">
        <w:rPr>
          <w:rFonts w:cs="Arial"/>
          <w:szCs w:val="24"/>
        </w:rPr>
        <w:t>used here</w:t>
      </w:r>
      <w:r w:rsidR="001056A6">
        <w:rPr>
          <w:rFonts w:cs="Arial"/>
          <w:szCs w:val="24"/>
        </w:rPr>
        <w:t xml:space="preserve">, primarily used to answer </w:t>
      </w:r>
      <w:r w:rsidR="009B35D6">
        <w:rPr>
          <w:rFonts w:cs="Arial"/>
          <w:szCs w:val="24"/>
        </w:rPr>
        <w:t>R</w:t>
      </w:r>
      <w:r w:rsidR="001056A6">
        <w:rPr>
          <w:rFonts w:cs="Arial"/>
          <w:szCs w:val="24"/>
        </w:rPr>
        <w:t xml:space="preserve">esearch </w:t>
      </w:r>
      <w:r w:rsidR="009B35D6">
        <w:rPr>
          <w:rFonts w:cs="Arial"/>
          <w:szCs w:val="24"/>
        </w:rPr>
        <w:t>Q</w:t>
      </w:r>
      <w:r w:rsidR="001056A6">
        <w:rPr>
          <w:rFonts w:cs="Arial"/>
          <w:szCs w:val="24"/>
        </w:rPr>
        <w:t>uestion</w:t>
      </w:r>
      <w:r w:rsidR="009B35D6">
        <w:rPr>
          <w:rFonts w:cs="Arial"/>
          <w:szCs w:val="24"/>
        </w:rPr>
        <w:t>s 1 and 2, as well as to examine how marginalised citizens resist authoritarian governance (Aim 1)</w:t>
      </w:r>
      <w:r w:rsidRPr="00662E51">
        <w:rPr>
          <w:rFonts w:cs="Arial"/>
          <w:szCs w:val="24"/>
        </w:rPr>
        <w:t xml:space="preserve">. The historical nature of the Broadwater Farm case meant a heavy reliance on archives as a source of data. As they are contemporary, the HDV and HRW chapters depend more on document analysis, which is discussed in the above subsection. The archival method seeks to open windows into the past, building a historical picture of past geographies. It allows for contextualisation of other data as well as is a source of new, undiscovered empirics </w:t>
      </w:r>
      <w:r w:rsidRPr="00662E51">
        <w:rPr>
          <w:rFonts w:cs="Arial"/>
          <w:szCs w:val="24"/>
        </w:rPr>
        <w:fldChar w:fldCharType="begin"/>
      </w:r>
      <w:r w:rsidR="005438D0">
        <w:rPr>
          <w:rFonts w:cs="Arial"/>
          <w:szCs w:val="24"/>
        </w:rPr>
        <w:instrText xml:space="preserve"> ADDIN ZOTERO_ITEM CSL_CITATION {"citationID":"So7ZrJEO","properties":{"formattedCitation":"(Beckingham and Hodder 2022; Roche 2005)","plainCitation":"(Beckingham and Hodder 2022; Roche 2005)","noteIndex":0},"citationItems":[{"id":6220,"uris":["http://zotero.org/users/8977980/items/MBH68AQ5"],"itemData":{"id":6220,"type":"chapter","abstract":"Historical Geographies - 1 - Geographical Antagonism and Archives","container-title":"The Routledge Handbook of Methodologies in Human Geography","ISBN":"978-1-003-03884-9","note":"number-of-pages: 10","publisher":"Routledge","title":"Historical Geographies: Geographical Antagonism and Archives","title-short":"Historical Geographies","author":[{"family":"Beckingham","given":"David"},{"family":"Hodder","given":"Jake"}],"issued":{"date-parts":[["2022"]]}}},{"id":4044,"uris":["http://zotero.org/users/8977980/items/89JPDDZV"],"itemData":{"id":4044,"type":"chapter","container-title":"Qualitative Research Methods in Human Geography","page":"133-146","publisher":"Oxford University Press","publisher-place":"New York NY","title":"Historical Research and Archival Sources","author":[{"family":"Roche","given":"Michael"}],"editor":[{"family":"Hay","given":"Ian"}],"issued":{"date-parts":[["2005"]]}}}],"schema":"https://github.com/citation-style-language/schema/raw/master/csl-citation.json"} </w:instrText>
      </w:r>
      <w:r w:rsidRPr="00662E51">
        <w:rPr>
          <w:rFonts w:cs="Arial"/>
          <w:szCs w:val="24"/>
        </w:rPr>
        <w:fldChar w:fldCharType="separate"/>
      </w:r>
      <w:r w:rsidR="005438D0" w:rsidRPr="005438D0">
        <w:t>(Beckingham and Hodder 2022; Roche 2005)</w:t>
      </w:r>
      <w:r w:rsidRPr="00662E51">
        <w:rPr>
          <w:rFonts w:cs="Arial"/>
          <w:szCs w:val="24"/>
        </w:rPr>
        <w:fldChar w:fldCharType="end"/>
      </w:r>
      <w:r w:rsidRPr="00662E51">
        <w:rPr>
          <w:rFonts w:cs="Arial"/>
          <w:szCs w:val="24"/>
        </w:rPr>
        <w:t xml:space="preserve">. However, as constructed places, archives are not neutral </w:t>
      </w:r>
      <w:r w:rsidRPr="00662E51">
        <w:rPr>
          <w:rFonts w:cs="Arial"/>
          <w:szCs w:val="24"/>
        </w:rPr>
        <w:fldChar w:fldCharType="begin"/>
      </w:r>
      <w:r w:rsidR="008835AB" w:rsidRPr="00662E51">
        <w:rPr>
          <w:rFonts w:cs="Arial"/>
          <w:szCs w:val="24"/>
        </w:rPr>
        <w:instrText xml:space="preserve"> ADDIN ZOTERO_ITEM CSL_CITATION {"citationID":"KjUZ0SkC","properties":{"formattedCitation":"(Mbembe 2002)","plainCitation":"(Mbembe 2002)","noteIndex":0},"citationItems":[{"id":6299,"uris":["http://zotero.org/users/8977980/items/3CS47835"],"itemData":{"id":6299,"type":"chapter","abstract":"The term ‘archives’ first refers to a building, a symbol of a public institution, which is one of the organs of a constituted state. However, by ‘archives’ is also understood a collection of documents — normally written documents — kept in this building. There cannot therefore be a definition of ‘archives’ that does not encompass both the building itself and the documents stored there.","container-title":"Refiguring the Archive","DOI":"10.1007/978-94-010-0570-8_2","ISBN":"978-94-010-0570-8","language":"en","page":"19-27","publisher":"Springer Netherlands","publisher-place":"Dordrecht","source":"Springer Link","title":"The Power of the Archive and its Limits","URL":"https://doi.org/10.1007/978-94-010-0570-8_2","author":[{"family":"Mbembe","given":"Achille"}],"editor":[{"family":"Hamilton","given":"Carolyn"},{"family":"Harris","given":"Verne"},{"family":"Taylor","given":"Jane"},{"family":"Pickover","given":"Michele"},{"family":"Reid","given":"Graeme"},{"family":"Saleh","given":"Razia"}],"accessed":{"date-parts":[["2025",1,31]]},"issued":{"date-parts":[["2002"]]}}}],"schema":"https://github.com/citation-style-language/schema/raw/master/csl-citation.json"} </w:instrText>
      </w:r>
      <w:r w:rsidRPr="00662E51">
        <w:rPr>
          <w:rFonts w:cs="Arial"/>
          <w:szCs w:val="24"/>
        </w:rPr>
        <w:fldChar w:fldCharType="separate"/>
      </w:r>
      <w:r w:rsidR="0095662D" w:rsidRPr="00662E51">
        <w:t>(Mbembe 2002)</w:t>
      </w:r>
      <w:r w:rsidRPr="00662E51">
        <w:rPr>
          <w:rFonts w:cs="Arial"/>
          <w:szCs w:val="24"/>
        </w:rPr>
        <w:fldChar w:fldCharType="end"/>
      </w:r>
      <w:r w:rsidRPr="00662E51">
        <w:rPr>
          <w:rFonts w:cs="Arial"/>
          <w:szCs w:val="24"/>
        </w:rPr>
        <w:t>, which I attend to at the end of this subsection.</w:t>
      </w:r>
    </w:p>
    <w:p w14:paraId="117753F5" w14:textId="31CF399D" w:rsidR="000F3E6B" w:rsidRPr="00662E51" w:rsidRDefault="000F3E6B" w:rsidP="00F56305">
      <w:pPr>
        <w:spacing w:line="360" w:lineRule="auto"/>
        <w:ind w:left="0" w:firstLine="720"/>
        <w:rPr>
          <w:rFonts w:cs="Arial"/>
          <w:szCs w:val="24"/>
        </w:rPr>
      </w:pPr>
      <w:r w:rsidRPr="00662E51">
        <w:rPr>
          <w:rFonts w:cs="Arial"/>
          <w:szCs w:val="24"/>
        </w:rPr>
        <w:t xml:space="preserve">The Broadwater Farm chapter </w:t>
      </w:r>
      <w:r w:rsidR="00E52C8F">
        <w:rPr>
          <w:rFonts w:cs="Arial"/>
          <w:szCs w:val="24"/>
        </w:rPr>
        <w:t xml:space="preserve">used </w:t>
      </w:r>
      <w:r w:rsidRPr="00662E51">
        <w:rPr>
          <w:rFonts w:cs="Arial"/>
          <w:szCs w:val="24"/>
        </w:rPr>
        <w:t>primary documents from 1979 to 1995 across four different archives in London, UK: the Bishopsgate Institute, the George Padmore Institute, the Black Cultural Archives, and the archives of Haringey Borough Council held in the Bruce Castle Museum.</w:t>
      </w:r>
      <w:r w:rsidR="00EC1022" w:rsidRPr="00662E51">
        <w:rPr>
          <w:rFonts w:cs="Arial"/>
          <w:szCs w:val="24"/>
        </w:rPr>
        <w:t xml:space="preserve"> The first two archives primarily hold papers from Black leaders and communities in London. The Bishopsgate Institute’s archives focus on documenting both activists and </w:t>
      </w:r>
      <w:r w:rsidR="00EC1022" w:rsidRPr="00662E51">
        <w:rPr>
          <w:rFonts w:cs="Arial"/>
          <w:szCs w:val="24"/>
        </w:rPr>
        <w:lastRenderedPageBreak/>
        <w:t xml:space="preserve">changemakers as well as the mundane aspects of historical everyday life. Finally, the last archive chiefly holds Haringey Council’s records. </w:t>
      </w:r>
      <w:r w:rsidRPr="00662E51">
        <w:rPr>
          <w:rFonts w:cs="Arial"/>
          <w:szCs w:val="24"/>
        </w:rPr>
        <w:t xml:space="preserve">The scattered nature of the archive meant I thus ended up taking a tour of some of the influential Black neighbourhoods in the city: Brixton, Tottenham, Finsbury Park. As I discuss below in City Walking, visits to these places informed the frame of the research, tugging it to include elements like the history/ies of Black migration to the UK and the politics of diaspora </w:t>
      </w:r>
      <w:r w:rsidR="00134116" w:rsidRPr="00662E51">
        <w:rPr>
          <w:rFonts w:cs="Arial"/>
          <w:szCs w:val="24"/>
        </w:rPr>
        <w:fldChar w:fldCharType="begin"/>
      </w:r>
      <w:r w:rsidR="00213B80">
        <w:rPr>
          <w:rFonts w:cs="Arial"/>
          <w:szCs w:val="24"/>
        </w:rPr>
        <w:instrText xml:space="preserve"> ADDIN ZOTERO_ITEM CSL_CITATION {"citationID":"jGApjRvG","properties":{"formattedCitation":"(Gilroy 2002; S. Hall 2021)","plainCitation":"(Gilroy 2002; S. Hall 2021)","noteIndex":0},"citationItems":[{"id":3194,"uris":["http://zotero.org/users/8977980/items/UCQZ5MBA"],"itemData":{"id":3194,"type":"book","call-number":"DA125.N4 G55 2002","collection-title":"Routledge classics","ISBN":"978-0-415-28980-1","note":"OCLC: ocm50100824","number-of-pages":"366","publisher":"Routledge","publisher-place":"London ; New York","source":"Library of Congress ISBN","title":"There ain't no black in the Union Jack: the cultural politics of race and nation","title-short":"There ain't no black in the Union Jack","author":[{"family":"Gilroy","given":"Paul"}],"issued":{"date-parts":[["2002"]]}}},{"id":4631,"uris":["http://zotero.org/users/8977980/items/D8EQ5GNU"],"itemData":{"id":4631,"type":"book","abstract":"\"Stuart Hall famously argued that \"race is the modality through which class is lived.\" This collection demonstrates the remarkable range in which a committed thinker constantly sharpened his understanding of contemporary challenges, and sought to articulate problems and opportunities across space and struggles. In a variety of formats, long and short, lecture and essay, scholarly and popular, Hall shows readers not what to think but rather how and why particular approaches might offer usable insights and models for further thought and action\"--","call-number":"HT1523","collection-title":"Stuart hall: selected writings","ISBN":"978-1-4780-2122-3","number-of-pages":"1","publisher":"Duke University Press","publisher-place":"Durham","source":"Library of Congress ISBN","title":"Selected writings on race and difference","author":[{"family":"Hall","given":"Stuart"}],"editor":[{"family":"Gilroy","given":"Paul"},{"family":"Gilmore","given":"Ruth Wilson"}],"issued":{"date-parts":[["2021"]]}}}],"schema":"https://github.com/citation-style-language/schema/raw/master/csl-citation.json"} </w:instrText>
      </w:r>
      <w:r w:rsidR="00134116" w:rsidRPr="00662E51">
        <w:rPr>
          <w:rFonts w:cs="Arial"/>
          <w:szCs w:val="24"/>
        </w:rPr>
        <w:fldChar w:fldCharType="separate"/>
      </w:r>
      <w:r w:rsidR="00213B80" w:rsidRPr="00213B80">
        <w:t>(Gilroy 2002; S. Hall 2021)</w:t>
      </w:r>
      <w:r w:rsidR="00134116" w:rsidRPr="00662E51">
        <w:rPr>
          <w:rFonts w:cs="Arial"/>
          <w:szCs w:val="24"/>
        </w:rPr>
        <w:fldChar w:fldCharType="end"/>
      </w:r>
      <w:r w:rsidR="00134116" w:rsidRPr="00662E51">
        <w:rPr>
          <w:rFonts w:cs="Arial"/>
          <w:szCs w:val="24"/>
        </w:rPr>
        <w:t xml:space="preserve">. </w:t>
      </w:r>
      <w:r w:rsidRPr="00662E51">
        <w:rPr>
          <w:rFonts w:cs="Arial"/>
          <w:szCs w:val="24"/>
        </w:rPr>
        <w:t xml:space="preserve">Each visit to a new library and neighbourhood opened new lines of thought, and were generative in their own way. </w:t>
      </w:r>
    </w:p>
    <w:p w14:paraId="29DC9B26" w14:textId="1D74AF6B" w:rsidR="000F3E6B" w:rsidRPr="00662E51" w:rsidRDefault="000F3E6B" w:rsidP="00F56305">
      <w:pPr>
        <w:spacing w:line="360" w:lineRule="auto"/>
        <w:ind w:left="0" w:firstLine="720"/>
        <w:rPr>
          <w:rFonts w:cs="Arial"/>
          <w:szCs w:val="24"/>
        </w:rPr>
      </w:pPr>
      <w:r w:rsidRPr="00662E51">
        <w:rPr>
          <w:rFonts w:cs="Arial"/>
          <w:szCs w:val="24"/>
        </w:rPr>
        <w:t xml:space="preserve">Relevant papers included correspondence between activists and politicians; newspaper articles; publications from the Council’s staff (including its public relations team) and councillors; and the Youth Association’s own productions like pamphlets and newsletters. In all, I collected 43 documents across the four archives (not counting repeats). Some of these texts were personal notes and pictures, which both complicated the notion of an objective archive </w:t>
      </w:r>
      <w:r w:rsidRPr="00662E51">
        <w:rPr>
          <w:rFonts w:cs="Arial"/>
          <w:szCs w:val="24"/>
        </w:rPr>
        <w:fldChar w:fldCharType="begin"/>
      </w:r>
      <w:r w:rsidR="00557CA9" w:rsidRPr="00662E51">
        <w:rPr>
          <w:rFonts w:cs="Arial"/>
          <w:szCs w:val="24"/>
        </w:rPr>
        <w:instrText xml:space="preserve"> ADDIN ZOTERO_ITEM CSL_CITATION {"citationID":"p4aYxJxx","properties":{"formattedCitation":"(Ashmore et al. 2012)","plainCitation":"(Ashmore et al. 2012)","noteIndex":0},"citationItems":[{"id":6215,"uris":["http://zotero.org/users/8977980/items/SI2G253C"],"itemData":{"id":6215,"type":"article-journal","abstract":"This paper draws upon experiences of working in a personal archive in a domestic space in order to contribute to recent debates about archival formation, conduct and practice. By exploring the collaborative practices of working-with an archive owner in ordering and cataloguing a collection, we provide methodological insights into how historical geography research is carried out. Although such working-with in archives is, we argue, a common practice amongst researchers, these interactions with others are often absent from published work. This paper provides an explicit discussion of these often hidden collaborations and socialities, highlighting their importance for the conduct of archival research in three specific areas. First, we show how working-with actively (re)shapes and (re)makes archival materials and the stories that emerge from them. Second, we argue that working-with the owners of archives, but doing so without clearly defined research aims and going against the grain of productivist methods of working, can be rewarding both within and beyond academia. Third, in focussing on working-with, the paper extends conceptions of the archive and archival practice. We argue that the domestic setting of archival work produces particular patterns of archival conduct and disrupts the boundaries of collections themselves.","container-title":"Journal of Historical Geography","DOI":"10.1016/j.jhg.2011.06.002","ISSN":"0305-7488","issue":"1","journalAbbreviation":"Journal of Historical Geography","page":"81-89","source":"ScienceDirect","title":"Working-with: talking and sorting in personal archives","title-short":"Working-with","volume":"38","author":[{"family":"Ashmore","given":"Paul"},{"family":"Craggs","given":"Ruth"},{"family":"Neate","given":"Hannah"}],"issued":{"date-parts":[["2012",1,1]]}}}],"schema":"https://github.com/citation-style-language/schema/raw/master/csl-citation.json"} </w:instrText>
      </w:r>
      <w:r w:rsidRPr="00662E51">
        <w:rPr>
          <w:rFonts w:cs="Arial"/>
          <w:szCs w:val="24"/>
        </w:rPr>
        <w:fldChar w:fldCharType="separate"/>
      </w:r>
      <w:r w:rsidR="0095662D" w:rsidRPr="00662E51">
        <w:t>(Ashmore et al. 2012)</w:t>
      </w:r>
      <w:r w:rsidRPr="00662E51">
        <w:rPr>
          <w:rFonts w:cs="Arial"/>
          <w:szCs w:val="24"/>
        </w:rPr>
        <w:fldChar w:fldCharType="end"/>
      </w:r>
      <w:r w:rsidRPr="00662E51">
        <w:rPr>
          <w:rFonts w:cs="Arial"/>
          <w:szCs w:val="24"/>
        </w:rPr>
        <w:t xml:space="preserve"> and foregrounded the intimate and local nature of the organisation. I supplemented this corpus with news articles from the 1980s and 1990s (accessed via Durham University Library’s portal), the Broadwater Farm Inquiry Report into the 1985 riot </w:t>
      </w:r>
      <w:r w:rsidRPr="00662E51">
        <w:rPr>
          <w:rFonts w:cs="Arial"/>
          <w:szCs w:val="24"/>
        </w:rPr>
        <w:fldChar w:fldCharType="begin"/>
      </w:r>
      <w:r w:rsidRPr="00662E51">
        <w:rPr>
          <w:rFonts w:cs="Arial"/>
          <w:szCs w:val="24"/>
        </w:rPr>
        <w:instrText xml:space="preserve"> ADDIN ZOTERO_ITEM CSL_CITATION {"citationID":"08YAVvKf","properties":{"formattedCitation":"(commonly called the Gifford Report; 1986)","plainCitation":"(commonly called the Gifford Report; 1986)","noteIndex":0},"citationItems":[{"id":5214,"uris":["http://zotero.org/users/8977980/items/QT5S27DM"],"itemData":{"id":5214,"type":"book","edition":"First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Tottenham","URL":"https://berniegrantarchive.org.uk/bg-303-623-bro/","author":[{"family":"Gifford","given":"Lord"}],"issued":{"date-parts":[["1986",1,1]]}},"label":"page","suppress-author":true,"prefix":"commonly called the Gifford Report;"}],"schema":"https://github.com/citation-style-language/schema/raw/master/csl-citation.json"} </w:instrText>
      </w:r>
      <w:r w:rsidRPr="00662E51">
        <w:rPr>
          <w:rFonts w:cs="Arial"/>
          <w:szCs w:val="24"/>
        </w:rPr>
        <w:fldChar w:fldCharType="separate"/>
      </w:r>
      <w:r w:rsidR="0095662D" w:rsidRPr="00662E51">
        <w:t>(commonly called the Gifford Report; 1986)</w:t>
      </w:r>
      <w:r w:rsidRPr="00662E51">
        <w:rPr>
          <w:rFonts w:cs="Arial"/>
          <w:szCs w:val="24"/>
        </w:rPr>
        <w:fldChar w:fldCharType="end"/>
      </w:r>
      <w:r w:rsidRPr="00662E51">
        <w:rPr>
          <w:rFonts w:cs="Arial"/>
          <w:szCs w:val="24"/>
        </w:rPr>
        <w:t xml:space="preserve"> Mrs Kiffin’s biography </w:t>
      </w:r>
      <w:r w:rsidRPr="00662E51">
        <w:rPr>
          <w:rFonts w:cs="Arial"/>
          <w:szCs w:val="24"/>
        </w:rPr>
        <w:fldChar w:fldCharType="begin"/>
      </w:r>
      <w:r w:rsidR="008835AB" w:rsidRPr="00662E51">
        <w:rPr>
          <w:rFonts w:cs="Arial"/>
          <w:szCs w:val="24"/>
        </w:rPr>
        <w:instrText xml:space="preserve"> ADDIN ZOTERO_ITEM CSL_CITATION {"citationID":"DVsRHfeO","properties":{"formattedCitation":"(Williams 1994)","plainCitation":"(Williams 1994)","noteIndex":0},"citationItems":[{"id":5315,"uris":["http://zotero.org/users/8977980/items/Q3WDKSWW"],"itemData":{"id":5315,"type":"book","abstract":"KEEPER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DREAM","author":[{"family":"Williams","given":"Paul"}],"accessed":{"date-parts":[["2023",10,12]]},"issued":{"date-parts":[["1994"]]}}}],"schema":"https://github.com/citation-style-language/schema/raw/master/csl-citation.json"} </w:instrText>
      </w:r>
      <w:r w:rsidRPr="00662E51">
        <w:rPr>
          <w:rFonts w:cs="Arial"/>
          <w:szCs w:val="24"/>
        </w:rPr>
        <w:fldChar w:fldCharType="separate"/>
      </w:r>
      <w:r w:rsidR="0095662D" w:rsidRPr="00662E51">
        <w:t>(Williams 1994)</w:t>
      </w:r>
      <w:r w:rsidRPr="00662E51">
        <w:rPr>
          <w:rFonts w:cs="Arial"/>
          <w:szCs w:val="24"/>
        </w:rPr>
        <w:fldChar w:fldCharType="end"/>
      </w:r>
      <w:r w:rsidRPr="00662E51">
        <w:rPr>
          <w:rFonts w:cs="Arial"/>
          <w:szCs w:val="24"/>
        </w:rPr>
        <w:t>—which she commissioned—and the Lost Blocks Collective’s</w:t>
      </w:r>
      <w:r w:rsidR="00193A97" w:rsidRPr="00BD17AF">
        <w:rPr>
          <w:rStyle w:val="FootnoteReference"/>
        </w:rPr>
        <w:footnoteReference w:id="40"/>
      </w:r>
      <w:r w:rsidRPr="00662E51">
        <w:rPr>
          <w:rFonts w:cs="Arial"/>
          <w:szCs w:val="24"/>
        </w:rPr>
        <w:t xml:space="preserve">  interview with Clasford Stirling </w:t>
      </w:r>
      <w:r w:rsidRPr="00662E51">
        <w:rPr>
          <w:rFonts w:cs="Arial"/>
          <w:szCs w:val="24"/>
        </w:rPr>
        <w:fldChar w:fldCharType="begin"/>
      </w:r>
      <w:r w:rsidRPr="00662E51">
        <w:rPr>
          <w:rFonts w:cs="Arial"/>
          <w:szCs w:val="24"/>
        </w:rPr>
        <w:instrText xml:space="preserve"> ADDIN ZOTERO_ITEM CSL_CITATION {"citationID":"geSOhR1y","properties":{"formattedCitation":"(2022)","plainCitation":"(2022)","noteIndex":0},"citationItems":[{"id":5209,"uris":["http://zotero.org/users/8977980/items/V3IR23E3"],"itemData":{"id":5209,"type":"interview","abstract":"In the third episode of the Lost Blocks Collective podcast, LBC member Elliesse sits down with Clasford Stirling, an incredibly well-known community figure in Broadwater Farm, who has worked with the youth on the estate since the 1980's. Clasford talks us through the history of the estate, highlighting a number of different community figures and detailing the incredible work of the Youth Association, which he helped formed. \n\nIn The Voices of Broadwater Farm podcast the Collective interview a number of Broadwater Farm residents and community figures, providing them with a platform through which to discuss the estate and their experiences growing up there.","title":"The Voices of Broadwater Farm - Clasford Stirling MBE","URL":"https://www.youtube.com/watch?v=kx6PtEipg0M","interviewer":[{"literal":"Lost Block Collective"}],"author":[{"family":"Stirling","given":"Clasford"}],"accessed":{"date-parts":[["2023",9,29]]},"issued":{"date-parts":[["2022",8,18]]}},"label":"page","suppress-author":true}],"schema":"https://github.com/citation-style-language/schema/raw/master/csl-citation.json"} </w:instrText>
      </w:r>
      <w:r w:rsidRPr="00662E51">
        <w:rPr>
          <w:rFonts w:cs="Arial"/>
          <w:szCs w:val="24"/>
        </w:rPr>
        <w:fldChar w:fldCharType="separate"/>
      </w:r>
      <w:r w:rsidR="0095662D" w:rsidRPr="00662E51">
        <w:t>(2022)</w:t>
      </w:r>
      <w:r w:rsidRPr="00662E51">
        <w:rPr>
          <w:rFonts w:cs="Arial"/>
          <w:szCs w:val="24"/>
        </w:rPr>
        <w:fldChar w:fldCharType="end"/>
      </w:r>
      <w:r w:rsidRPr="00662E51">
        <w:rPr>
          <w:rFonts w:cs="Arial"/>
          <w:szCs w:val="24"/>
        </w:rPr>
        <w:t xml:space="preserve">, another BFYA founder. As such, I was able to build a comprehensive, but necessarily incomplete, picture of the Association’s activities. </w:t>
      </w:r>
    </w:p>
    <w:p w14:paraId="0F38BCAD" w14:textId="2555CA9D" w:rsidR="000F3E6B" w:rsidRPr="00662E51" w:rsidRDefault="000F3E6B" w:rsidP="00F56305">
      <w:pPr>
        <w:spacing w:line="360" w:lineRule="auto"/>
        <w:ind w:left="0" w:firstLine="720"/>
        <w:rPr>
          <w:rFonts w:cs="Arial"/>
          <w:szCs w:val="24"/>
        </w:rPr>
      </w:pPr>
      <w:r w:rsidRPr="00662E51">
        <w:rPr>
          <w:rFonts w:cs="Arial"/>
          <w:szCs w:val="24"/>
        </w:rPr>
        <w:t xml:space="preserve">The </w:t>
      </w:r>
      <w:r w:rsidRPr="00662E51">
        <w:rPr>
          <w:rFonts w:cs="Arial"/>
          <w:i/>
          <w:iCs/>
          <w:szCs w:val="24"/>
        </w:rPr>
        <w:t>place</w:t>
      </w:r>
      <w:r w:rsidRPr="00662E51">
        <w:rPr>
          <w:rFonts w:cs="Arial"/>
          <w:szCs w:val="24"/>
        </w:rPr>
        <w:t xml:space="preserve"> of the archive became just as important as the </w:t>
      </w:r>
      <w:r w:rsidRPr="00662E51">
        <w:rPr>
          <w:rFonts w:cs="Arial"/>
          <w:i/>
          <w:iCs/>
          <w:szCs w:val="24"/>
        </w:rPr>
        <w:t>contents</w:t>
      </w:r>
      <w:r w:rsidRPr="00662E51">
        <w:rPr>
          <w:rFonts w:cs="Arial"/>
          <w:szCs w:val="24"/>
        </w:rPr>
        <w:t xml:space="preserve"> of the archive, too </w:t>
      </w:r>
      <w:r w:rsidRPr="00662E51">
        <w:rPr>
          <w:rFonts w:cs="Arial"/>
          <w:szCs w:val="24"/>
        </w:rPr>
        <w:fldChar w:fldCharType="begin"/>
      </w:r>
      <w:r w:rsidR="008835AB" w:rsidRPr="00662E51">
        <w:rPr>
          <w:rFonts w:cs="Arial"/>
          <w:szCs w:val="24"/>
        </w:rPr>
        <w:instrText xml:space="preserve"> ADDIN ZOTERO_ITEM CSL_CITATION {"citationID":"BLLdDTCy","properties":{"formattedCitation":"(Mbembe 2002)","plainCitation":"(Mbembe 2002)","noteIndex":0},"citationItems":[{"id":6299,"uris":["http://zotero.org/users/8977980/items/3CS47835"],"itemData":{"id":6299,"type":"chapter","abstract":"The term ‘archives’ first refers to a building, a symbol of a public institution, which is one of the organs of a constituted state. However, by ‘archives’ is also understood a collection of documents — normally written documents — kept in this building. There cannot therefore be a definition of ‘archives’ that does not encompass both the building itself and the documents stored there.","container-title":"Refiguring the Archive","DOI":"10.1007/978-94-010-0570-8_2","ISBN":"978-94-010-0570-8","language":"en","page":"19-27","publisher":"Springer Netherlands","publisher-place":"Dordrecht","source":"Springer Link","title":"The Power of the Archive and its Limits","URL":"https://doi.org/10.1007/978-94-010-0570-8_2","author":[{"family":"Mbembe","given":"Achille"}],"editor":[{"family":"Hamilton","given":"Carolyn"},{"family":"Harris","given":"Verne"},{"family":"Taylor","given":"Jane"},{"family":"Pickover","given":"Michele"},{"family":"Reid","given":"Graeme"},{"family":"Saleh","given":"Razia"}],"accessed":{"date-parts":[["2025",1,31]]},"issued":{"date-parts":[["2002"]]}}}],"schema":"https://github.com/citation-style-language/schema/raw/master/csl-citation.json"} </w:instrText>
      </w:r>
      <w:r w:rsidRPr="00662E51">
        <w:rPr>
          <w:rFonts w:cs="Arial"/>
          <w:szCs w:val="24"/>
        </w:rPr>
        <w:fldChar w:fldCharType="separate"/>
      </w:r>
      <w:r w:rsidR="0095662D" w:rsidRPr="00662E51">
        <w:t>(Mbembe 2002)</w:t>
      </w:r>
      <w:r w:rsidRPr="00662E51">
        <w:rPr>
          <w:rFonts w:cs="Arial"/>
          <w:szCs w:val="24"/>
        </w:rPr>
        <w:fldChar w:fldCharType="end"/>
      </w:r>
      <w:r w:rsidRPr="00662E51">
        <w:rPr>
          <w:rFonts w:cs="Arial"/>
          <w:szCs w:val="24"/>
        </w:rPr>
        <w:t xml:space="preserve">. For example, Haringey Borough’s repository raised questions of state-held archives, the ways in which they can be “carefully crafted by those in power” to represent a specific version of history </w:t>
      </w:r>
      <w:r w:rsidRPr="00662E51">
        <w:rPr>
          <w:rFonts w:cs="Arial"/>
          <w:szCs w:val="24"/>
        </w:rPr>
        <w:fldChar w:fldCharType="begin"/>
      </w:r>
      <w:r w:rsidR="008835AB" w:rsidRPr="00662E51">
        <w:rPr>
          <w:rFonts w:cs="Arial"/>
          <w:szCs w:val="24"/>
        </w:rPr>
        <w:instrText xml:space="preserve"> ADDIN ZOTERO_ITEM CSL_CITATION {"citationID":"B3XUkB0X","properties":{"formattedCitation":"(Siener and Varsanyi 2022, 551)","plainCitation":"(Siener and Varsanyi 2022, 551)","noteIndex":0},"citationItems":[{"id":6185,"uris":["http://zotero.org/users/8977980/items/FXLPZBMU"],"itemData":{"id":6185,"type":"article-journal","abstract":"The articles in this Focus section offer critical interventions that will be useful not only to historical geographers but to any geographer who embarks on archival research, particularly research engaging with the state. The articles engage not only with the archive-as-source but with the scholar’s physical experience of the archive-as-site or archive-as-place. Consequently, it is not only the documents held in an archive that inform our research on the state but the state of the archives themselves as contested places that can help us read the state against the grain. The experiences of the researcher attempting to engage with an archive and the presences and absences in the collections offer important historical clues to understanding the nature of the state that produced the archives. Exploring these dynamics from different perspectives, the articles in this collection engage with the neoliberal, postcolonial, counterinsurgent, and carceral states. Key Words: archival research, archives, methodology, state.","container-title":"The Professional Geographer","DOI":"10.1080/00330124.2022.2048872","ISSN":"0033-0124","issue":"3","note":"_eprint: https://doi.org/10.1080/00330124.2022.2048872","page":"549-552","publisher":"Routledge","source":"Taylor and Francis+NEJM","title":"State of the Archives, Archives of the State: Methodological Challenges of Archival Research in Geography","title-short":"State of the Archives, Archives of the State","volume":"74","author":[{"family":"Siener","given":"Christian D."},{"family":"Varsanyi","given":"Monica W."}],"issued":{"date-parts":[["2022",7,3]]}},"locator":"551"}],"schema":"https://github.com/citation-style-language/schema/raw/master/csl-citation.json"} </w:instrText>
      </w:r>
      <w:r w:rsidRPr="00662E51">
        <w:rPr>
          <w:rFonts w:cs="Arial"/>
          <w:szCs w:val="24"/>
        </w:rPr>
        <w:fldChar w:fldCharType="separate"/>
      </w:r>
      <w:r w:rsidR="0095662D" w:rsidRPr="00662E51">
        <w:t>(Siener and Varsanyi 2022, 551)</w:t>
      </w:r>
      <w:r w:rsidRPr="00662E51">
        <w:rPr>
          <w:rFonts w:cs="Arial"/>
          <w:szCs w:val="24"/>
        </w:rPr>
        <w:fldChar w:fldCharType="end"/>
      </w:r>
      <w:r w:rsidRPr="00662E51">
        <w:rPr>
          <w:rFonts w:cs="Arial"/>
          <w:szCs w:val="24"/>
        </w:rPr>
        <w:t xml:space="preserve">. The judgement of past state archivists deciding what BFYA material to include or not echoed over time: archivists “occupy [a] strategic position in the production of an instituting imaginary,” thereby structuring what direction(s) and thread(s) I was able to follow </w:t>
      </w:r>
      <w:r w:rsidRPr="00662E51">
        <w:rPr>
          <w:rFonts w:cs="Arial"/>
          <w:szCs w:val="24"/>
        </w:rPr>
        <w:fldChar w:fldCharType="begin"/>
      </w:r>
      <w:r w:rsidR="008835AB" w:rsidRPr="00662E51">
        <w:rPr>
          <w:rFonts w:cs="Arial"/>
          <w:szCs w:val="24"/>
        </w:rPr>
        <w:instrText xml:space="preserve"> ADDIN ZOTERO_ITEM CSL_CITATION {"citationID":"m2EKJPpU","properties":{"formattedCitation":"(Mbembe 2002, 26)","plainCitation":"(Mbembe 2002, 26)","noteIndex":0},"citationItems":[{"id":6299,"uris":["http://zotero.org/users/8977980/items/3CS47835"],"itemData":{"id":6299,"type":"chapter","abstract":"The term ‘archives’ first refers to a building, a symbol of a public institution, which is one of the organs of a constituted state. However, by ‘archives’ is also understood a collection of documents — normally written documents — kept in this building. There cannot therefore be a definition of ‘archives’ that does not encompass both the building itself and the documents stored there.","container-title":"Refiguring the Archive","DOI":"10.1007/978-94-010-0570-8_2","ISBN":"978-94-010-0570-8","language":"en","page":"19-27","publisher":"Springer Netherlands","publisher-place":"Dordrecht","source":"Springer Link","title":"The Power of the Archive and its Limits","URL":"https://doi.org/10.1007/978-94-010-0570-8_2","author":[{"family":"Mbembe","given":"Achille"}],"editor":[{"family":"Hamilton","given":"Carolyn"},{"family":"Harris","given":"Verne"},{"family":"Taylor","given":"Jane"},{"family":"Pickover","given":"Michele"},{"family":"Reid","given":"Graeme"},{"family":"Saleh","given":"Razia"}],"accessed":{"date-parts":[["2025",1,31]]},"issued":{"date-parts":[["2002"]]}},"locator":"26"}],"schema":"https://github.com/citation-style-language/schema/raw/master/csl-citation.json"} </w:instrText>
      </w:r>
      <w:r w:rsidRPr="00662E51">
        <w:rPr>
          <w:rFonts w:cs="Arial"/>
          <w:szCs w:val="24"/>
        </w:rPr>
        <w:fldChar w:fldCharType="separate"/>
      </w:r>
      <w:r w:rsidR="0095662D" w:rsidRPr="00662E51">
        <w:t>(Mbembe 2002, 26)</w:t>
      </w:r>
      <w:r w:rsidRPr="00662E51">
        <w:rPr>
          <w:rFonts w:cs="Arial"/>
          <w:szCs w:val="24"/>
        </w:rPr>
        <w:fldChar w:fldCharType="end"/>
      </w:r>
      <w:r w:rsidRPr="00662E51">
        <w:rPr>
          <w:rFonts w:cs="Arial"/>
          <w:szCs w:val="24"/>
        </w:rPr>
        <w:t xml:space="preserve">. Moreover, the state of the </w:t>
      </w:r>
      <w:r w:rsidRPr="00662E51">
        <w:rPr>
          <w:rFonts w:cs="Arial"/>
          <w:szCs w:val="24"/>
        </w:rPr>
        <w:lastRenderedPageBreak/>
        <w:t xml:space="preserve">archives themselves structured my work </w:t>
      </w:r>
      <w:r w:rsidRPr="00662E51">
        <w:rPr>
          <w:rFonts w:cs="Arial"/>
          <w:szCs w:val="24"/>
        </w:rPr>
        <w:fldChar w:fldCharType="begin"/>
      </w:r>
      <w:r w:rsidR="008835AB" w:rsidRPr="00662E51">
        <w:rPr>
          <w:rFonts w:cs="Arial"/>
          <w:szCs w:val="24"/>
        </w:rPr>
        <w:instrText xml:space="preserve"> ADDIN ZOTERO_ITEM CSL_CITATION {"citationID":"aRi373rQ","properties":{"formattedCitation":"(Nassar 2018)","plainCitation":"(Nassar 2018)","noteIndex":0},"citationItems":[{"id":6336,"uris":["http://zotero.org/users/8977980/items/8PV86LGQ"],"itemData":{"id":6336,"type":"article-journal","container-title":"Contemporary Social Science","DOI":"10.1080/21582041.2017.1418521","ISSN":"2158-2041","issue":"3-4","page":"412-428","publisher":"RSA Website","source":"tandfonline.com (Atypon)","title":"Where the dust settles: fieldwork, subjectivity and materiality in Cairo","title-short":"Where the dust settles","volume":"13","author":[{"family":"Nassar","given":"Aya"}],"issued":{"date-parts":[["2018",10,2]]}}}],"schema":"https://github.com/citation-style-language/schema/raw/master/csl-citation.json"} </w:instrText>
      </w:r>
      <w:r w:rsidRPr="00662E51">
        <w:rPr>
          <w:rFonts w:cs="Arial"/>
          <w:szCs w:val="24"/>
        </w:rPr>
        <w:fldChar w:fldCharType="separate"/>
      </w:r>
      <w:r w:rsidR="0095662D" w:rsidRPr="00662E51">
        <w:t>(Nassar 2018)</w:t>
      </w:r>
      <w:r w:rsidRPr="00662E51">
        <w:rPr>
          <w:rFonts w:cs="Arial"/>
          <w:szCs w:val="24"/>
        </w:rPr>
        <w:fldChar w:fldCharType="end"/>
      </w:r>
      <w:r w:rsidRPr="00662E51">
        <w:rPr>
          <w:rFonts w:cs="Arial"/>
          <w:szCs w:val="24"/>
        </w:rPr>
        <w:t xml:space="preserve">. Some archives were well-funded and -staffed, with generous visiting hours. Others had fewer resources. As Hyacinth </w:t>
      </w:r>
      <w:r w:rsidRPr="00662E51">
        <w:rPr>
          <w:rFonts w:cs="Arial"/>
          <w:szCs w:val="24"/>
        </w:rPr>
        <w:fldChar w:fldCharType="begin"/>
      </w:r>
      <w:r w:rsidR="008835AB" w:rsidRPr="00662E51">
        <w:rPr>
          <w:rFonts w:cs="Arial"/>
          <w:szCs w:val="24"/>
        </w:rPr>
        <w:instrText xml:space="preserve"> ADDIN ZOTERO_ITEM CSL_CITATION {"citationID":"yrlfPuJA","properties":{"formattedCitation":"(2019)","plainCitation":"(2019)","noteIndex":0},"citationItems":[{"id":6214,"uris":["http://zotero.org/users/8977980/items/49ZX9M22"],"itemData":{"id":6214,"type":"report","language":"en","page":"1-25","publisher":"Race, Culture and Equality Working Group Report, Royal Geographical Society","publisher-place":"London (UK), United Kingdom","title":"Black Archives in the UK Report: Opportunities, Challenges and Moving Forward","URL":"https://raceingeography.org/wp-content/uploads/2019/08/race-group-report-july-2019-proofread.pdf","author":[{"family":"Hyacinth","given":"Natalie"}],"issued":{"date-parts":[["2019",7]]}},"label":"page","suppress-author":true}],"schema":"https://github.com/citation-style-language/schema/raw/master/csl-citation.json"} </w:instrText>
      </w:r>
      <w:r w:rsidRPr="00662E51">
        <w:rPr>
          <w:rFonts w:cs="Arial"/>
          <w:szCs w:val="24"/>
        </w:rPr>
        <w:fldChar w:fldCharType="separate"/>
      </w:r>
      <w:r w:rsidR="0095662D" w:rsidRPr="00662E51">
        <w:t>(2019)</w:t>
      </w:r>
      <w:r w:rsidRPr="00662E51">
        <w:rPr>
          <w:rFonts w:cs="Arial"/>
          <w:szCs w:val="24"/>
        </w:rPr>
        <w:fldChar w:fldCharType="end"/>
      </w:r>
      <w:r w:rsidRPr="00662E51">
        <w:rPr>
          <w:rFonts w:cs="Arial"/>
          <w:szCs w:val="24"/>
        </w:rPr>
        <w:t xml:space="preserve"> reveals, British Black archives are often insecure due to little funding, space, staff, and awareness of their holdings. While archivists are typically experts, precarity often means a reliance on volunteer staff who may have less familiarity with the subject. Legal restrictions, too, structured this inquiry. For instance, Bernie Grant’s letters are inaccessible because not enough time has lapsed since his passing. These documents were fragments of a wider story </w:t>
      </w:r>
      <w:r w:rsidRPr="00662E51">
        <w:rPr>
          <w:rFonts w:cs="Arial"/>
          <w:szCs w:val="24"/>
        </w:rPr>
        <w:fldChar w:fldCharType="begin"/>
      </w:r>
      <w:r w:rsidR="00557CA9" w:rsidRPr="00662E51">
        <w:rPr>
          <w:rFonts w:cs="Arial"/>
          <w:szCs w:val="24"/>
        </w:rPr>
        <w:instrText xml:space="preserve"> ADDIN ZOTERO_ITEM CSL_CITATION {"citationID":"G4ZHwHeZ","properties":{"formattedCitation":"(McFarlane 2018)","plainCitation":"(McFarlane 2018)","noteIndex":0},"citationItems":[{"id":87,"uris":["http://zotero.org/users/8977980/items/AA327SLC"],"itemData":{"id":87,"type":"article-journal","abstract":"Fragmentation is a keyword in the history of critical urban thought. Yet the products of fragmentation – the fragments themselves – tend to receive less attention. In this paper, I develop a politics of urban fragments as a contribution to debates both in urban theory and in urban poverty and inequality. I examine inadequate and broken material fragments on the economic margins of the urban global South, and ask how they become differently politicized in cities. I develop a three-fold framework for understanding the politics of fragments: attending to, generative translation and surveying wholes. I build these arguments through a focus on a fundamental provision – urban sanitation – drawing on research in Mumbai in particular, as well as Cape Town, and connecting those instances to research on urban poverty, politics and fragmentation.","container-title":"Environment and Planning D: Society and Space","DOI":"10.1177/0263775818777496","ISSN":"0263-7758, 1472-3433","issue":"6","journalAbbreviation":"Environ Plan D","language":"en","page":"1007-1025","source":"DOI.org (Crossref)","title":"Fragment urbanism: Politics at the margins of the city","title-short":"Fragment urbanism","volume":"36","author":[{"family":"McFarlane","given":"Colin"}],"issued":{"date-parts":[["2018",12]]}}}],"schema":"https://github.com/citation-style-language/schema/raw/master/csl-citation.json"} </w:instrText>
      </w:r>
      <w:r w:rsidRPr="00662E51">
        <w:rPr>
          <w:rFonts w:cs="Arial"/>
          <w:szCs w:val="24"/>
        </w:rPr>
        <w:fldChar w:fldCharType="separate"/>
      </w:r>
      <w:r w:rsidR="0095662D" w:rsidRPr="00662E51">
        <w:t>(McFarlane 2018)</w:t>
      </w:r>
      <w:r w:rsidRPr="00662E51">
        <w:rPr>
          <w:rFonts w:cs="Arial"/>
          <w:szCs w:val="24"/>
        </w:rPr>
        <w:fldChar w:fldCharType="end"/>
      </w:r>
      <w:r w:rsidRPr="00662E51">
        <w:rPr>
          <w:rFonts w:cs="Arial"/>
          <w:szCs w:val="24"/>
        </w:rPr>
        <w:t xml:space="preserve">, pieces that are disconnected—not from a complete archive (an impossibility) but rather a variegated understanding of BFYA in the minds of its many participants, opponents, and beneficiaries. As such, archives only tell one part of the story </w:t>
      </w:r>
      <w:r w:rsidRPr="00662E51">
        <w:rPr>
          <w:rFonts w:cs="Arial"/>
          <w:szCs w:val="24"/>
        </w:rPr>
        <w:fldChar w:fldCharType="begin"/>
      </w:r>
      <w:r w:rsidR="008835AB" w:rsidRPr="00662E51">
        <w:rPr>
          <w:rFonts w:cs="Arial"/>
          <w:szCs w:val="24"/>
        </w:rPr>
        <w:instrText xml:space="preserve"> ADDIN ZOTERO_ITEM CSL_CITATION {"citationID":"pMSxvCiK","properties":{"formattedCitation":"(Lorimer 2010)","plainCitation":"(Lorimer 2010)","noteIndex":0},"citationItems":[{"id":4043,"uris":["http://zotero.org/users/8977980/items/ETKPZBCR"],"itemData":{"id":4043,"type":"chapter","container-title":"The SAGE handbook of qualitative geography","edition":"1st edition.","ISBN":"978-1-5264-8508-3","language":"eng","publisher":"SAGE Publications, Inc.","publisher-place":"Los Angeles, CA","source":"discover.durham.ac.uk","title":"Caught in the Nick of Time: Archives and Fieldwork","editor":[{"family":"DeLyser","given":"Dydia"},{"family":"Herbert","given":"Steve"},{"family":"Aitken","given":"Stuart"},{"family":"Crang","given":"Mike"},{"family":"McDowell","given":"Linda"}],"author":[{"family":"Lorimer","given":"Hayden"}],"issued":{"date-parts":[["2010"]]}}}],"schema":"https://github.com/citation-style-language/schema/raw/master/csl-citation.json"} </w:instrText>
      </w:r>
      <w:r w:rsidRPr="00662E51">
        <w:rPr>
          <w:rFonts w:cs="Arial"/>
          <w:szCs w:val="24"/>
        </w:rPr>
        <w:fldChar w:fldCharType="separate"/>
      </w:r>
      <w:r w:rsidR="0095662D" w:rsidRPr="00662E51">
        <w:t>(Lorimer 2010)</w:t>
      </w:r>
      <w:r w:rsidRPr="00662E51">
        <w:rPr>
          <w:rFonts w:cs="Arial"/>
          <w:szCs w:val="24"/>
        </w:rPr>
        <w:fldChar w:fldCharType="end"/>
      </w:r>
      <w:r w:rsidRPr="00662E51">
        <w:rPr>
          <w:rFonts w:cs="Arial"/>
          <w:szCs w:val="24"/>
        </w:rPr>
        <w:t>. For my study of Broadwater Farm, I thus ensured to build on my archive using interviews as I discuss below.</w:t>
      </w:r>
    </w:p>
    <w:p w14:paraId="0EAAF159" w14:textId="77777777" w:rsidR="000F3E6B" w:rsidRPr="00662E51" w:rsidRDefault="000F3E6B" w:rsidP="00F56305">
      <w:pPr>
        <w:spacing w:line="360" w:lineRule="auto"/>
        <w:ind w:left="0" w:firstLine="720"/>
        <w:rPr>
          <w:rFonts w:cs="Arial"/>
          <w:szCs w:val="24"/>
        </w:rPr>
      </w:pPr>
    </w:p>
    <w:p w14:paraId="4EF99529" w14:textId="4330D4D6" w:rsidR="000F3E6B" w:rsidRPr="00662E51" w:rsidRDefault="000F3E6B" w:rsidP="00F56305">
      <w:pPr>
        <w:pStyle w:val="Heading3"/>
      </w:pPr>
      <w:bookmarkStart w:id="242" w:name="_Toc208328786"/>
      <w:bookmarkStart w:id="243" w:name="_Toc213173945"/>
      <w:bookmarkStart w:id="244" w:name="_Toc221184334"/>
      <w:bookmarkStart w:id="245" w:name="_Toc231215252"/>
      <w:r w:rsidRPr="00662E51">
        <w:t>Interviews</w:t>
      </w:r>
      <w:bookmarkEnd w:id="242"/>
      <w:bookmarkEnd w:id="243"/>
      <w:bookmarkEnd w:id="244"/>
      <w:r w:rsidR="00BC44B5">
        <w:t>:</w:t>
      </w:r>
      <w:bookmarkEnd w:id="245"/>
    </w:p>
    <w:p w14:paraId="0E64EE46" w14:textId="6475EE51" w:rsidR="00794B9C" w:rsidRPr="00662E51" w:rsidRDefault="00794B9C" w:rsidP="00611B19">
      <w:pPr>
        <w:spacing w:line="360" w:lineRule="auto"/>
        <w:ind w:left="0" w:firstLine="720"/>
        <w:rPr>
          <w:rFonts w:cs="Arial"/>
          <w:szCs w:val="24"/>
        </w:rPr>
      </w:pPr>
      <w:r w:rsidRPr="00662E51">
        <w:rPr>
          <w:rFonts w:cs="Arial"/>
          <w:szCs w:val="24"/>
        </w:rPr>
        <w:t xml:space="preserve">Formal interviews with participants were a crucial method that both provided new data and contextualised information gleaned from other methods. </w:t>
      </w:r>
      <w:r w:rsidR="00EE4A07">
        <w:rPr>
          <w:rFonts w:cs="Arial"/>
          <w:szCs w:val="24"/>
        </w:rPr>
        <w:t>Interviews were used to answer all research questions</w:t>
      </w:r>
      <w:r w:rsidR="00487CBC">
        <w:rPr>
          <w:rFonts w:cs="Arial"/>
          <w:szCs w:val="24"/>
        </w:rPr>
        <w:t>, especially to understand how</w:t>
      </w:r>
      <w:r w:rsidR="007F2456">
        <w:rPr>
          <w:rFonts w:cs="Arial"/>
          <w:szCs w:val="24"/>
        </w:rPr>
        <w:t xml:space="preserve"> decisions were </w:t>
      </w:r>
      <w:r w:rsidR="00302E56">
        <w:rPr>
          <w:rFonts w:cs="Arial"/>
          <w:szCs w:val="24"/>
        </w:rPr>
        <w:t xml:space="preserve">made, contested, and implemented </w:t>
      </w:r>
      <w:r w:rsidR="00302E56">
        <w:rPr>
          <w:rFonts w:cs="Arial"/>
          <w:szCs w:val="24"/>
        </w:rPr>
        <w:fldChar w:fldCharType="begin"/>
      </w:r>
      <w:r w:rsidR="00302E56">
        <w:rPr>
          <w:rFonts w:cs="Arial"/>
          <w:szCs w:val="24"/>
        </w:rPr>
        <w:instrText xml:space="preserve"> ADDIN ZOTERO_ITEM CSL_CITATION {"citationID":"DPv6gf4k","properties":{"formattedCitation":"(Kuus 2021)","plainCitation":"(Kuus 2021)","noteIndex":0},"citationItems":[{"id":7205,"uris":["http://zotero.org/users/8977980/items/VB9SX3GQ"],"itemData":{"id":7205,"type":"chapter","container-title":"Research Ethics for Human Geography: A Handbook for Students","ISBN":"978-1-5264-1662-9","publisher":"SAGE Publications, Limited","publisher-place":"London, UNITED KINGDOM","source":"ProQuest Ebook Central","title":"Powerful and Elite Subjects","URL":"http://ebookcentral.proquest.com/lib/durham/detail.action?docID=6383656","editor":[{"family":"Wilson","given":"Helen F."},{"family":"Darling","given":"Jonathan"}],"author":[{"family":"Kuus","given":"Merje"}],"accessed":{"date-parts":[["2025",6,19]]},"issued":{"date-parts":[["2021"]]}}}],"schema":"https://github.com/citation-style-language/schema/raw/master/csl-citation.json"} </w:instrText>
      </w:r>
      <w:r w:rsidR="00302E56">
        <w:rPr>
          <w:rFonts w:cs="Arial"/>
          <w:szCs w:val="24"/>
        </w:rPr>
        <w:fldChar w:fldCharType="separate"/>
      </w:r>
      <w:r w:rsidR="00302E56" w:rsidRPr="00302E56">
        <w:t>(Kuus 2021)</w:t>
      </w:r>
      <w:r w:rsidR="00302E56">
        <w:rPr>
          <w:rFonts w:cs="Arial"/>
          <w:szCs w:val="24"/>
        </w:rPr>
        <w:fldChar w:fldCharType="end"/>
      </w:r>
      <w:r w:rsidR="003E69E1">
        <w:rPr>
          <w:rFonts w:cs="Arial"/>
          <w:szCs w:val="24"/>
        </w:rPr>
        <w:t xml:space="preserve">. </w:t>
      </w:r>
      <w:r w:rsidR="00EE4A07">
        <w:rPr>
          <w:rFonts w:cs="Arial"/>
          <w:szCs w:val="24"/>
        </w:rPr>
        <w:t xml:space="preserve">This method was </w:t>
      </w:r>
      <w:r w:rsidRPr="00662E51">
        <w:rPr>
          <w:rFonts w:cs="Arial"/>
          <w:szCs w:val="24"/>
        </w:rPr>
        <w:t xml:space="preserve">chosen because </w:t>
      </w:r>
      <w:r w:rsidR="003E69E1">
        <w:rPr>
          <w:rFonts w:cs="Arial"/>
          <w:szCs w:val="24"/>
        </w:rPr>
        <w:t xml:space="preserve">it </w:t>
      </w:r>
      <w:r w:rsidRPr="00662E51">
        <w:rPr>
          <w:rFonts w:cs="Arial"/>
          <w:szCs w:val="24"/>
        </w:rPr>
        <w:t xml:space="preserve">allowed me to collect and establish the wide range of perspectives and experiences that encompass the local Labour Party, Haringey Council, and regeneration in Tottenham. This is because interviews reveal participants’ “imagined meanings of their activities, their self-concepts, their fantasies about themselves (and about others)” (Lamont and Swidler 2014, 159). Moreover, this method allowed me to better probe how the relationships within the party and across the party-state nexus influenced policy development. Interviews were informed by document analysis and the archive. New participants were found through my scoping and immersion period, and City Wandering. </w:t>
      </w:r>
      <w:r w:rsidR="00E00830" w:rsidRPr="00662E51">
        <w:rPr>
          <w:rFonts w:cs="Arial"/>
          <w:szCs w:val="24"/>
        </w:rPr>
        <w:t>T</w:t>
      </w:r>
      <w:r w:rsidRPr="00662E51">
        <w:rPr>
          <w:rFonts w:cs="Arial"/>
          <w:szCs w:val="24"/>
        </w:rPr>
        <w:t>his section refers only to formal, planned interviews.</w:t>
      </w:r>
    </w:p>
    <w:p w14:paraId="7AFD7D46" w14:textId="3E99D68A" w:rsidR="003E69E1" w:rsidRDefault="00794B9C" w:rsidP="00F56305">
      <w:pPr>
        <w:spacing w:line="360" w:lineRule="auto"/>
        <w:ind w:left="0" w:firstLine="720"/>
        <w:rPr>
          <w:rFonts w:cs="Arial"/>
          <w:szCs w:val="24"/>
        </w:rPr>
      </w:pPr>
      <w:r w:rsidRPr="00662E51">
        <w:rPr>
          <w:rFonts w:cs="Arial"/>
          <w:szCs w:val="24"/>
        </w:rPr>
        <w:t>A total of twenty-four in-depth interviews with twenty-six key informants were conducted. Interviews lasted between forty-five minutes and one hour (Table 1). Two interviews were paired</w:t>
      </w:r>
      <w:r w:rsidR="00972B2E">
        <w:rPr>
          <w:rFonts w:cs="Arial"/>
          <w:szCs w:val="24"/>
        </w:rPr>
        <w:t xml:space="preserve">, meaning </w:t>
      </w:r>
      <w:r w:rsidRPr="00662E51">
        <w:rPr>
          <w:rFonts w:cs="Arial"/>
          <w:szCs w:val="24"/>
        </w:rPr>
        <w:t xml:space="preserve">I interviewed two participants </w:t>
      </w:r>
      <w:r w:rsidRPr="00662E51">
        <w:rPr>
          <w:rFonts w:cs="Arial"/>
          <w:szCs w:val="24"/>
        </w:rPr>
        <w:lastRenderedPageBreak/>
        <w:t xml:space="preserve">simultaneously. Participants were selected based on their status as councillors, activists, and/or community leaders. Initial contact for some was made via an email that outlined the research, its goals and aims, and expected outcomes. For the BFYA case, I contacted interviewees based on their connections to either Broadwater Farm or relevant notable players. For two </w:t>
      </w:r>
      <w:r w:rsidR="009978BF">
        <w:rPr>
          <w:rFonts w:cs="Arial"/>
          <w:szCs w:val="24"/>
        </w:rPr>
        <w:t xml:space="preserve">BFYA </w:t>
      </w:r>
      <w:r w:rsidRPr="00662E51">
        <w:rPr>
          <w:rFonts w:cs="Arial"/>
          <w:szCs w:val="24"/>
        </w:rPr>
        <w:t>informants, I visited them on the estate to build an initial relationship before returning for formal interviews later. I interviewed both councillors and activists for the HDV and HRW case studies. Councillors were either from the Labour Party or the Liberal Democrats</w:t>
      </w:r>
      <w:r w:rsidR="009978BF">
        <w:rPr>
          <w:rFonts w:cs="Arial"/>
          <w:szCs w:val="24"/>
        </w:rPr>
        <w:t>,</w:t>
      </w:r>
      <w:r w:rsidR="009978BF">
        <w:rPr>
          <w:rStyle w:val="FootnoteReference"/>
          <w:rFonts w:cs="Arial"/>
          <w:szCs w:val="24"/>
        </w:rPr>
        <w:footnoteReference w:id="41"/>
      </w:r>
      <w:r w:rsidR="004A3DD4" w:rsidRPr="00662E51">
        <w:rPr>
          <w:rFonts w:cs="Arial"/>
          <w:szCs w:val="24"/>
        </w:rPr>
        <w:t xml:space="preserve"> </w:t>
      </w:r>
      <w:r w:rsidRPr="00662E51">
        <w:rPr>
          <w:rFonts w:cs="Arial"/>
          <w:szCs w:val="24"/>
        </w:rPr>
        <w:t xml:space="preserve">and initially contacted through email. </w:t>
      </w:r>
      <w:r w:rsidR="003E69E1">
        <w:rPr>
          <w:rFonts w:cs="Arial"/>
          <w:szCs w:val="24"/>
        </w:rPr>
        <w:t xml:space="preserve">Interviews with councillors were akin to ‘elite interviews,’ </w:t>
      </w:r>
      <w:r w:rsidR="002134F7">
        <w:rPr>
          <w:rFonts w:cs="Arial"/>
          <w:szCs w:val="24"/>
        </w:rPr>
        <w:t xml:space="preserve">and thus had power dynamics that differed from traditional interviews </w:t>
      </w:r>
      <w:r w:rsidR="002134F7">
        <w:rPr>
          <w:rFonts w:cs="Arial"/>
          <w:szCs w:val="24"/>
        </w:rPr>
        <w:fldChar w:fldCharType="begin"/>
      </w:r>
      <w:r w:rsidR="00691BED">
        <w:rPr>
          <w:rFonts w:cs="Arial"/>
          <w:szCs w:val="24"/>
        </w:rPr>
        <w:instrText xml:space="preserve"> ADDIN ZOTERO_ITEM CSL_CITATION {"citationID":"BCraHM60","properties":{"formattedCitation":"(Kuus 2021)","plainCitation":"(Kuus 2021)","noteIndex":0},"citationItems":[{"id":7205,"uris":["http://zotero.org/users/8977980/items/VB9SX3GQ"],"itemData":{"id":7205,"type":"chapter","container-title":"Research Ethics for Human Geography: A Handbook for Students","ISBN":"978-1-5264-1662-9","publisher":"SAGE Publications, Limited","publisher-place":"London, UNITED KINGDOM","source":"ProQuest Ebook Central","title":"Powerful and Elite Subjects","URL":"http://ebookcentral.proquest.com/lib/durham/detail.action?docID=6383656","editor":[{"family":"Wilson","given":"Helen F."},{"family":"Darling","given":"Jonathan"}],"author":[{"family":"Kuus","given":"Merje"}],"accessed":{"date-parts":[["2025",6,19]]},"issued":{"date-parts":[["2021"]]}}}],"schema":"https://github.com/citation-style-language/schema/raw/master/csl-citation.json"} </w:instrText>
      </w:r>
      <w:r w:rsidR="002134F7">
        <w:rPr>
          <w:rFonts w:cs="Arial"/>
          <w:szCs w:val="24"/>
        </w:rPr>
        <w:fldChar w:fldCharType="separate"/>
      </w:r>
      <w:r w:rsidR="002134F7" w:rsidRPr="00302E56">
        <w:t>(Kuus 2021)</w:t>
      </w:r>
      <w:r w:rsidR="002134F7">
        <w:rPr>
          <w:rFonts w:cs="Arial"/>
          <w:szCs w:val="24"/>
        </w:rPr>
        <w:fldChar w:fldCharType="end"/>
      </w:r>
      <w:r w:rsidR="002134F7">
        <w:rPr>
          <w:rFonts w:cs="Arial"/>
          <w:szCs w:val="24"/>
        </w:rPr>
        <w:t>. I discuss this more in detail below.</w:t>
      </w:r>
    </w:p>
    <w:p w14:paraId="55EC1019" w14:textId="79CAFA9E" w:rsidR="00794B9C" w:rsidRPr="00662E51" w:rsidRDefault="00794B9C" w:rsidP="00F56305">
      <w:pPr>
        <w:spacing w:line="360" w:lineRule="auto"/>
        <w:ind w:left="0" w:firstLine="720"/>
        <w:rPr>
          <w:rFonts w:cs="Arial"/>
          <w:szCs w:val="24"/>
        </w:rPr>
      </w:pPr>
      <w:r w:rsidRPr="00662E51">
        <w:rPr>
          <w:rFonts w:cs="Arial"/>
          <w:szCs w:val="24"/>
        </w:rPr>
        <w:t>I met some activists at a local foodbank in Haringey, and others were suggested to me by foodbank volunteers. After a first handful of interviews, I used snowball sampling to contact other participants, based on the existing personal and political connections of those I interviewed in the early stages (Parker et al. 2020). I identified some gatekeepers within Haringey’s staff and directly emailed them, too, upon the recommendation of some councillors.</w:t>
      </w:r>
    </w:p>
    <w:p w14:paraId="2DF80014" w14:textId="77777777" w:rsidR="005E61A9" w:rsidRPr="00662E51" w:rsidRDefault="005E61A9" w:rsidP="00F56305">
      <w:pPr>
        <w:spacing w:line="360" w:lineRule="auto"/>
        <w:ind w:left="0" w:firstLine="720"/>
        <w:rPr>
          <w:rFonts w:cs="Arial"/>
          <w:szCs w:val="24"/>
        </w:rPr>
      </w:pPr>
    </w:p>
    <w:p w14:paraId="46053A2D" w14:textId="636BC4DC" w:rsidR="002D0EA2" w:rsidRPr="00662E51" w:rsidRDefault="002D0EA2" w:rsidP="00D604AB">
      <w:pPr>
        <w:pStyle w:val="Caption"/>
        <w:rPr>
          <w:color w:val="auto"/>
        </w:rPr>
      </w:pPr>
      <w:r w:rsidRPr="00662E51">
        <w:rPr>
          <w:color w:val="auto"/>
        </w:rPr>
        <w:t xml:space="preserve">Table </w:t>
      </w:r>
      <w:r w:rsidR="001A544B" w:rsidRPr="00662E51">
        <w:rPr>
          <w:color w:val="auto"/>
        </w:rPr>
        <w:fldChar w:fldCharType="begin"/>
      </w:r>
      <w:r w:rsidR="001A544B" w:rsidRPr="00662E51">
        <w:rPr>
          <w:color w:val="auto"/>
        </w:rPr>
        <w:instrText xml:space="preserve"> SEQ Table \* ARABIC </w:instrText>
      </w:r>
      <w:r w:rsidR="001A544B" w:rsidRPr="00662E51">
        <w:rPr>
          <w:color w:val="auto"/>
        </w:rPr>
        <w:fldChar w:fldCharType="separate"/>
      </w:r>
      <w:r w:rsidR="001A544B" w:rsidRPr="00662E51">
        <w:rPr>
          <w:color w:val="auto"/>
        </w:rPr>
        <w:t>1</w:t>
      </w:r>
      <w:r w:rsidR="001A544B" w:rsidRPr="00662E51">
        <w:rPr>
          <w:color w:val="auto"/>
        </w:rPr>
        <w:fldChar w:fldCharType="end"/>
      </w:r>
      <w:r w:rsidRPr="00662E51">
        <w:rPr>
          <w:color w:val="auto"/>
        </w:rPr>
        <w:t xml:space="preserve"> – Interviewees by Number and Type</w:t>
      </w:r>
    </w:p>
    <w:tbl>
      <w:tblPr>
        <w:tblStyle w:val="GridTable1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nterviewees by Number and Type"/>
      </w:tblPr>
      <w:tblGrid>
        <w:gridCol w:w="2689"/>
        <w:gridCol w:w="2025"/>
        <w:gridCol w:w="2262"/>
        <w:gridCol w:w="2015"/>
      </w:tblGrid>
      <w:tr w:rsidR="00F27AB7" w:rsidRPr="00662E51" w14:paraId="790E8B15" w14:textId="77777777" w:rsidTr="004B3AA8">
        <w:trPr>
          <w:cnfStyle w:val="100000000000" w:firstRow="1" w:lastRow="0" w:firstColumn="0" w:lastColumn="0" w:oddVBand="0" w:evenVBand="0" w:oddHBand="0"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2689" w:type="dxa"/>
            <w:tcBorders>
              <w:bottom w:val="single" w:sz="4" w:space="0" w:color="auto"/>
            </w:tcBorders>
          </w:tcPr>
          <w:p w14:paraId="4C6E37E7" w14:textId="77777777" w:rsidR="0051664A" w:rsidRPr="00662E51" w:rsidRDefault="0051664A" w:rsidP="00F56305">
            <w:pPr>
              <w:spacing w:line="360" w:lineRule="auto"/>
              <w:ind w:left="0"/>
              <w:jc w:val="left"/>
              <w:rPr>
                <w:rFonts w:cs="Arial"/>
                <w:b w:val="0"/>
                <w:bCs w:val="0"/>
                <w:i/>
                <w:iCs/>
                <w:szCs w:val="24"/>
              </w:rPr>
            </w:pPr>
            <w:r w:rsidRPr="00662E51">
              <w:rPr>
                <w:rFonts w:cs="Arial"/>
                <w:b w:val="0"/>
                <w:bCs w:val="0"/>
                <w:i/>
                <w:iCs/>
                <w:szCs w:val="24"/>
              </w:rPr>
              <w:t>Category</w:t>
            </w:r>
          </w:p>
        </w:tc>
        <w:tc>
          <w:tcPr>
            <w:tcW w:w="2025" w:type="dxa"/>
            <w:tcBorders>
              <w:bottom w:val="single" w:sz="4" w:space="0" w:color="auto"/>
            </w:tcBorders>
          </w:tcPr>
          <w:p w14:paraId="3B63735B" w14:textId="77777777" w:rsidR="0051664A" w:rsidRPr="00662E51" w:rsidRDefault="0051664A" w:rsidP="00F56305">
            <w:pPr>
              <w:spacing w:line="360" w:lineRule="auto"/>
              <w:ind w:left="0"/>
              <w:jc w:val="right"/>
              <w:cnfStyle w:val="100000000000" w:firstRow="1" w:lastRow="0" w:firstColumn="0" w:lastColumn="0" w:oddVBand="0" w:evenVBand="0" w:oddHBand="0" w:evenHBand="0" w:firstRowFirstColumn="0" w:firstRowLastColumn="0" w:lastRowFirstColumn="0" w:lastRowLastColumn="0"/>
              <w:rPr>
                <w:rFonts w:cs="Arial"/>
                <w:b w:val="0"/>
                <w:bCs w:val="0"/>
                <w:i/>
                <w:iCs/>
                <w:szCs w:val="24"/>
              </w:rPr>
            </w:pPr>
            <w:r w:rsidRPr="00662E51">
              <w:rPr>
                <w:rFonts w:cs="Arial"/>
                <w:b w:val="0"/>
                <w:bCs w:val="0"/>
                <w:i/>
                <w:iCs/>
                <w:szCs w:val="24"/>
              </w:rPr>
              <w:t>Interviews</w:t>
            </w:r>
          </w:p>
        </w:tc>
        <w:tc>
          <w:tcPr>
            <w:tcW w:w="2262" w:type="dxa"/>
            <w:tcBorders>
              <w:bottom w:val="single" w:sz="4" w:space="0" w:color="auto"/>
            </w:tcBorders>
          </w:tcPr>
          <w:p w14:paraId="714D4D1C" w14:textId="77777777" w:rsidR="0051664A" w:rsidRPr="00662E51" w:rsidRDefault="0051664A" w:rsidP="00F56305">
            <w:pPr>
              <w:spacing w:line="360" w:lineRule="auto"/>
              <w:ind w:left="0"/>
              <w:jc w:val="right"/>
              <w:cnfStyle w:val="100000000000" w:firstRow="1" w:lastRow="0" w:firstColumn="0" w:lastColumn="0" w:oddVBand="0" w:evenVBand="0" w:oddHBand="0" w:evenHBand="0" w:firstRowFirstColumn="0" w:firstRowLastColumn="0" w:lastRowFirstColumn="0" w:lastRowLastColumn="0"/>
              <w:rPr>
                <w:rFonts w:cs="Arial"/>
                <w:b w:val="0"/>
                <w:bCs w:val="0"/>
                <w:i/>
                <w:iCs/>
                <w:szCs w:val="24"/>
              </w:rPr>
            </w:pPr>
            <w:r w:rsidRPr="00662E51">
              <w:rPr>
                <w:rFonts w:cs="Arial"/>
                <w:b w:val="0"/>
                <w:bCs w:val="0"/>
                <w:i/>
                <w:iCs/>
                <w:szCs w:val="24"/>
              </w:rPr>
              <w:t>In-Person</w:t>
            </w:r>
          </w:p>
        </w:tc>
        <w:tc>
          <w:tcPr>
            <w:tcW w:w="2015" w:type="dxa"/>
            <w:tcBorders>
              <w:bottom w:val="single" w:sz="4" w:space="0" w:color="auto"/>
            </w:tcBorders>
          </w:tcPr>
          <w:p w14:paraId="3D943052" w14:textId="77777777" w:rsidR="0051664A" w:rsidRPr="00662E51" w:rsidRDefault="0051664A" w:rsidP="00F56305">
            <w:pPr>
              <w:spacing w:line="360" w:lineRule="auto"/>
              <w:ind w:left="0"/>
              <w:jc w:val="right"/>
              <w:cnfStyle w:val="100000000000" w:firstRow="1" w:lastRow="0" w:firstColumn="0" w:lastColumn="0" w:oddVBand="0" w:evenVBand="0" w:oddHBand="0" w:evenHBand="0" w:firstRowFirstColumn="0" w:firstRowLastColumn="0" w:lastRowFirstColumn="0" w:lastRowLastColumn="0"/>
              <w:rPr>
                <w:rFonts w:cs="Arial"/>
                <w:b w:val="0"/>
                <w:bCs w:val="0"/>
                <w:i/>
                <w:iCs/>
                <w:szCs w:val="24"/>
              </w:rPr>
            </w:pPr>
            <w:r w:rsidRPr="00662E51">
              <w:rPr>
                <w:rFonts w:cs="Arial"/>
                <w:b w:val="0"/>
                <w:bCs w:val="0"/>
                <w:i/>
                <w:iCs/>
                <w:szCs w:val="24"/>
              </w:rPr>
              <w:t>Online</w:t>
            </w:r>
          </w:p>
        </w:tc>
      </w:tr>
      <w:tr w:rsidR="00F27AB7" w:rsidRPr="00662E51" w14:paraId="1F2911B9" w14:textId="77777777" w:rsidTr="004B3AA8">
        <w:trPr>
          <w:trHeight w:val="332"/>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auto"/>
            </w:tcBorders>
          </w:tcPr>
          <w:p w14:paraId="3DFAA7E7" w14:textId="0A123807" w:rsidR="0051664A" w:rsidRPr="00662E51" w:rsidRDefault="0051664A" w:rsidP="00F56305">
            <w:pPr>
              <w:spacing w:line="360" w:lineRule="auto"/>
              <w:ind w:left="0"/>
              <w:jc w:val="left"/>
              <w:rPr>
                <w:rFonts w:cs="Arial"/>
                <w:b w:val="0"/>
                <w:bCs w:val="0"/>
                <w:szCs w:val="24"/>
              </w:rPr>
            </w:pPr>
            <w:r w:rsidRPr="00662E51">
              <w:rPr>
                <w:rFonts w:cs="Arial"/>
                <w:b w:val="0"/>
                <w:bCs w:val="0"/>
                <w:szCs w:val="24"/>
              </w:rPr>
              <w:t>Former Councillor</w:t>
            </w:r>
            <w:r w:rsidR="00095557" w:rsidRPr="00BD17AF">
              <w:rPr>
                <w:rStyle w:val="FootnoteReference"/>
              </w:rPr>
              <w:footnoteReference w:id="42"/>
            </w:r>
          </w:p>
        </w:tc>
        <w:tc>
          <w:tcPr>
            <w:tcW w:w="2025" w:type="dxa"/>
            <w:tcBorders>
              <w:top w:val="single" w:sz="4" w:space="0" w:color="auto"/>
            </w:tcBorders>
          </w:tcPr>
          <w:p w14:paraId="54082BBF"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8</w:t>
            </w:r>
          </w:p>
        </w:tc>
        <w:tc>
          <w:tcPr>
            <w:tcW w:w="2262" w:type="dxa"/>
            <w:tcBorders>
              <w:top w:val="single" w:sz="4" w:space="0" w:color="auto"/>
            </w:tcBorders>
          </w:tcPr>
          <w:p w14:paraId="58832EA1"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2</w:t>
            </w:r>
          </w:p>
        </w:tc>
        <w:tc>
          <w:tcPr>
            <w:tcW w:w="2015" w:type="dxa"/>
            <w:tcBorders>
              <w:top w:val="single" w:sz="4" w:space="0" w:color="auto"/>
            </w:tcBorders>
          </w:tcPr>
          <w:p w14:paraId="3BA0B413"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6</w:t>
            </w:r>
          </w:p>
        </w:tc>
      </w:tr>
      <w:tr w:rsidR="00F27AB7" w:rsidRPr="00662E51" w14:paraId="237CE80B" w14:textId="77777777" w:rsidTr="004B3AA8">
        <w:trPr>
          <w:trHeight w:val="332"/>
        </w:trPr>
        <w:tc>
          <w:tcPr>
            <w:cnfStyle w:val="001000000000" w:firstRow="0" w:lastRow="0" w:firstColumn="1" w:lastColumn="0" w:oddVBand="0" w:evenVBand="0" w:oddHBand="0" w:evenHBand="0" w:firstRowFirstColumn="0" w:firstRowLastColumn="0" w:lastRowFirstColumn="0" w:lastRowLastColumn="0"/>
            <w:tcW w:w="2689" w:type="dxa"/>
          </w:tcPr>
          <w:p w14:paraId="0599B15D" w14:textId="2F5C1CB4" w:rsidR="0051664A" w:rsidRPr="00662E51" w:rsidRDefault="0051664A" w:rsidP="00F56305">
            <w:pPr>
              <w:spacing w:line="360" w:lineRule="auto"/>
              <w:ind w:left="0"/>
              <w:jc w:val="left"/>
              <w:rPr>
                <w:rFonts w:cs="Arial"/>
                <w:b w:val="0"/>
                <w:bCs w:val="0"/>
                <w:szCs w:val="24"/>
              </w:rPr>
            </w:pPr>
            <w:r w:rsidRPr="00662E51">
              <w:rPr>
                <w:rFonts w:cs="Arial"/>
                <w:b w:val="0"/>
                <w:bCs w:val="0"/>
                <w:szCs w:val="24"/>
              </w:rPr>
              <w:t>Current Councillor</w:t>
            </w:r>
            <w:r w:rsidR="001A544B" w:rsidRPr="00BD17AF">
              <w:rPr>
                <w:rStyle w:val="FootnoteReference"/>
              </w:rPr>
              <w:footnoteReference w:id="43"/>
            </w:r>
          </w:p>
        </w:tc>
        <w:tc>
          <w:tcPr>
            <w:tcW w:w="2025" w:type="dxa"/>
          </w:tcPr>
          <w:p w14:paraId="7435F760"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7</w:t>
            </w:r>
          </w:p>
        </w:tc>
        <w:tc>
          <w:tcPr>
            <w:tcW w:w="2262" w:type="dxa"/>
          </w:tcPr>
          <w:p w14:paraId="55601FBA"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3</w:t>
            </w:r>
          </w:p>
        </w:tc>
        <w:tc>
          <w:tcPr>
            <w:tcW w:w="2015" w:type="dxa"/>
          </w:tcPr>
          <w:p w14:paraId="63ADF42A"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4</w:t>
            </w:r>
          </w:p>
        </w:tc>
      </w:tr>
      <w:tr w:rsidR="00F27AB7" w:rsidRPr="00662E51" w14:paraId="076F4B9A" w14:textId="77777777" w:rsidTr="004B3AA8">
        <w:trPr>
          <w:trHeight w:val="332"/>
        </w:trPr>
        <w:tc>
          <w:tcPr>
            <w:cnfStyle w:val="001000000000" w:firstRow="0" w:lastRow="0" w:firstColumn="1" w:lastColumn="0" w:oddVBand="0" w:evenVBand="0" w:oddHBand="0" w:evenHBand="0" w:firstRowFirstColumn="0" w:firstRowLastColumn="0" w:lastRowFirstColumn="0" w:lastRowLastColumn="0"/>
            <w:tcW w:w="2689" w:type="dxa"/>
          </w:tcPr>
          <w:p w14:paraId="7028B09C" w14:textId="07BEEB97" w:rsidR="002F1EFF" w:rsidRPr="00662E51" w:rsidRDefault="002F1EFF" w:rsidP="002F1EFF">
            <w:pPr>
              <w:spacing w:line="360" w:lineRule="auto"/>
              <w:ind w:left="0"/>
              <w:jc w:val="right"/>
              <w:rPr>
                <w:rFonts w:cs="Arial"/>
                <w:szCs w:val="24"/>
              </w:rPr>
            </w:pPr>
            <w:r w:rsidRPr="00662E51">
              <w:rPr>
                <w:rFonts w:cs="Arial"/>
                <w:b w:val="0"/>
                <w:bCs w:val="0"/>
                <w:sz w:val="20"/>
                <w:szCs w:val="20"/>
              </w:rPr>
              <w:t xml:space="preserve">Labour </w:t>
            </w:r>
          </w:p>
        </w:tc>
        <w:tc>
          <w:tcPr>
            <w:tcW w:w="2025" w:type="dxa"/>
          </w:tcPr>
          <w:p w14:paraId="640C33F3" w14:textId="469791D7" w:rsidR="002F1EFF" w:rsidRPr="00662E51" w:rsidRDefault="003A38BC" w:rsidP="002F1EFF">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7</w:t>
            </w:r>
          </w:p>
        </w:tc>
        <w:tc>
          <w:tcPr>
            <w:tcW w:w="2262" w:type="dxa"/>
          </w:tcPr>
          <w:p w14:paraId="4331E50B" w14:textId="0DB973F3" w:rsidR="002F1EFF" w:rsidRPr="00662E51" w:rsidRDefault="003A38BC" w:rsidP="002F1EFF">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3</w:t>
            </w:r>
          </w:p>
        </w:tc>
        <w:tc>
          <w:tcPr>
            <w:tcW w:w="2015" w:type="dxa"/>
          </w:tcPr>
          <w:p w14:paraId="6C2CA2D2" w14:textId="325DF32D" w:rsidR="002F1EFF" w:rsidRPr="00662E51" w:rsidRDefault="003A38BC" w:rsidP="002F1EFF">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2</w:t>
            </w:r>
          </w:p>
        </w:tc>
      </w:tr>
      <w:tr w:rsidR="00F27AB7" w:rsidRPr="00662E51" w14:paraId="190A2677" w14:textId="77777777" w:rsidTr="004B3AA8">
        <w:trPr>
          <w:trHeight w:val="332"/>
        </w:trPr>
        <w:tc>
          <w:tcPr>
            <w:cnfStyle w:val="001000000000" w:firstRow="0" w:lastRow="0" w:firstColumn="1" w:lastColumn="0" w:oddVBand="0" w:evenVBand="0" w:oddHBand="0" w:evenHBand="0" w:firstRowFirstColumn="0" w:firstRowLastColumn="0" w:lastRowFirstColumn="0" w:lastRowLastColumn="0"/>
            <w:tcW w:w="2689" w:type="dxa"/>
          </w:tcPr>
          <w:p w14:paraId="1184A7A2" w14:textId="10839FDF" w:rsidR="002F1EFF" w:rsidRPr="00662E51" w:rsidRDefault="002F1EFF" w:rsidP="002F1EFF">
            <w:pPr>
              <w:spacing w:line="360" w:lineRule="auto"/>
              <w:ind w:left="0"/>
              <w:jc w:val="right"/>
              <w:rPr>
                <w:rFonts w:cs="Arial"/>
                <w:szCs w:val="24"/>
              </w:rPr>
            </w:pPr>
            <w:r w:rsidRPr="00662E51">
              <w:rPr>
                <w:b w:val="0"/>
                <w:bCs w:val="0"/>
                <w:sz w:val="20"/>
                <w:szCs w:val="20"/>
              </w:rPr>
              <w:t>Liberal Democrat</w:t>
            </w:r>
          </w:p>
        </w:tc>
        <w:tc>
          <w:tcPr>
            <w:tcW w:w="2025" w:type="dxa"/>
          </w:tcPr>
          <w:p w14:paraId="291FAB53" w14:textId="3B598368" w:rsidR="002F1EFF" w:rsidRPr="00662E51" w:rsidRDefault="002F1EFF" w:rsidP="002F1EFF">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p>
        </w:tc>
        <w:tc>
          <w:tcPr>
            <w:tcW w:w="2262" w:type="dxa"/>
          </w:tcPr>
          <w:p w14:paraId="3EFC4ED7" w14:textId="74130592" w:rsidR="002F1EFF" w:rsidRPr="00662E51" w:rsidRDefault="002F1EFF" w:rsidP="002F1EFF">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p>
        </w:tc>
        <w:tc>
          <w:tcPr>
            <w:tcW w:w="2015" w:type="dxa"/>
          </w:tcPr>
          <w:p w14:paraId="70697714" w14:textId="40665F2C" w:rsidR="002F1EFF" w:rsidRPr="00662E51" w:rsidRDefault="003A38BC" w:rsidP="002F1EFF">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2</w:t>
            </w:r>
          </w:p>
        </w:tc>
      </w:tr>
      <w:tr w:rsidR="00F27AB7" w:rsidRPr="00662E51" w14:paraId="30886D83" w14:textId="77777777" w:rsidTr="004B3AA8">
        <w:trPr>
          <w:trHeight w:val="332"/>
        </w:trPr>
        <w:tc>
          <w:tcPr>
            <w:cnfStyle w:val="001000000000" w:firstRow="0" w:lastRow="0" w:firstColumn="1" w:lastColumn="0" w:oddVBand="0" w:evenVBand="0" w:oddHBand="0" w:evenHBand="0" w:firstRowFirstColumn="0" w:firstRowLastColumn="0" w:lastRowFirstColumn="0" w:lastRowLastColumn="0"/>
            <w:tcW w:w="2689" w:type="dxa"/>
          </w:tcPr>
          <w:p w14:paraId="09DEC059" w14:textId="77777777" w:rsidR="0051664A" w:rsidRPr="00662E51" w:rsidRDefault="0051664A" w:rsidP="00F56305">
            <w:pPr>
              <w:spacing w:line="360" w:lineRule="auto"/>
              <w:ind w:left="0"/>
              <w:jc w:val="left"/>
              <w:rPr>
                <w:rFonts w:cs="Arial"/>
                <w:b w:val="0"/>
                <w:bCs w:val="0"/>
                <w:szCs w:val="24"/>
              </w:rPr>
            </w:pPr>
            <w:r w:rsidRPr="00662E51">
              <w:rPr>
                <w:rFonts w:cs="Arial"/>
                <w:b w:val="0"/>
                <w:bCs w:val="0"/>
                <w:szCs w:val="24"/>
              </w:rPr>
              <w:t>HRW/HDV Activist</w:t>
            </w:r>
          </w:p>
        </w:tc>
        <w:tc>
          <w:tcPr>
            <w:tcW w:w="2025" w:type="dxa"/>
          </w:tcPr>
          <w:p w14:paraId="4185BB59"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7</w:t>
            </w:r>
          </w:p>
        </w:tc>
        <w:tc>
          <w:tcPr>
            <w:tcW w:w="2262" w:type="dxa"/>
          </w:tcPr>
          <w:p w14:paraId="427114D5"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6</w:t>
            </w:r>
          </w:p>
        </w:tc>
        <w:tc>
          <w:tcPr>
            <w:tcW w:w="2015" w:type="dxa"/>
          </w:tcPr>
          <w:p w14:paraId="0738FE82"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1</w:t>
            </w:r>
          </w:p>
        </w:tc>
      </w:tr>
      <w:tr w:rsidR="00F27AB7" w:rsidRPr="00662E51" w14:paraId="4FAC6263" w14:textId="77777777" w:rsidTr="004B3AA8">
        <w:trPr>
          <w:trHeight w:val="332"/>
        </w:trPr>
        <w:tc>
          <w:tcPr>
            <w:cnfStyle w:val="001000000000" w:firstRow="0" w:lastRow="0" w:firstColumn="1" w:lastColumn="0" w:oddVBand="0" w:evenVBand="0" w:oddHBand="0" w:evenHBand="0" w:firstRowFirstColumn="0" w:firstRowLastColumn="0" w:lastRowFirstColumn="0" w:lastRowLastColumn="0"/>
            <w:tcW w:w="2689" w:type="dxa"/>
          </w:tcPr>
          <w:p w14:paraId="7CDDFB79" w14:textId="77777777" w:rsidR="0051664A" w:rsidRPr="00662E51" w:rsidRDefault="0051664A" w:rsidP="00F56305">
            <w:pPr>
              <w:spacing w:line="360" w:lineRule="auto"/>
              <w:ind w:left="0"/>
              <w:jc w:val="left"/>
              <w:rPr>
                <w:rFonts w:cs="Arial"/>
                <w:b w:val="0"/>
                <w:bCs w:val="0"/>
                <w:szCs w:val="24"/>
              </w:rPr>
            </w:pPr>
            <w:r w:rsidRPr="00662E51">
              <w:rPr>
                <w:rFonts w:cs="Arial"/>
                <w:b w:val="0"/>
                <w:bCs w:val="0"/>
                <w:szCs w:val="24"/>
              </w:rPr>
              <w:t>BFYA Activist</w:t>
            </w:r>
          </w:p>
        </w:tc>
        <w:tc>
          <w:tcPr>
            <w:tcW w:w="2025" w:type="dxa"/>
          </w:tcPr>
          <w:p w14:paraId="6B055CB2"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2</w:t>
            </w:r>
          </w:p>
        </w:tc>
        <w:tc>
          <w:tcPr>
            <w:tcW w:w="2262" w:type="dxa"/>
          </w:tcPr>
          <w:p w14:paraId="47C20FBA"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2</w:t>
            </w:r>
          </w:p>
        </w:tc>
        <w:tc>
          <w:tcPr>
            <w:tcW w:w="2015" w:type="dxa"/>
          </w:tcPr>
          <w:p w14:paraId="7AE21E2B" w14:textId="42599FC3"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p>
        </w:tc>
      </w:tr>
      <w:tr w:rsidR="00F27AB7" w:rsidRPr="00662E51" w14:paraId="55252828" w14:textId="77777777" w:rsidTr="004B3AA8">
        <w:trPr>
          <w:trHeight w:val="332"/>
        </w:trPr>
        <w:tc>
          <w:tcPr>
            <w:cnfStyle w:val="001000000000" w:firstRow="0" w:lastRow="0" w:firstColumn="1" w:lastColumn="0" w:oddVBand="0" w:evenVBand="0" w:oddHBand="0" w:evenHBand="0" w:firstRowFirstColumn="0" w:firstRowLastColumn="0" w:lastRowFirstColumn="0" w:lastRowLastColumn="0"/>
            <w:tcW w:w="2689" w:type="dxa"/>
            <w:tcBorders>
              <w:bottom w:val="single" w:sz="4" w:space="0" w:color="auto"/>
            </w:tcBorders>
          </w:tcPr>
          <w:p w14:paraId="23475917" w14:textId="77777777" w:rsidR="0051664A" w:rsidRPr="00662E51" w:rsidRDefault="0051664A" w:rsidP="00F56305">
            <w:pPr>
              <w:spacing w:line="360" w:lineRule="auto"/>
              <w:ind w:left="0"/>
              <w:jc w:val="left"/>
              <w:rPr>
                <w:rFonts w:cs="Arial"/>
                <w:b w:val="0"/>
                <w:bCs w:val="0"/>
                <w:szCs w:val="24"/>
              </w:rPr>
            </w:pPr>
            <w:r w:rsidRPr="00662E51">
              <w:rPr>
                <w:rFonts w:cs="Arial"/>
                <w:b w:val="0"/>
                <w:bCs w:val="0"/>
                <w:szCs w:val="24"/>
              </w:rPr>
              <w:t>Haringey Staff</w:t>
            </w:r>
          </w:p>
        </w:tc>
        <w:tc>
          <w:tcPr>
            <w:tcW w:w="2025" w:type="dxa"/>
            <w:tcBorders>
              <w:bottom w:val="single" w:sz="4" w:space="0" w:color="auto"/>
            </w:tcBorders>
          </w:tcPr>
          <w:p w14:paraId="03319B21"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2</w:t>
            </w:r>
          </w:p>
        </w:tc>
        <w:tc>
          <w:tcPr>
            <w:tcW w:w="2262" w:type="dxa"/>
            <w:tcBorders>
              <w:bottom w:val="single" w:sz="4" w:space="0" w:color="auto"/>
            </w:tcBorders>
          </w:tcPr>
          <w:p w14:paraId="2118F750" w14:textId="1F19F85C"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p>
        </w:tc>
        <w:tc>
          <w:tcPr>
            <w:tcW w:w="2015" w:type="dxa"/>
            <w:tcBorders>
              <w:bottom w:val="single" w:sz="4" w:space="0" w:color="auto"/>
            </w:tcBorders>
          </w:tcPr>
          <w:p w14:paraId="55D485FD"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2</w:t>
            </w:r>
          </w:p>
        </w:tc>
      </w:tr>
      <w:tr w:rsidR="00F27AB7" w:rsidRPr="00662E51" w14:paraId="05E2DB87" w14:textId="77777777" w:rsidTr="004B3AA8">
        <w:trPr>
          <w:trHeight w:val="332"/>
        </w:trPr>
        <w:tc>
          <w:tcPr>
            <w:cnfStyle w:val="001000000000" w:firstRow="0" w:lastRow="0" w:firstColumn="1" w:lastColumn="0" w:oddVBand="0" w:evenVBand="0" w:oddHBand="0" w:evenHBand="0" w:firstRowFirstColumn="0" w:firstRowLastColumn="0" w:lastRowFirstColumn="0" w:lastRowLastColumn="0"/>
            <w:tcW w:w="2689" w:type="dxa"/>
            <w:tcBorders>
              <w:top w:val="single" w:sz="4" w:space="0" w:color="auto"/>
            </w:tcBorders>
          </w:tcPr>
          <w:p w14:paraId="0D8259EE" w14:textId="77777777" w:rsidR="0051664A" w:rsidRPr="00662E51" w:rsidRDefault="0051664A" w:rsidP="00F56305">
            <w:pPr>
              <w:spacing w:line="360" w:lineRule="auto"/>
              <w:ind w:left="0"/>
              <w:jc w:val="left"/>
              <w:rPr>
                <w:rFonts w:cs="Arial"/>
                <w:szCs w:val="24"/>
              </w:rPr>
            </w:pPr>
            <w:r w:rsidRPr="00662E51">
              <w:rPr>
                <w:rFonts w:cs="Arial"/>
                <w:szCs w:val="24"/>
              </w:rPr>
              <w:t>Total Interviews:</w:t>
            </w:r>
          </w:p>
        </w:tc>
        <w:tc>
          <w:tcPr>
            <w:tcW w:w="2025" w:type="dxa"/>
            <w:tcBorders>
              <w:top w:val="single" w:sz="4" w:space="0" w:color="auto"/>
            </w:tcBorders>
          </w:tcPr>
          <w:p w14:paraId="5CC0B94E"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26</w:t>
            </w:r>
          </w:p>
        </w:tc>
        <w:tc>
          <w:tcPr>
            <w:tcW w:w="2262" w:type="dxa"/>
            <w:tcBorders>
              <w:top w:val="single" w:sz="4" w:space="0" w:color="auto"/>
            </w:tcBorders>
          </w:tcPr>
          <w:p w14:paraId="6891C7DD"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13</w:t>
            </w:r>
          </w:p>
        </w:tc>
        <w:tc>
          <w:tcPr>
            <w:tcW w:w="2015" w:type="dxa"/>
            <w:tcBorders>
              <w:top w:val="single" w:sz="4" w:space="0" w:color="auto"/>
            </w:tcBorders>
          </w:tcPr>
          <w:p w14:paraId="3BAD6405" w14:textId="77777777" w:rsidR="0051664A" w:rsidRPr="00662E51" w:rsidRDefault="0051664A" w:rsidP="00F56305">
            <w:pPr>
              <w:spacing w:line="360" w:lineRule="auto"/>
              <w:ind w:left="0"/>
              <w:jc w:val="right"/>
              <w:cnfStyle w:val="000000000000" w:firstRow="0" w:lastRow="0" w:firstColumn="0" w:lastColumn="0" w:oddVBand="0" w:evenVBand="0" w:oddHBand="0" w:evenHBand="0" w:firstRowFirstColumn="0" w:firstRowLastColumn="0" w:lastRowFirstColumn="0" w:lastRowLastColumn="0"/>
              <w:rPr>
                <w:rFonts w:cs="Arial"/>
                <w:szCs w:val="24"/>
              </w:rPr>
            </w:pPr>
            <w:r w:rsidRPr="00662E51">
              <w:rPr>
                <w:rFonts w:cs="Arial"/>
                <w:szCs w:val="24"/>
              </w:rPr>
              <w:t>13</w:t>
            </w:r>
          </w:p>
        </w:tc>
      </w:tr>
    </w:tbl>
    <w:p w14:paraId="784A10AA" w14:textId="6A89FE57" w:rsidR="0051664A" w:rsidRPr="00662E51" w:rsidRDefault="0051664A" w:rsidP="00F56305">
      <w:pPr>
        <w:spacing w:line="360" w:lineRule="auto"/>
        <w:ind w:left="0"/>
        <w:rPr>
          <w:rFonts w:cs="Arial"/>
          <w:szCs w:val="24"/>
        </w:rPr>
      </w:pPr>
    </w:p>
    <w:p w14:paraId="1DA5BAB3" w14:textId="27D0E5B6" w:rsidR="00481405" w:rsidRDefault="00AA1CC8" w:rsidP="00F56305">
      <w:pPr>
        <w:spacing w:line="360" w:lineRule="auto"/>
        <w:ind w:left="0" w:firstLine="720"/>
        <w:rPr>
          <w:rFonts w:cs="Arial"/>
          <w:szCs w:val="24"/>
        </w:rPr>
      </w:pPr>
      <w:r w:rsidRPr="00662E51">
        <w:rPr>
          <w:rFonts w:cs="Arial"/>
          <w:szCs w:val="24"/>
        </w:rPr>
        <w:lastRenderedPageBreak/>
        <w:t xml:space="preserve">Interviews were held at a range of locations or online. As it was important to build trust, informants had control over our interview location. Interviews with activists mostly took place at cafes or community centres and I often spoke to councillors online. One interview happened at a participant’s home. Ensuring sufficient preparation is critical to ensuring a successful interview, especially deciding the interview location </w:t>
      </w:r>
      <w:r w:rsidRPr="00662E51">
        <w:rPr>
          <w:rFonts w:cs="Arial"/>
          <w:szCs w:val="24"/>
        </w:rPr>
        <w:fldChar w:fldCharType="begin"/>
      </w:r>
      <w:r w:rsidRPr="00662E51">
        <w:rPr>
          <w:rFonts w:cs="Arial"/>
          <w:szCs w:val="24"/>
        </w:rPr>
        <w:instrText xml:space="preserve"> ADDIN ZOTERO_ITEM CSL_CITATION {"citationID":"z9Eqeu0m","properties":{"formattedCitation":"(Elwood and Martin 2000; Valentine 2005)","plainCitation":"(Elwood and Martin 2000; Valentine 2005)","noteIndex":0},"citationItems":[{"id":7004,"uris":["http://zotero.org/users/8977980/items/QRY26N8Z"],"itemData":{"id":7004,"type":"article-journal","container-title":"The Professional Geographer","DOI":"10.1111/0033-0124.00253","ISSN":"0033-0124, 1467-9272","issue":"4","journalAbbreviation":"The Professional Geographer","language":"en","page":"649-657","source":"DOI.org (Crossref)","title":"“Placing” Interviews: Location and Scales of Power in Qualitative Research","title-short":"“Placing” Interviews","volume":"52","author":[{"family":"Elwood","given":"Sarah A."},{"family":"Martin","given":"Deborah G."}],"issued":{"date-parts":[["2000",11,1]]}}},{"id":6541,"uris":["http://zotero.org/users/8977980/items/PD4QSL7Y"],"itemData":{"id":6541,"type":"chapter","abstract":"Tell me about . . .: using interviews as a research methodology - 2","container-title":"Methods in Human Geography","edition":"2","ISBN":"978-1-315-83727-7","note":"number-of-pages: 18","publisher":"Routledge","title":"Tell me about . . .: using interviews as a research methodology","title-short":"Tell me about . . .","author":[{"family":"Valentine","given":"Gill"}],"issued":{"date-parts":[["2005"]]}}}],"schema":"https://github.com/citation-style-language/schema/raw/master/csl-citation.json"} </w:instrText>
      </w:r>
      <w:r w:rsidRPr="00662E51">
        <w:rPr>
          <w:rFonts w:cs="Arial"/>
          <w:szCs w:val="24"/>
        </w:rPr>
        <w:fldChar w:fldCharType="separate"/>
      </w:r>
      <w:r w:rsidR="0095662D" w:rsidRPr="00662E51">
        <w:t>(Elwood and Martin 2000; Valentine 2005)</w:t>
      </w:r>
      <w:r w:rsidRPr="00662E51">
        <w:rPr>
          <w:rFonts w:cs="Arial"/>
          <w:szCs w:val="24"/>
        </w:rPr>
        <w:fldChar w:fldCharType="end"/>
      </w:r>
      <w:r w:rsidRPr="00662E51">
        <w:rPr>
          <w:rFonts w:cs="Arial"/>
          <w:szCs w:val="24"/>
        </w:rPr>
        <w:t xml:space="preserve">. </w:t>
      </w:r>
      <w:r w:rsidR="007D38A7">
        <w:rPr>
          <w:rFonts w:cs="Arial"/>
          <w:szCs w:val="24"/>
        </w:rPr>
        <w:t>Preparation w</w:t>
      </w:r>
      <w:r w:rsidR="00850B20">
        <w:rPr>
          <w:rFonts w:cs="Arial"/>
          <w:szCs w:val="24"/>
        </w:rPr>
        <w:t xml:space="preserve">as particularly important for elite interviews, as understanding the organisational and political background was important for placing the data in context </w:t>
      </w:r>
      <w:r w:rsidR="00850B20">
        <w:rPr>
          <w:rFonts w:cs="Arial"/>
          <w:szCs w:val="24"/>
        </w:rPr>
        <w:fldChar w:fldCharType="begin"/>
      </w:r>
      <w:r w:rsidR="00691BED">
        <w:rPr>
          <w:rFonts w:cs="Arial"/>
          <w:szCs w:val="24"/>
        </w:rPr>
        <w:instrText xml:space="preserve"> ADDIN ZOTERO_ITEM CSL_CITATION {"citationID":"WIk9FM88","properties":{"formattedCitation":"(Kuus 2021)","plainCitation":"(Kuus 2021)","noteIndex":0},"citationItems":[{"id":7205,"uris":["http://zotero.org/users/8977980/items/VB9SX3GQ"],"itemData":{"id":7205,"type":"chapter","container-title":"Research Ethics for Human Geography: A Handbook for Students","ISBN":"978-1-5264-1662-9","publisher":"SAGE Publications, Limited","publisher-place":"London, UNITED KINGDOM","source":"ProQuest Ebook Central","title":"Powerful and Elite Subjects","URL":"http://ebookcentral.proquest.com/lib/durham/detail.action?docID=6383656","editor":[{"family":"Wilson","given":"Helen F."},{"family":"Darling","given":"Jonathan"}],"author":[{"family":"Kuus","given":"Merje"}],"accessed":{"date-parts":[["2025",6,19]]},"issued":{"date-parts":[["2021"]]}}}],"schema":"https://github.com/citation-style-language/schema/raw/master/csl-citation.json"} </w:instrText>
      </w:r>
      <w:r w:rsidR="00850B20">
        <w:rPr>
          <w:rFonts w:cs="Arial"/>
          <w:szCs w:val="24"/>
        </w:rPr>
        <w:fldChar w:fldCharType="separate"/>
      </w:r>
      <w:r w:rsidR="00850B20" w:rsidRPr="00302E56">
        <w:t>(Kuus 2021)</w:t>
      </w:r>
      <w:r w:rsidR="00850B20">
        <w:rPr>
          <w:rFonts w:cs="Arial"/>
          <w:szCs w:val="24"/>
        </w:rPr>
        <w:fldChar w:fldCharType="end"/>
      </w:r>
      <w:r w:rsidR="00850B20">
        <w:rPr>
          <w:rFonts w:cs="Arial"/>
          <w:szCs w:val="24"/>
        </w:rPr>
        <w:t xml:space="preserve">. </w:t>
      </w:r>
      <w:r w:rsidRPr="00662E51">
        <w:rPr>
          <w:rFonts w:cs="Arial"/>
          <w:szCs w:val="24"/>
        </w:rPr>
        <w:t>Some informants were initially reticent because of the recording but over time, they became more at ease. I also made notes during and after the interviews, so I could capture both the body language and unspoken communication, as well as asides after the recording stopped.</w:t>
      </w:r>
    </w:p>
    <w:p w14:paraId="5C0488E0" w14:textId="22D69884" w:rsidR="00AA1CC8" w:rsidRPr="00662E51" w:rsidRDefault="00AA1CC8" w:rsidP="00F56305">
      <w:pPr>
        <w:spacing w:line="360" w:lineRule="auto"/>
        <w:ind w:left="0" w:firstLine="720"/>
        <w:rPr>
          <w:rFonts w:cs="Arial"/>
          <w:szCs w:val="24"/>
        </w:rPr>
      </w:pPr>
      <w:r w:rsidRPr="00662E51">
        <w:rPr>
          <w:rFonts w:cs="Arial"/>
          <w:szCs w:val="24"/>
        </w:rPr>
        <w:t xml:space="preserve">Conversations were semi-structured: I started with set questions but allowed the interview to meander and for participants to lead as they wished </w:t>
      </w:r>
      <w:r w:rsidRPr="00662E51">
        <w:rPr>
          <w:rFonts w:cs="Arial"/>
          <w:szCs w:val="24"/>
        </w:rPr>
        <w:fldChar w:fldCharType="begin"/>
      </w:r>
      <w:r w:rsidR="008835AB" w:rsidRPr="00662E51">
        <w:rPr>
          <w:rFonts w:cs="Arial"/>
          <w:szCs w:val="24"/>
        </w:rPr>
        <w:instrText xml:space="preserve"> ADDIN ZOTERO_ITEM CSL_CITATION {"citationID":"x0T1uG1S","properties":{"formattedCitation":"(Roulston and Choi 2018)","plainCitation":"(Roulston and Choi 2018)","noteIndex":0},"citationItems":[{"id":6540,"uris":["http://zotero.org/users/8977980/items/DR7TV78C"],"itemData":{"id":6540,"type":"chapter","container-title":"The SAGE Handbook of Qualitative Data Collection","DOI":"10.4135/9781526416070.n15","ISBN":"978-1-4739-5213-3","page":"233-249","publisher":"SAGE Publications Ltd","publisher-place":"1 Oliver's Yard, 55 City Road London EC1Y 1SP","source":"DOI.org (Crossref)","title":"Qualitative Interviews","URL":"https://sk.sagepub.com/reference/the-sage-handbook-of-qualitative-data-collection/i1709.xml","container-author":[{"family":"Flick","given":"Uwe"}],"author":[{"family":"Roulston","given":"Kathryn"},{"family":"Choi","given":"Myungweon"}],"accessed":{"date-parts":[["2025",6,11]]},"issued":{"date-parts":[["2018"]]}}}],"schema":"https://github.com/citation-style-language/schema/raw/master/csl-citation.json"} </w:instrText>
      </w:r>
      <w:r w:rsidRPr="00662E51">
        <w:rPr>
          <w:rFonts w:cs="Arial"/>
          <w:szCs w:val="24"/>
        </w:rPr>
        <w:fldChar w:fldCharType="separate"/>
      </w:r>
      <w:r w:rsidR="0095662D" w:rsidRPr="00662E51">
        <w:t>(Roulston and Choi 2018)</w:t>
      </w:r>
      <w:r w:rsidRPr="00662E51">
        <w:rPr>
          <w:rFonts w:cs="Arial"/>
          <w:szCs w:val="24"/>
        </w:rPr>
        <w:fldChar w:fldCharType="end"/>
      </w:r>
      <w:r w:rsidRPr="00662E51">
        <w:rPr>
          <w:rFonts w:cs="Arial"/>
          <w:szCs w:val="24"/>
        </w:rPr>
        <w:t xml:space="preserve">. Three interview guides were created, corresponding to each empirical example. Later, when interviewees overlapped between the HDV and HRW cases, I designed the guide to cover both. Our conversations began broadly and then became more focused. I designed a list of fifteen questions, grouped by topic, that covered areas of interest. The list was live: as I moved through interviews, the salience of certain topics shifted. For example, responses to acts of/claims to citizenship became less important to the research because participants could not remember any. Although this is interesting data on its own, the emptiness of their responses prompted me to shift </w:t>
      </w:r>
      <w:r w:rsidRPr="00662E51">
        <w:rPr>
          <w:rFonts w:cs="Arial"/>
          <w:szCs w:val="24"/>
        </w:rPr>
        <w:fldChar w:fldCharType="begin"/>
      </w:r>
      <w:r w:rsidR="008835AB" w:rsidRPr="00662E51">
        <w:rPr>
          <w:rFonts w:cs="Arial"/>
          <w:szCs w:val="24"/>
        </w:rPr>
        <w:instrText xml:space="preserve"> ADDIN ZOTERO_ITEM CSL_CITATION {"citationID":"nwYPpVjj","properties":{"formattedCitation":"(C. Freeman 2020)","plainCitation":"(C. Freeman 2020)","noteIndex":0},"citationItems":[{"id":6225,"uris":["http://zotero.org/users/8977980/items/3RFVPE2P"],"itemData":{"id":6225,"type":"article-journal","abstract":"Triangulation is increasingly being seen as a concept that has lost clarity and become too broad to be of use. A new language is required to explain how and why researchers bring together multiple perspectives to study phenomena. By drawing on my own research experiences I propose ‘collage’ as a framework for using multiple methods in geography. This framework differs from triangulation in two important ways: firstly, it brings multiple methods together to elucidate a broad research area rather than a precise one, and secondly, it allows for greater spontaneity and the shifting of the frame of research. This paper explains how multiple methods can be used to gather fragments of knowledge on a topic that, when pieced together, can create a more complex understanding of the wider research area. A focus on this process emphasizes the role of the researcher in putting the pieces together.","container-title":"Geografiska Annaler: Series B, Human Geography","DOI":"10.1080/04353684.2020.1807383","ISSN":"0435-3684","issue":"4","note":"_eprint: https://doi.org/10.1080/04353684.2020.1807383","page":"328-340","publisher":"Routledge","source":"Taylor and Francis+NEJM","title":"Multiple methods beyond triangulation: collage as a methodological framework in geography","title-short":"Multiple methods beyond triangulation","volume":"102","author":[{"family":"Freeman","given":"Cordelia"}],"issued":{"date-parts":[["2020",10,1]]}}}],"schema":"https://github.com/citation-style-language/schema/raw/master/csl-citation.json"} </w:instrText>
      </w:r>
      <w:r w:rsidRPr="00662E51">
        <w:rPr>
          <w:rFonts w:cs="Arial"/>
          <w:szCs w:val="24"/>
        </w:rPr>
        <w:fldChar w:fldCharType="separate"/>
      </w:r>
      <w:r w:rsidR="0095662D" w:rsidRPr="00662E51">
        <w:t>(C. Freeman 2020)</w:t>
      </w:r>
      <w:r w:rsidRPr="00662E51">
        <w:rPr>
          <w:rFonts w:cs="Arial"/>
          <w:szCs w:val="24"/>
        </w:rPr>
        <w:fldChar w:fldCharType="end"/>
      </w:r>
      <w:r w:rsidRPr="00662E51">
        <w:rPr>
          <w:rFonts w:cs="Arial"/>
          <w:szCs w:val="24"/>
        </w:rPr>
        <w:t xml:space="preserve">. Similarly, interviews did not always proceed identically—flexibility, openness, and adaptability meant our conversations were more “a dialogue rather than an interrogation.” It also allowed for space for participants to push the dialogue into unplanned territory, making for “a far more wide-ranging discussion” than a structured interview would allow </w:t>
      </w:r>
      <w:r w:rsidRPr="00662E51">
        <w:rPr>
          <w:rFonts w:cs="Arial"/>
          <w:szCs w:val="24"/>
        </w:rPr>
        <w:fldChar w:fldCharType="begin"/>
      </w:r>
      <w:r w:rsidRPr="00662E51">
        <w:rPr>
          <w:rFonts w:cs="Arial"/>
          <w:szCs w:val="24"/>
        </w:rPr>
        <w:instrText xml:space="preserve"> ADDIN ZOTERO_ITEM CSL_CITATION {"citationID":"37nk1lv6","properties":{"formattedCitation":"(Valentine 2005, 111)","plainCitation":"(Valentine 2005, 111)","noteIndex":0},"citationItems":[{"id":6541,"uris":["http://zotero.org/users/8977980/items/PD4QSL7Y"],"itemData":{"id":6541,"type":"chapter","abstract":"Tell me about . . .: using interviews as a research methodology - 2","container-title":"Methods in Human Geography","edition":"2","ISBN":"978-1-315-83727-7","note":"number-of-pages: 18","publisher":"Routledge","title":"Tell me about . . .: using interviews as a research methodology","title-short":"Tell me about . . .","author":[{"family":"Valentine","given":"Gill"}],"issued":{"date-parts":[["2005"]]}},"locator":"111"}],"schema":"https://github.com/citation-style-language/schema/raw/master/csl-citation.json"} </w:instrText>
      </w:r>
      <w:r w:rsidRPr="00662E51">
        <w:rPr>
          <w:rFonts w:cs="Arial"/>
          <w:szCs w:val="24"/>
        </w:rPr>
        <w:fldChar w:fldCharType="separate"/>
      </w:r>
      <w:r w:rsidR="0095662D" w:rsidRPr="00662E51">
        <w:t>(Valentine 2005, 111)</w:t>
      </w:r>
      <w:r w:rsidRPr="00662E51">
        <w:rPr>
          <w:rFonts w:cs="Arial"/>
          <w:szCs w:val="24"/>
        </w:rPr>
        <w:fldChar w:fldCharType="end"/>
      </w:r>
      <w:r w:rsidRPr="00662E51">
        <w:rPr>
          <w:rFonts w:cs="Arial"/>
          <w:szCs w:val="24"/>
        </w:rPr>
        <w:t>. Semi-structured interviews meant interviewees—and their opinions—were respected, even though I was not always able to build rapport with interviewees in-person.</w:t>
      </w:r>
    </w:p>
    <w:p w14:paraId="3503E712" w14:textId="4D92BA37" w:rsidR="00AA1CC8" w:rsidRPr="00662E51" w:rsidRDefault="00AA1CC8" w:rsidP="00F56305">
      <w:pPr>
        <w:spacing w:line="360" w:lineRule="auto"/>
        <w:ind w:left="0" w:firstLine="720"/>
        <w:rPr>
          <w:rFonts w:cs="Arial"/>
          <w:szCs w:val="24"/>
        </w:rPr>
      </w:pPr>
      <w:r w:rsidRPr="00662E51">
        <w:rPr>
          <w:rFonts w:cs="Arial"/>
          <w:szCs w:val="24"/>
        </w:rPr>
        <w:t xml:space="preserve">Online interviews had their own unique challenges and benefits. Post-COVID, there is significant literature on online interviews </w:t>
      </w:r>
      <w:r w:rsidRPr="00662E51">
        <w:rPr>
          <w:rFonts w:cs="Arial"/>
          <w:szCs w:val="24"/>
        </w:rPr>
        <w:fldChar w:fldCharType="begin"/>
      </w:r>
      <w:r w:rsidRPr="00662E51">
        <w:rPr>
          <w:rFonts w:cs="Arial"/>
          <w:szCs w:val="24"/>
        </w:rPr>
        <w:instrText xml:space="preserve"> ADDIN ZOTERO_ITEM CSL_CITATION {"citationID":"OssVd2bY","properties":{"formattedCitation":"(de Villiers et al. 2021; Self 2021)","plainCitation":"(de Villiers et al. 2021; Self 2021)","noteIndex":0},"citationItems":[{"id":7007,"uris":["http://zotero.org/users/8977980/items/PEJAJVKG"],"itemData":{"id":7007,"type":"article-journal","container-title":"Meditari Accountancy Research","DOI":"10.1108/MEDAR-03-2021-1252","ISSN":"2049-372X","issue":"6","journalAbbreviation":"Meditari Accountancy Research","page":"1764-1782","source":"Silverchair","title":"Qualitative research interviews using online video technology – challenges and opportunities","volume":"30","author":[{"family":"Villiers","given":"Charl","non-dropping-particle":"de"},{"family":"Farooq","given":"Muhammad Bilal"},{"family":"Molinari","given":"Matteo"}],"issued":{"date-parts":[["2021",10,13]]}}},{"id":7005,"uris":["http://zotero.org/users/8977980/items/KLQZKYRF"],"itemData":{"id":7005,"type":"article-journal","abstract":"Die Verwendung von Telefon- und VoIP-Interviews (Voice over Internet Protocol) ist aufgrund der rechtlichen Einschränkungen und Sicherheitsmaßnahmen notwendig geworden, die während der COVID-19-Pandemie eingeführt wurden. Dies hat den wissenschaftlichen Dialog über Interviewverfahren gefördert, ebenso die Annahme, dass Face-to-Face-Befragungen der \"Goldstandard\" seien (NOVICK 2008, S.397). Auch die breite Öffentlichkeit hat sich an die Nutzung von VoIP im Alltag gewöhnt. In diesem Artikel erörtere ich diesen Wandel und die Auswirkungen, die er auf die Art der Befragung haben könnte. Dennoch bleiben die jeweiligen Kontexte der Forschenden und der Befragten bei der Entscheidung über die zu verwendende Interviewmethode ausschlaggebend. Aus diesem Grund wurde das Modell von OLTMANN (2016) um VoIP erweitert, um Forschenden einen umfassenderen Rahmen für eine fundierte Entscheidung zu bieten.","container-title":"Forum Qualitative Sozialforschung / Forum: Qualitative Social Research","DOI":"10.17169/fqs-22.3.3741","ISSN":"1438-5627","issue":"3","language":"en","license":"Copyright (c) 2021 Becky Self","source":"www.qualitative-research.net","title":"Conducting Interviews During the COVID-19 Pandemic and Beyond","URL":"https://www.qualitative-research.net/index.php/fqs/article/view/3741","volume":"22","author":[{"family":"Self","given":"Becky"}],"accessed":{"date-parts":[["2025",9,26]]},"issued":{"date-parts":[["2021",9,29]]}}}],"schema":"https://github.com/citation-style-language/schema/raw/master/csl-citation.json"} </w:instrText>
      </w:r>
      <w:r w:rsidRPr="00662E51">
        <w:rPr>
          <w:rFonts w:cs="Arial"/>
          <w:szCs w:val="24"/>
        </w:rPr>
        <w:fldChar w:fldCharType="separate"/>
      </w:r>
      <w:r w:rsidR="0095662D" w:rsidRPr="00662E51">
        <w:t xml:space="preserve">(de Villiers et al. 2021; </w:t>
      </w:r>
      <w:r w:rsidR="0095662D" w:rsidRPr="00662E51">
        <w:lastRenderedPageBreak/>
        <w:t>Self 2021)</w:t>
      </w:r>
      <w:r w:rsidRPr="00662E51">
        <w:rPr>
          <w:rFonts w:cs="Arial"/>
          <w:szCs w:val="24"/>
        </w:rPr>
        <w:fldChar w:fldCharType="end"/>
      </w:r>
      <w:r w:rsidRPr="00662E51">
        <w:rPr>
          <w:rFonts w:cs="Arial"/>
          <w:szCs w:val="24"/>
        </w:rPr>
        <w:t xml:space="preserve">. Whilst the shift to online research means that there is significant potential for innovative ways of conducting qualitative inquiry </w:t>
      </w:r>
      <w:r w:rsidRPr="00662E51">
        <w:rPr>
          <w:rFonts w:cs="Arial"/>
          <w:szCs w:val="24"/>
        </w:rPr>
        <w:fldChar w:fldCharType="begin"/>
      </w:r>
      <w:r w:rsidR="008835AB" w:rsidRPr="00662E51">
        <w:rPr>
          <w:rFonts w:cs="Arial"/>
          <w:szCs w:val="24"/>
        </w:rPr>
        <w:instrText xml:space="preserve"> ADDIN ZOTERO_ITEM CSL_CITATION {"citationID":"GOg2RDeV","properties":{"formattedCitation":"(Keen et al. 2022)","plainCitation":"(Keen et al. 2022)","noteIndex":0},"citationItems":[{"id":6549,"uris":["http://zotero.org/users/8977980/items/NJ2FK9Q4"],"itemData":{"id":6549,"type":"article-journal","abstract":"COVID-19 has required researchers to adapt methodologies for remote data collection. While virtual interviewing has traditionally received limited attention in the qualitative literature, recent adaptations to the pandemic have prompted increased discussion and adoption. Yet, current discussion has focussed on practical and ethical concerns and retained a tone of compromise, of coping in a crisis. This paper extends the nascent conversations begun prior to the pandemic to consider the wider methodological implications of video-call interviews. Beyond the short-term, practical challenges of the pandemic, these adaptations demonstrate scope for longer-term, beneficial digitalisation of both traditional and emergent interview methods. Updating traditional interview methods digitally has demonstrated how conversion to video interviewing proves beneficial in its own right. Virtual focus-group-based research during COVID-19, for example, accessed marginalised populations and elicited notable rapport and rich data, uniting people in synchronous conversation across many environments. Moreover, emergent interview methods such as the Grid Elaboration Method (a specialised free-associative method) demonstrated further digitalised enhancements, including effective online recruitment with flexible scheduling, virtual interactions with significant rapport, and valuable recording and transcription functions. This paper looks beyond the pandemic to future research contexts where such forms of virtual interviewing may confer unique advantages: supporting researcher and participant populations with mobility challenges; enhancing international research where researcher presence or travel may be problematic. When opportunities for traditional face-to-face methods return, the opportunity for virtual innovation should not be overlooked.","container-title":"International Journal of Qualitative Methods","DOI":"10.1177/16094069221105075","ISSN":"1609-4069","language":"EN","page":"16094069221105075","publisher":"SAGE Publications Inc","source":"SAGE Journals","title":"From Challenge to Opportunity: Virtual Qualitative Research During COVID-19 and Beyond","title-short":"From Challenge to Opportunity","volume":"21","author":[{"family":"Keen","given":"Sam"},{"family":"Lomeli-Rodriguez","given":"Martha"},{"family":"Joffe","given":"Helene"}],"issued":{"date-parts":[["2022",4,1]]}}}],"schema":"https://github.com/citation-style-language/schema/raw/master/csl-citation.json"} </w:instrText>
      </w:r>
      <w:r w:rsidRPr="00662E51">
        <w:rPr>
          <w:rFonts w:cs="Arial"/>
          <w:szCs w:val="24"/>
        </w:rPr>
        <w:fldChar w:fldCharType="separate"/>
      </w:r>
      <w:r w:rsidR="0095662D" w:rsidRPr="00662E51">
        <w:t>(Keen et al. 2022)</w:t>
      </w:r>
      <w:r w:rsidRPr="00662E51">
        <w:rPr>
          <w:rFonts w:cs="Arial"/>
          <w:szCs w:val="24"/>
        </w:rPr>
        <w:fldChar w:fldCharType="end"/>
      </w:r>
      <w:r w:rsidRPr="00662E51">
        <w:rPr>
          <w:rFonts w:cs="Arial"/>
          <w:szCs w:val="24"/>
        </w:rPr>
        <w:t xml:space="preserve">, my use of online interviews was intended to substitute for the face-to-face interview. Use of Zoom and Teams was primarily for ease of access. Online tools allowed for interviews during the working day and without the need to pre-determine a meeting place. Participants could be interviewed from the comfort of their homes, granting me more access to a wider pool—especially as several individuals had permanently moved away from London </w:t>
      </w:r>
      <w:r w:rsidRPr="00662E51">
        <w:rPr>
          <w:rFonts w:cs="Arial"/>
          <w:szCs w:val="24"/>
        </w:rPr>
        <w:fldChar w:fldCharType="begin"/>
      </w:r>
      <w:r w:rsidRPr="00662E51">
        <w:rPr>
          <w:rFonts w:cs="Arial"/>
          <w:szCs w:val="24"/>
        </w:rPr>
        <w:instrText xml:space="preserve"> ADDIN ZOTERO_ITEM CSL_CITATION {"citationID":"65A59hW6","properties":{"formattedCitation":"(Saarij\\uc0\\u228{}rvi and Bratt 2021)","plainCitation":"(Saarijärvi and Bratt 2021)","noteIndex":0},"citationItems":[{"id":6547,"uris":["http://zotero.org/users/8977980/items/DUCK9KUU"],"itemData":{"id":6547,"type":"article-journal","abstract":"Face-to-face interviews have long been the norm for conducting qualitative interviews in healthcare research. However, the Covid-19 pandemic has accelerated the need to explore alternative methods. This, along with the swift digitalization of healthcare, has led to video, telephone, and online interactions becoming increasingly used. The use of new techniques to carry out interviews through video, telephone, and online applications all come with benefits and drawbacks. In this article, three ways of collecting data through qualitative interviews are described and their uses exemplified through a project investigating the impact of a transition program for adolescents with congenital heart disease.","container-title":"European Journal of Cardiovascular Nursing","DOI":"10.1093/eurjcn/zvab038","ISSN":"1474-5151","issue":"4","journalAbbreviation":"European Journal of Cardiovascular Nursing","page":"392-396","source":"Silverchair","title":"When face-to-face interviews are not possible: tips and tricks for video, telephone, online chat, and email interviews in qualitative research","title-short":"When face-to-face interviews are not possible","volume":"20","author":[{"family":"Saarijärvi","given":"Markus"},{"family":"Bratt","given":"Ewa-Lena"}],"issued":{"date-parts":[["2021",4,1]]}}}],"schema":"https://github.com/citation-style-language/schema/raw/master/csl-citation.json"} </w:instrText>
      </w:r>
      <w:r w:rsidRPr="00662E51">
        <w:rPr>
          <w:rFonts w:cs="Arial"/>
          <w:szCs w:val="24"/>
        </w:rPr>
        <w:fldChar w:fldCharType="separate"/>
      </w:r>
      <w:r w:rsidR="0095662D" w:rsidRPr="00662E51">
        <w:rPr>
          <w:rFonts w:cs="Times New Roman"/>
          <w:kern w:val="0"/>
        </w:rPr>
        <w:t>(Saarijärvi and Bratt 2021)</w:t>
      </w:r>
      <w:r w:rsidRPr="00662E51">
        <w:rPr>
          <w:rFonts w:cs="Arial"/>
          <w:szCs w:val="24"/>
        </w:rPr>
        <w:fldChar w:fldCharType="end"/>
      </w:r>
      <w:r w:rsidRPr="00662E51">
        <w:rPr>
          <w:rFonts w:cs="Arial"/>
          <w:szCs w:val="24"/>
        </w:rPr>
        <w:t xml:space="preserve">. As participants could chose the setting, they were able to feel safe and comfortable to discuss potentially unsafe or confidential material </w:t>
      </w:r>
      <w:r w:rsidRPr="00662E51">
        <w:rPr>
          <w:rFonts w:cs="Arial"/>
          <w:szCs w:val="24"/>
        </w:rPr>
        <w:fldChar w:fldCharType="begin"/>
      </w:r>
      <w:r w:rsidRPr="00662E51">
        <w:rPr>
          <w:rFonts w:cs="Arial"/>
          <w:szCs w:val="24"/>
        </w:rPr>
        <w:instrText xml:space="preserve"> ADDIN ZOTERO_ITEM CSL_CITATION {"citationID":"SisSbPS3","properties":{"formattedCitation":"(Self 2021)","plainCitation":"(Self 2021)","noteIndex":0},"citationItems":[{"id":7005,"uris":["http://zotero.org/users/8977980/items/KLQZKYRF"],"itemData":{"id":7005,"type":"article-journal","abstract":"Die Verwendung von Telefon- und VoIP-Interviews (Voice over Internet Protocol) ist aufgrund der rechtlichen Einschränkungen und Sicherheitsmaßnahmen notwendig geworden, die während der COVID-19-Pandemie eingeführt wurden. Dies hat den wissenschaftlichen Dialog über Interviewverfahren gefördert, ebenso die Annahme, dass Face-to-Face-Befragungen der \"Goldstandard\" seien (NOVICK 2008, S.397). Auch die breite Öffentlichkeit hat sich an die Nutzung von VoIP im Alltag gewöhnt. In diesem Artikel erörtere ich diesen Wandel und die Auswirkungen, die er auf die Art der Befragung haben könnte. Dennoch bleiben die jeweiligen Kontexte der Forschenden und der Befragten bei der Entscheidung über die zu verwendende Interviewmethode ausschlaggebend. Aus diesem Grund wurde das Modell von OLTMANN (2016) um VoIP erweitert, um Forschenden einen umfassenderen Rahmen für eine fundierte Entscheidung zu bieten.","container-title":"Forum Qualitative Sozialforschung / Forum: Qualitative Social Research","DOI":"10.17169/fqs-22.3.3741","ISSN":"1438-5627","issue":"3","language":"en","license":"Copyright (c) 2021 Becky Self","source":"www.qualitative-research.net","title":"Conducting Interviews During the COVID-19 Pandemic and Beyond","URL":"https://www.qualitative-research.net/index.php/fqs/article/view/3741","volume":"22","author":[{"family":"Self","given":"Becky"}],"accessed":{"date-parts":[["2025",9,26]]},"issued":{"date-parts":[["2021",9,29]]}}}],"schema":"https://github.com/citation-style-language/schema/raw/master/csl-citation.json"} </w:instrText>
      </w:r>
      <w:r w:rsidRPr="00662E51">
        <w:rPr>
          <w:rFonts w:cs="Arial"/>
          <w:szCs w:val="24"/>
        </w:rPr>
        <w:fldChar w:fldCharType="separate"/>
      </w:r>
      <w:r w:rsidR="0095662D" w:rsidRPr="00662E51">
        <w:t>(Self 2021)</w:t>
      </w:r>
      <w:r w:rsidRPr="00662E51">
        <w:rPr>
          <w:rFonts w:cs="Arial"/>
          <w:szCs w:val="24"/>
        </w:rPr>
        <w:fldChar w:fldCharType="end"/>
      </w:r>
      <w:r w:rsidRPr="00662E51">
        <w:rPr>
          <w:rFonts w:cs="Arial"/>
          <w:szCs w:val="24"/>
        </w:rPr>
        <w:t xml:space="preserve">. However, technological problems sometimes hampered my ability to see the nonverbal cues and communication of my participants. Though no interview needed to be rescheduled due to technical problems, there were many awkward silences and moments that put distance between myself and the participant </w:t>
      </w:r>
      <w:r w:rsidRPr="00662E51">
        <w:rPr>
          <w:rFonts w:cs="Arial"/>
          <w:szCs w:val="24"/>
        </w:rPr>
        <w:fldChar w:fldCharType="begin"/>
      </w:r>
      <w:r w:rsidR="008835AB" w:rsidRPr="00662E51">
        <w:rPr>
          <w:rFonts w:cs="Arial"/>
          <w:szCs w:val="24"/>
        </w:rPr>
        <w:instrText xml:space="preserve"> ADDIN ZOTERO_ITEM CSL_CITATION {"citationID":"30f4ohmn","properties":{"formattedCitation":"(Salmons 2014)","plainCitation":"(Salmons 2014)","noteIndex":0},"citationItems":[{"id":6546,"uris":["http://zotero.org/users/8977980/items/84C3L6NH"],"itemData":{"id":6546,"type":"book","DOI":"10.4135/9781071878880","ISBN":"978-1-4833-3267-3","publisher":"SAGE Publications Ltd","publisher-place":"1 Oliver’s Yard, 55 City Road London EC1Y 1SP","source":"DOI.org (Crossref)","title":"Qualitative Online Interviews: Strategies, Design, and Skills","title-short":"Qualitative Online Interviews","URL":"https://methods.sagepub.com/book/qualitative-online-interviews-2e","author":[{"family":"Salmons","given":"Janet"}],"accessed":{"date-parts":[["2025",6,11]]},"issued":{"date-parts":[["2014"]]}}}],"schema":"https://github.com/citation-style-language/schema/raw/master/csl-citation.json"} </w:instrText>
      </w:r>
      <w:r w:rsidRPr="00662E51">
        <w:rPr>
          <w:rFonts w:cs="Arial"/>
          <w:szCs w:val="24"/>
        </w:rPr>
        <w:fldChar w:fldCharType="separate"/>
      </w:r>
      <w:r w:rsidR="0095662D" w:rsidRPr="00662E51">
        <w:t>(Salmons 2014)</w:t>
      </w:r>
      <w:r w:rsidRPr="00662E51">
        <w:rPr>
          <w:rFonts w:cs="Arial"/>
          <w:szCs w:val="24"/>
        </w:rPr>
        <w:fldChar w:fldCharType="end"/>
      </w:r>
      <w:r w:rsidRPr="00662E51">
        <w:rPr>
          <w:rFonts w:cs="Arial"/>
          <w:szCs w:val="24"/>
        </w:rPr>
        <w:t>. The ability to conduct interviews via Zoom and Teams allowed for easier access to a wider range of participants.</w:t>
      </w:r>
    </w:p>
    <w:p w14:paraId="71C47461" w14:textId="21561927" w:rsidR="00AA1CC8" w:rsidRPr="00662E51" w:rsidRDefault="00AA1CC8" w:rsidP="00EA3499">
      <w:pPr>
        <w:spacing w:line="360" w:lineRule="auto"/>
        <w:ind w:left="0" w:firstLine="720"/>
        <w:rPr>
          <w:rFonts w:cs="Arial"/>
          <w:szCs w:val="24"/>
        </w:rPr>
      </w:pPr>
      <w:r w:rsidRPr="00662E51">
        <w:rPr>
          <w:rFonts w:cs="Arial"/>
          <w:szCs w:val="24"/>
        </w:rPr>
        <w:t>Throughout this process, I made sure to attend to power relations between myself and the interviewee</w:t>
      </w:r>
      <w:r w:rsidR="00590A69">
        <w:rPr>
          <w:rFonts w:cs="Arial"/>
          <w:szCs w:val="24"/>
        </w:rPr>
        <w:t>, recognising that power is</w:t>
      </w:r>
      <w:r w:rsidR="00602680">
        <w:rPr>
          <w:rFonts w:cs="Arial"/>
          <w:szCs w:val="24"/>
        </w:rPr>
        <w:t xml:space="preserve"> fluid and negotiable rather than fixed and unidirectional </w:t>
      </w:r>
      <w:r w:rsidR="00602680">
        <w:rPr>
          <w:rFonts w:cs="Arial"/>
          <w:szCs w:val="24"/>
        </w:rPr>
        <w:fldChar w:fldCharType="begin"/>
      </w:r>
      <w:r w:rsidR="00213B80">
        <w:rPr>
          <w:rFonts w:cs="Arial"/>
          <w:szCs w:val="24"/>
        </w:rPr>
        <w:instrText xml:space="preserve"> ADDIN ZOTERO_ITEM CSL_CITATION {"citationID":"ekeXxSSL","properties":{"formattedCitation":"(Kuus 2021; Merriam et al. 2001; K. E. Smith 2006)","plainCitation":"(Kuus 2021; Merriam et al. 2001; K. E. Smith 2006)","noteIndex":0},"citationItems":[{"id":7205,"uris":["http://zotero.org/users/8977980/items/VB9SX3GQ"],"itemData":{"id":7205,"type":"chapter","container-title":"Research Ethics for Human Geography: A Handbook for Students","ISBN":"978-1-5264-1662-9","publisher":"SAGE Publications, Limited","publisher-place":"London, UNITED KINGDOM","source":"ProQuest Ebook Central","title":"Powerful and Elite Subjects","URL":"http://ebookcentral.proquest.com/lib/durham/detail.action?docID=6383656","editor":[{"family":"Wilson","given":"Helen F."},{"family":"Darling","given":"Jonathan"}],"author":[{"family":"Kuus","given":"Merje"}],"accessed":{"date-parts":[["2025",6,19]]},"issued":{"date-parts":[["2021"]]}}},{"id":6542,"uris":["http://zotero.org/users/8977980/items/WWKWJU57"],"itemData":{"id":6542,"type":"article-journal","abstract":"Early discussions of insider/outsider status assumed that the researcher was predominately an insider or an outsider and that each status carried with it certain advantages and disadvantages. More recent discussions have unveiled the complexity inherent in either status and have acknowledged that the boundaries between the two positions are not all that clearly delineated. Four case studies - a Black woman interviewing other Black women, Asian graduate students in the US interviewing people from ‘back home’, an African professor learning from African businesswomen, and a cross-cultural team studying aging in a nonWestern culture - are used as the data base to explore the complexities of researching within and across cultures. Positionality, power, and representation proved to be useful concepts for exploring insider/outsider dynamics.","container-title":"International Journal of Lifelong Education","DOI":"10.1080/02601370120490","ISSN":"0260-1370","issue":"5","note":"_eprint: https://www.tandfonline.com/doi/pdf/10.1080/02601370120490","page":"405-416","publisher":"Routledge","source":"Taylor and Francis+NEJM","title":"Power and positionality: negotiating insider/outsider status within and across cultures","title-short":"Power and positionality","volume":"20","author":[{"family":"Merriam","given":"Sharan B."},{"family":"","given":"Johnson-Bailey ,Juanita"},{"family":"","given":"Lee ,Ming-Yeh"},{"family":"","given":"Kee ,Youngwha"},{"family":"","given":"Ntseane ,Gabo"},{"family":"Muhamad","given":"Mazanah","non-dropping-particle":"and"}],"issued":{"date-parts":[["2001",9,1]]}}},{"id":7183,"uris":["http://zotero.org/users/8977980/items/Q5HRIVMW"],"itemData":{"id":7183,"type":"article-journal","abstract":"Methodological debates about interviewing ‘elites’ have recently received significant attention within human geography. Many of the contributors to this debate have suggested that there is something intrinsically different about interviewing ‘up’, which geography’s methodological literature needs to make space to consider. This paper argues that, in fact, the distinction between ‘elite’ interviewees and other types of interviewees is based on inadequate and widely critiqued conceptions of power. If, instead, geographers employ a poststructural understanding of power, we may be able to achieve a more sophisticated analysis of power relations within the interview space.","container-title":"Geoforum","DOI":"10.1016/j.geoforum.2005.11.002","ISSN":"0016-7185","issue":"4","journalAbbreviation":"Geoforum","page":"643-653","source":"ScienceDirect","title":"Problematising power relations in ‘elite’ interviews","volume":"37","author":[{"family":"Smith","given":"Katherine E."}],"issued":{"date-parts":[["2006",7,1]]}}}],"schema":"https://github.com/citation-style-language/schema/raw/master/csl-citation.json"} </w:instrText>
      </w:r>
      <w:r w:rsidR="00602680">
        <w:rPr>
          <w:rFonts w:cs="Arial"/>
          <w:szCs w:val="24"/>
        </w:rPr>
        <w:fldChar w:fldCharType="separate"/>
      </w:r>
      <w:r w:rsidR="00213B80" w:rsidRPr="00213B80">
        <w:t>(Kuus 2021; Merriam et al. 2001; K. E. Smith 2006)</w:t>
      </w:r>
      <w:r w:rsidR="00602680">
        <w:rPr>
          <w:rFonts w:cs="Arial"/>
          <w:szCs w:val="24"/>
        </w:rPr>
        <w:fldChar w:fldCharType="end"/>
      </w:r>
      <w:r w:rsidR="00A340E1">
        <w:rPr>
          <w:rFonts w:cs="Arial"/>
          <w:szCs w:val="24"/>
        </w:rPr>
        <w:t xml:space="preserve">. </w:t>
      </w:r>
      <w:r w:rsidR="002868EA">
        <w:rPr>
          <w:rFonts w:cs="Arial"/>
          <w:szCs w:val="24"/>
        </w:rPr>
        <w:t xml:space="preserve">First, </w:t>
      </w:r>
      <w:r w:rsidR="000960A7">
        <w:rPr>
          <w:rFonts w:cs="Arial"/>
          <w:szCs w:val="24"/>
        </w:rPr>
        <w:t xml:space="preserve">I ensured to treat councillors, activists, and unaligned residents with the same set </w:t>
      </w:r>
      <w:r w:rsidR="00B5698A">
        <w:rPr>
          <w:rFonts w:cs="Arial"/>
          <w:szCs w:val="24"/>
        </w:rPr>
        <w:t xml:space="preserve">ethics and codes of conducts. </w:t>
      </w:r>
      <w:r w:rsidR="0043706A">
        <w:rPr>
          <w:rFonts w:cs="Arial"/>
          <w:szCs w:val="24"/>
        </w:rPr>
        <w:t>That is, I did not attempt</w:t>
      </w:r>
      <w:r w:rsidR="00E303FF">
        <w:rPr>
          <w:rFonts w:cs="Arial"/>
          <w:szCs w:val="24"/>
        </w:rPr>
        <w:t xml:space="preserve"> to unnecessarily flatter or build rapport with councillors (who might be considered ‘elites’)</w:t>
      </w:r>
      <w:r w:rsidR="0042093B">
        <w:rPr>
          <w:rFonts w:cs="Arial"/>
          <w:szCs w:val="24"/>
        </w:rPr>
        <w:t xml:space="preserve">, so as to ensure flatter relationships with participants </w:t>
      </w:r>
      <w:r w:rsidR="00A50F9F">
        <w:rPr>
          <w:rFonts w:cs="Arial"/>
          <w:szCs w:val="24"/>
        </w:rPr>
        <w:fldChar w:fldCharType="begin"/>
      </w:r>
      <w:r w:rsidR="00213B80">
        <w:rPr>
          <w:rFonts w:cs="Arial"/>
          <w:szCs w:val="24"/>
        </w:rPr>
        <w:instrText xml:space="preserve"> ADDIN ZOTERO_ITEM CSL_CITATION {"citationID":"SKkpGQf5","properties":{"formattedCitation":"(K. E. Smith 2006)","plainCitation":"(K. E. Smith 2006)","noteIndex":0},"citationItems":[{"id":7183,"uris":["http://zotero.org/users/8977980/items/Q5HRIVMW"],"itemData":{"id":7183,"type":"article-journal","abstract":"Methodological debates about interviewing ‘elites’ have recently received significant attention within human geography. Many of the contributors to this debate have suggested that there is something intrinsically different about interviewing ‘up’, which geography’s methodological literature needs to make space to consider. This paper argues that, in fact, the distinction between ‘elite’ interviewees and other types of interviewees is based on inadequate and widely critiqued conceptions of power. If, instead, geographers employ a poststructural understanding of power, we may be able to achieve a more sophisticated analysis of power relations within the interview space.","container-title":"Geoforum","DOI":"10.1016/j.geoforum.2005.11.002","ISSN":"0016-7185","issue":"4","journalAbbreviation":"Geoforum","page":"643-653","source":"ScienceDirect","title":"Problematising power relations in ‘elite’ interviews","volume":"37","author":[{"family":"Smith","given":"Katherine E."}],"issued":{"date-parts":[["2006",7,1]]}}}],"schema":"https://github.com/citation-style-language/schema/raw/master/csl-citation.json"} </w:instrText>
      </w:r>
      <w:r w:rsidR="00A50F9F">
        <w:rPr>
          <w:rFonts w:cs="Arial"/>
          <w:szCs w:val="24"/>
        </w:rPr>
        <w:fldChar w:fldCharType="separate"/>
      </w:r>
      <w:r w:rsidR="00213B80" w:rsidRPr="00213B80">
        <w:t>(K. E. Smith 2006)</w:t>
      </w:r>
      <w:r w:rsidR="00A50F9F">
        <w:rPr>
          <w:rFonts w:cs="Arial"/>
          <w:szCs w:val="24"/>
        </w:rPr>
        <w:fldChar w:fldCharType="end"/>
      </w:r>
      <w:r w:rsidR="00A340E1">
        <w:rPr>
          <w:rFonts w:cs="Arial"/>
          <w:szCs w:val="24"/>
        </w:rPr>
        <w:t xml:space="preserve">. </w:t>
      </w:r>
      <w:r w:rsidR="00631001">
        <w:rPr>
          <w:rFonts w:cs="Arial"/>
          <w:szCs w:val="24"/>
        </w:rPr>
        <w:t>R</w:t>
      </w:r>
      <w:r w:rsidR="00741042">
        <w:rPr>
          <w:rFonts w:cs="Arial"/>
          <w:szCs w:val="24"/>
        </w:rPr>
        <w:t xml:space="preserve">ecognising that </w:t>
      </w:r>
      <w:r w:rsidR="000A4EEA">
        <w:rPr>
          <w:rFonts w:cs="Arial"/>
          <w:szCs w:val="24"/>
        </w:rPr>
        <w:t xml:space="preserve">powerful interviewees are still vulnerable, </w:t>
      </w:r>
      <w:r w:rsidR="00741042">
        <w:rPr>
          <w:rFonts w:cs="Arial"/>
          <w:szCs w:val="24"/>
        </w:rPr>
        <w:t xml:space="preserve">I made sure to emphasise participant anonymity (as participants knew each other well) </w:t>
      </w:r>
      <w:r w:rsidR="000A4EEA">
        <w:rPr>
          <w:rFonts w:cs="Arial"/>
          <w:szCs w:val="24"/>
        </w:rPr>
        <w:t>through vague language in interviews</w:t>
      </w:r>
      <w:r w:rsidR="00631001">
        <w:rPr>
          <w:rFonts w:cs="Arial"/>
          <w:szCs w:val="24"/>
        </w:rPr>
        <w:t xml:space="preserve"> </w:t>
      </w:r>
      <w:r w:rsidR="00F11FA0">
        <w:rPr>
          <w:rFonts w:cs="Arial"/>
          <w:szCs w:val="24"/>
        </w:rPr>
        <w:fldChar w:fldCharType="begin"/>
      </w:r>
      <w:r w:rsidR="00F11FA0">
        <w:rPr>
          <w:rFonts w:cs="Arial"/>
          <w:szCs w:val="24"/>
        </w:rPr>
        <w:instrText xml:space="preserve"> ADDIN ZOTERO_ITEM CSL_CITATION {"citationID":"5e5Acj7j","properties":{"formattedCitation":"(Kuus 2021)","plainCitation":"(Kuus 2021)","noteIndex":0},"citationItems":[{"id":7205,"uris":["http://zotero.org/users/8977980/items/VB9SX3GQ"],"itemData":{"id":7205,"type":"chapter","container-title":"Research Ethics for Human Geography: A Handbook for Students","ISBN":"978-1-5264-1662-9","publisher":"SAGE Publications, Limited","publisher-place":"London, UNITED KINGDOM","source":"ProQuest Ebook Central","title":"Powerful and Elite Subjects","URL":"http://ebookcentral.proquest.com/lib/durham/detail.action?docID=6383656","editor":[{"family":"Wilson","given":"Helen F."},{"family":"Darling","given":"Jonathan"}],"author":[{"family":"Kuus","given":"Merje"}],"accessed":{"date-parts":[["2025",6,19]]},"issued":{"date-parts":[["2021"]]}}}],"schema":"https://github.com/citation-style-language/schema/raw/master/csl-citation.json"} </w:instrText>
      </w:r>
      <w:r w:rsidR="00F11FA0">
        <w:rPr>
          <w:rFonts w:cs="Arial"/>
          <w:szCs w:val="24"/>
        </w:rPr>
        <w:fldChar w:fldCharType="separate"/>
      </w:r>
      <w:r w:rsidR="00F11FA0" w:rsidRPr="00F11FA0">
        <w:t>(Kuus 2021)</w:t>
      </w:r>
      <w:r w:rsidR="00F11FA0">
        <w:rPr>
          <w:rFonts w:cs="Arial"/>
          <w:szCs w:val="24"/>
        </w:rPr>
        <w:fldChar w:fldCharType="end"/>
      </w:r>
      <w:r w:rsidR="000A4EEA">
        <w:rPr>
          <w:rFonts w:cs="Arial"/>
          <w:szCs w:val="24"/>
        </w:rPr>
        <w:t xml:space="preserve">. </w:t>
      </w:r>
      <w:r w:rsidRPr="00662E51">
        <w:rPr>
          <w:rFonts w:cs="Arial"/>
          <w:szCs w:val="24"/>
        </w:rPr>
        <w:t xml:space="preserve">Most of my participants were white and some identified as working class (see more in Positionality, below). The use of snowballing and gatekeepers I met at the foodbank meant less-complicated power relations with interviewees as I was already validated for </w:t>
      </w:r>
      <w:r w:rsidRPr="00662E51">
        <w:rPr>
          <w:rFonts w:cs="Arial"/>
          <w:szCs w:val="24"/>
        </w:rPr>
        <w:fldChar w:fldCharType="begin"/>
      </w:r>
      <w:r w:rsidR="008835AB" w:rsidRPr="00662E51">
        <w:rPr>
          <w:rFonts w:cs="Arial"/>
          <w:szCs w:val="24"/>
        </w:rPr>
        <w:instrText xml:space="preserve"> ADDIN ZOTERO_ITEM CSL_CITATION {"citationID":"cKJVOAzG","properties":{"formattedCitation":"(Roulston and Choi 2018)","plainCitation":"(Roulston and Choi 2018)","noteIndex":0},"citationItems":[{"id":6540,"uris":["http://zotero.org/users/8977980/items/DR7TV78C"],"itemData":{"id":6540,"type":"chapter","container-title":"The SAGE Handbook of Qualitative Data Collection","DOI":"10.4135/9781526416070.n15","ISBN":"978-1-4739-5213-3","page":"233-249","publisher":"SAGE Publications Ltd","publisher-place":"1 Oliver's Yard, 55 City Road London EC1Y 1SP","source":"DOI.org (Crossref)","title":"Qualitative Interviews","URL":"https://sk.sagepub.com/reference/the-sage-handbook-of-qualitative-data-collection/i1709.xml","container-author":[{"family":"Flick","given":"Uwe"}],"author":[{"family":"Roulston","given":"Kathryn"},{"family":"Choi","given":"Myungweon"}],"accessed":{"date-parts":[["2025",6,11]]},"issued":{"date-parts":[["2018"]]}}}],"schema":"https://github.com/citation-style-language/schema/raw/master/csl-citation.json"} </w:instrText>
      </w:r>
      <w:r w:rsidRPr="00662E51">
        <w:rPr>
          <w:rFonts w:cs="Arial"/>
          <w:szCs w:val="24"/>
        </w:rPr>
        <w:fldChar w:fldCharType="separate"/>
      </w:r>
      <w:r w:rsidR="0095662D" w:rsidRPr="00662E51">
        <w:t>(Roulston and Choi 2018)</w:t>
      </w:r>
      <w:r w:rsidRPr="00662E51">
        <w:rPr>
          <w:rFonts w:cs="Arial"/>
          <w:szCs w:val="24"/>
        </w:rPr>
        <w:fldChar w:fldCharType="end"/>
      </w:r>
      <w:r w:rsidRPr="00662E51">
        <w:rPr>
          <w:rFonts w:cs="Arial"/>
          <w:szCs w:val="24"/>
        </w:rPr>
        <w:t xml:space="preserve">. Volunteering is not ethically neutral and can complicate power relations further </w:t>
      </w:r>
      <w:r w:rsidRPr="00662E51">
        <w:rPr>
          <w:rFonts w:cs="Arial"/>
          <w:szCs w:val="24"/>
        </w:rPr>
        <w:fldChar w:fldCharType="begin"/>
      </w:r>
      <w:r w:rsidR="008835AB" w:rsidRPr="00662E51">
        <w:rPr>
          <w:rFonts w:cs="Arial"/>
          <w:szCs w:val="24"/>
        </w:rPr>
        <w:instrText xml:space="preserve"> ADDIN ZOTERO_ITEM CSL_CITATION {"citationID":"aomQTrLE","properties":{"formattedCitation":"(Goerisch 2017; Jordan and Moser 2020)","plainCitation":"(Goerisch 2017; Jordan and Moser 2020)","noteIndex":0},"citationItems":[{"id":7009,"uris":["http://zotero.org/users/8977980/items/CK53NVDE"],"itemData":{"id":7009,"type":"article-journal","abstract":"In this article, I argue that there is a need to examine the feminist ethics of volunteering in the field, specifically as it relates to issues of positionality, power and reciprocity, and participatory methods. Reflecting on dilemmas I experienced as a volunteer with the Girl Scouts of San Diego while conducting research on their annual Girl Scout cookie sale, I debate the relationship between volunteerism and fieldwork more broadly and question the effectiveness of volunteerism within a feminist geographic methodological framework. In light of the dilemmas that arose in the field as a volunteer and researcher, I question whether we can consider volunteering as “good work.”","container-title":"The Professional Geographer","DOI":"10.1080/00330124.2016.1208511","ISSN":"0033-0124","issue":"2","note":"_eprint: https://doi.org/10.1080/00330124.2016.1208511","page":"307-313","publisher":"Routledge","source":"Taylor and Francis+NEJM","title":"“Doing Good Work”: Feminist Dilemmas of Volunteering in the Field","title-short":"“Doing Good Work”","volume":"69","author":[{"family":"Goerisch","given":"Denise"}],"issued":{"date-parts":[["2017",4,3]]}}},{"id":6982,"uris":["http://zotero.org/users/8977980/items/AQKVH956"],"itemData":{"id":6982,"type":"article-journal","abstract":"The changing geographies of irregular migration require new methodological approaches and modes of researcher engagement. In and around Europe, migrants are increasingly residing in unconventional, dynamic, and diverse spaces such as informal transit camps. Along the Balkan Route, these temporary, makeshift encampments are emerging as a result of the EU’s crackdown on border controls, tightening restrictions on asylum legislation and aid provision, and increasingly long, difficult, and fragmented migratory journeys. Across cities, border-zones, and at strategic transit hubs, immobilised migrants have established informal transit camps where they may temporarily reside and access services, information, and smugglers before their next clandestine attempt to cross into the EU. Due to transit state policies that effectively ignore these transit camps and ban larger NGOs from operating there, the majority of services and humanitarian aid is provided by small, grassroots organisations and unpaid volunteers. The proliferation of informal transit camps, and the particular social constellations of actors who reside and operate in these spaces, call for further scholarly attention. In this paper, we reflect on the challenges and opportunities of taking on a role as a volunteer while conducting research among migrants in informal transit camps. By considering the acute conditions of informality, vulnerability, and precariousness, this paper illustrates how volunteering in this context is a way of gaining access to the site, establishing rapport and legitimacy, and fostering reciprocity among migrant subjects. Drawing from fieldwork along the Balkan Route as a volunteer-researcher, this paper examines methodology, best practices, positionality, and the ethical benefits and limitations of highly participatory, engagement-driven research in informal transit camps at Europe's periphery.","container-title":"Area","DOI":"10.1111/area.12614","ISSN":"1475-4762","issue":"3","language":"en","note":"_eprint: https://rgs-ibg.onlinelibrary.wiley.com/doi/pdf/10.1111/area.12614","page":"566-574","source":"Wiley Online Library","title":"Researching migrants in informal transit camps along the Balkan Route: Reflections on volunteer activism, access, and reciprocity","title-short":"Researching migrants in informal transit camps along the Balkan Route","volume":"52","author":[{"family":"Jordan","given":"Joanna"},{"family":"Moser","given":"Sarah"}],"issued":{"date-parts":[["2020"]]}}}],"schema":"https://github.com/citation-style-language/schema/raw/master/csl-citation.json"} </w:instrText>
      </w:r>
      <w:r w:rsidRPr="00662E51">
        <w:rPr>
          <w:rFonts w:cs="Arial"/>
          <w:szCs w:val="24"/>
        </w:rPr>
        <w:fldChar w:fldCharType="separate"/>
      </w:r>
      <w:r w:rsidR="0095662D" w:rsidRPr="00662E51">
        <w:t>(Goerisch 2017; Jordan and Moser 2020)</w:t>
      </w:r>
      <w:r w:rsidRPr="00662E51">
        <w:rPr>
          <w:rFonts w:cs="Arial"/>
          <w:szCs w:val="24"/>
        </w:rPr>
        <w:fldChar w:fldCharType="end"/>
      </w:r>
      <w:r w:rsidRPr="00662E51">
        <w:rPr>
          <w:rFonts w:cs="Arial"/>
          <w:szCs w:val="24"/>
        </w:rPr>
        <w:t xml:space="preserve">, something I expand in Section </w:t>
      </w:r>
      <w:r w:rsidR="00AE75D4" w:rsidRPr="00662E51">
        <w:rPr>
          <w:rFonts w:cs="Arial"/>
          <w:szCs w:val="24"/>
        </w:rPr>
        <w:t xml:space="preserve">4.3 </w:t>
      </w:r>
      <w:r w:rsidRPr="00662E51">
        <w:rPr>
          <w:rFonts w:cs="Arial"/>
          <w:szCs w:val="24"/>
        </w:rPr>
        <w:t xml:space="preserve">on Research Ethics. I found that my institutional positionality and the presence of a </w:t>
      </w:r>
      <w:r w:rsidRPr="00662E51">
        <w:rPr>
          <w:rFonts w:cs="Arial"/>
          <w:szCs w:val="24"/>
        </w:rPr>
        <w:lastRenderedPageBreak/>
        <w:t xml:space="preserve">recorder meant councillors </w:t>
      </w:r>
      <w:r w:rsidR="00290046" w:rsidRPr="00662E51">
        <w:rPr>
          <w:rFonts w:cs="Arial"/>
          <w:szCs w:val="24"/>
        </w:rPr>
        <w:t xml:space="preserve">often </w:t>
      </w:r>
      <w:r w:rsidRPr="00662E51">
        <w:rPr>
          <w:rFonts w:cs="Arial"/>
          <w:szCs w:val="24"/>
        </w:rPr>
        <w:t>felt reticent to fully reveal their opinions and views</w:t>
      </w:r>
      <w:r w:rsidR="000A4EEA">
        <w:rPr>
          <w:rFonts w:cs="Arial"/>
          <w:szCs w:val="24"/>
        </w:rPr>
        <w:t xml:space="preserve"> </w:t>
      </w:r>
      <w:r w:rsidR="000A4EEA">
        <w:rPr>
          <w:rFonts w:cs="Arial"/>
          <w:szCs w:val="24"/>
        </w:rPr>
        <w:fldChar w:fldCharType="begin"/>
      </w:r>
      <w:r w:rsidR="000A4EEA">
        <w:rPr>
          <w:rFonts w:cs="Arial"/>
          <w:szCs w:val="24"/>
        </w:rPr>
        <w:instrText xml:space="preserve"> ADDIN ZOTERO_ITEM CSL_CITATION {"citationID":"kYJOQxJf","properties":{"formattedCitation":"(Lancaster 2016)","plainCitation":"(Lancaster 2016)","noteIndex":0},"citationItems":[{"id":7184,"uris":["http://zotero.org/users/8977980/items/WTWTU8W8"],"itemData":{"id":7184,"type":"article-journal","abstract":"While the methods used to study ‘elites’ are of particular relevance in policy research, to date there has been little examination of the particular challenges associated with ‘elite’ interviewing ...","container-title":"International Journal of Social Research Methodology","language":"en","source":"www.tandfonline.com","title":"Confidentiality, anonymity and power relations in elite interviewing: conducting qualitative policy research in a politicised domain","title-short":"Confidentiality, anonymity and power relations in elite interviewing","URL":"https://www.tandfonline.com/doi/abs/10.1080/13645579.2015.1123555","author":[{"family":"Lancaster","given":"Kari"}],"accessed":{"date-parts":[["2026",2,2]]},"issued":{"date-parts":[["2016",1,8]]}}}],"schema":"https://github.com/citation-style-language/schema/raw/master/csl-citation.json"} </w:instrText>
      </w:r>
      <w:r w:rsidR="000A4EEA">
        <w:rPr>
          <w:rFonts w:cs="Arial"/>
          <w:szCs w:val="24"/>
        </w:rPr>
        <w:fldChar w:fldCharType="separate"/>
      </w:r>
      <w:r w:rsidR="000A4EEA" w:rsidRPr="000A4EEA">
        <w:t>(Lancaster 2016)</w:t>
      </w:r>
      <w:r w:rsidR="000A4EEA">
        <w:rPr>
          <w:rFonts w:cs="Arial"/>
          <w:szCs w:val="24"/>
        </w:rPr>
        <w:fldChar w:fldCharType="end"/>
      </w:r>
      <w:r w:rsidRPr="00662E51">
        <w:rPr>
          <w:rFonts w:cs="Arial"/>
          <w:szCs w:val="24"/>
        </w:rPr>
        <w:t xml:space="preserve">. While this is an understandable limitation, the use of online interviews meant that recording continued even after the formal questions ended. This period was when some of the most helpful data was uncovered, something that would be lost without the use of online interviews. Moreover, my own positionality as an outsider—reviewed in more detail below—afforded me significant distance from the granular organising occurring in Haringey. In effect, I became a safe space for councillors who had felt unheard for years and wanted to reflect on their experiences in power. However, my past and current involvement in housing activism meant some organisers I interviewed assumed I agreed with them uncritically. Such assumptions were not helped by my being introduced by a gatekeeper </w:t>
      </w:r>
      <w:r w:rsidRPr="00662E51">
        <w:rPr>
          <w:rFonts w:cs="Arial"/>
          <w:szCs w:val="24"/>
        </w:rPr>
        <w:fldChar w:fldCharType="begin"/>
      </w:r>
      <w:r w:rsidR="008835AB" w:rsidRPr="00662E51">
        <w:rPr>
          <w:rFonts w:cs="Arial"/>
          <w:szCs w:val="24"/>
        </w:rPr>
        <w:instrText xml:space="preserve"> ADDIN ZOTERO_ITEM CSL_CITATION {"citationID":"c2ezPZK7","properties":{"formattedCitation":"(Merriam et al. 2001)","plainCitation":"(Merriam et al. 2001)","noteIndex":0},"citationItems":[{"id":6542,"uris":["http://zotero.org/users/8977980/items/WWKWJU57"],"itemData":{"id":6542,"type":"article-journal","abstract":"Early discussions of insider/outsider status assumed that the researcher was predominately an insider or an outsider and that each status carried with it certain advantages and disadvantages. More recent discussions have unveiled the complexity inherent in either status and have acknowledged that the boundaries between the two positions are not all that clearly delineated. Four case studies - a Black woman interviewing other Black women, Asian graduate students in the US interviewing people from ‘back home’, an African professor learning from African businesswomen, and a cross-cultural team studying aging in a nonWestern culture - are used as the data base to explore the complexities of researching within and across cultures. Positionality, power, and representation proved to be useful concepts for exploring insider/outsider dynamics.","container-title":"International Journal of Lifelong Education","DOI":"10.1080/02601370120490","ISSN":"0260-1370","issue":"5","note":"_eprint: https://www.tandfonline.com/doi/pdf/10.1080/02601370120490","page":"405-416","publisher":"Routledge","source":"Taylor and Francis+NEJM","title":"Power and positionality: negotiating insider/outsider status within and across cultures","title-short":"Power and positionality","volume":"20","author":[{"family":"Merriam","given":"Sharan B."},{"family":"","given":"Johnson-Bailey ,Juanita"},{"family":"","given":"Lee ,Ming-Yeh"},{"family":"","given":"Kee ,Youngwha"},{"family":"","given":"Ntseane ,Gabo"},{"family":"Muhamad","given":"Mazanah","non-dropping-particle":"and"}],"issued":{"date-parts":[["2001",9,1]]}}}],"schema":"https://github.com/citation-style-language/schema/raw/master/csl-citation.json"} </w:instrText>
      </w:r>
      <w:r w:rsidRPr="00662E51">
        <w:rPr>
          <w:rFonts w:cs="Arial"/>
          <w:szCs w:val="24"/>
        </w:rPr>
        <w:fldChar w:fldCharType="separate"/>
      </w:r>
      <w:r w:rsidR="0095662D" w:rsidRPr="00662E51">
        <w:t>(Merriam et al. 2001)</w:t>
      </w:r>
      <w:r w:rsidRPr="00662E51">
        <w:rPr>
          <w:rFonts w:cs="Arial"/>
          <w:szCs w:val="24"/>
        </w:rPr>
        <w:fldChar w:fldCharType="end"/>
      </w:r>
      <w:r w:rsidRPr="00662E51">
        <w:rPr>
          <w:rFonts w:cs="Arial"/>
          <w:szCs w:val="24"/>
        </w:rPr>
        <w:t xml:space="preserve">. One similar concern with interviews is their performative nature. Crang and Cook </w:t>
      </w:r>
      <w:r w:rsidRPr="00662E51">
        <w:rPr>
          <w:rFonts w:cs="Arial"/>
          <w:szCs w:val="24"/>
        </w:rPr>
        <w:fldChar w:fldCharType="begin"/>
      </w:r>
      <w:r w:rsidR="008835AB" w:rsidRPr="00662E51">
        <w:rPr>
          <w:rFonts w:cs="Arial"/>
          <w:szCs w:val="24"/>
        </w:rPr>
        <w:instrText xml:space="preserve"> ADDIN ZOTERO_ITEM CSL_CITATION {"citationID":"IBmfp55y","properties":{"formattedCitation":"(2007, 70)","plainCitation":"(2007, 70)","noteIndex":0},"citationItems":[{"id":4039,"uris":["http://zotero.org/users/8977980/items/FA68N5RM"],"itemData":{"id":4039,"type":"book","abstract":"&lt;p&gt;Doing Ethnographies is an introductory and applied guide to ethnographic methods. It focuses on those methods - participant observation, interviewing, focus","DOI":"10.4135/9781849208949","ISBN":"978-1-84920-894-9","language":"en","publisher":"SAGE Publications Ltd","source":"methods.sagepub.com","title":"Doing Ethnographies","URL":"https://methods.sagepub.com/book/doing-ethnographies","author":[{"family":"Crang","given":"Mike"},{"family":"Cook","given":"Ian"}],"accessed":{"date-parts":[["2023",3,17]]},"issued":{"date-parts":[["2007"]]}},"locator":"70","label":"page","suppress-author":true}],"schema":"https://github.com/citation-style-language/schema/raw/master/csl-citation.json"} </w:instrText>
      </w:r>
      <w:r w:rsidRPr="00662E51">
        <w:rPr>
          <w:rFonts w:cs="Arial"/>
          <w:szCs w:val="24"/>
        </w:rPr>
        <w:fldChar w:fldCharType="separate"/>
      </w:r>
      <w:r w:rsidR="0095662D" w:rsidRPr="00662E51">
        <w:t>(2007, 70)</w:t>
      </w:r>
      <w:r w:rsidRPr="00662E51">
        <w:rPr>
          <w:rFonts w:cs="Arial"/>
          <w:szCs w:val="24"/>
        </w:rPr>
        <w:fldChar w:fldCharType="end"/>
      </w:r>
      <w:r w:rsidRPr="00662E51">
        <w:rPr>
          <w:rFonts w:cs="Arial"/>
          <w:szCs w:val="24"/>
        </w:rPr>
        <w:t xml:space="preserve"> remind us that the stories told in interviews are “often not simply made up on the spur of the moment. Many will have been told, retold and refined on a number of occasions, in a number of places and with a number of different audiences.” With some of the activists, I felt that their stories were rehearsed and had been told to many other researchers before me. As such, I endeavoured to probe where possible but also made sure to respect the vast, lived experience that I could only get a glimpse of through the interview. </w:t>
      </w:r>
    </w:p>
    <w:p w14:paraId="623E596E" w14:textId="78BB2ECC" w:rsidR="00793FE0" w:rsidRPr="00662E51" w:rsidRDefault="00AA1CC8" w:rsidP="00F56305">
      <w:pPr>
        <w:spacing w:line="360" w:lineRule="auto"/>
        <w:ind w:left="0"/>
        <w:rPr>
          <w:rFonts w:cs="Arial"/>
          <w:szCs w:val="24"/>
        </w:rPr>
      </w:pPr>
      <w:r w:rsidRPr="00662E51">
        <w:rPr>
          <w:rFonts w:cs="Arial"/>
          <w:szCs w:val="24"/>
        </w:rPr>
        <w:tab/>
        <w:t xml:space="preserve">Although snowballing was a helpful approach in generating relevant contacts, I quickly realised the network I tapped into was constrained. That is, snowballing is a “network-based convenience form of sampling,” and so I was entirely dependent on the personal contacts of the “initial seeds” </w:t>
      </w:r>
      <w:r w:rsidRPr="00662E51">
        <w:rPr>
          <w:rFonts w:cs="Arial"/>
          <w:szCs w:val="24"/>
        </w:rPr>
        <w:fldChar w:fldCharType="begin"/>
      </w:r>
      <w:r w:rsidR="008835AB" w:rsidRPr="00662E51">
        <w:rPr>
          <w:rFonts w:cs="Arial"/>
          <w:szCs w:val="24"/>
        </w:rPr>
        <w:instrText xml:space="preserve"> ADDIN ZOTERO_ITEM CSL_CITATION {"citationID":"zaKqQtsL","properties":{"formattedCitation":"(Parker et al. 2020)","plainCitation":"(Parker et al. 2020)","noteIndex":0},"citationItems":[{"id":6534,"uris":["http://zotero.org/users/8977980/items/27U9KL7P"],"itemData":{"id":6534,"type":"chapter","container-title":"SAGE Research Methods Foundations","DOI":"10.4135/9781526421036831710","ISBN":"978-1-5264-2103-6","publisher":"SAGE Publications Ltd","publisher-place":"1 Oliver's Yard, 55 City Road, London EC1Y 1SP United Kingdom","source":"DOI.org (Crossref)","title":"Snowball Sampling","URL":"https://methods.sagepub.com/foundations/snowball-sampling","author":[{"family":"Parker","given":"Charlie"},{"family":"Scott","given":"Sam"},{"family":"Geddes","given":"Alistair"}],"accessed":{"date-parts":[["2025",6,10]]},"issued":{"date-parts":[["2020"]]}}}],"schema":"https://github.com/citation-style-language/schema/raw/master/csl-citation.json"} </w:instrText>
      </w:r>
      <w:r w:rsidRPr="00662E51">
        <w:rPr>
          <w:rFonts w:cs="Arial"/>
          <w:szCs w:val="24"/>
        </w:rPr>
        <w:fldChar w:fldCharType="separate"/>
      </w:r>
      <w:r w:rsidR="0095662D" w:rsidRPr="00662E51">
        <w:t>(Parker et al. 2020)</w:t>
      </w:r>
      <w:r w:rsidRPr="00662E51">
        <w:rPr>
          <w:rFonts w:cs="Arial"/>
          <w:szCs w:val="24"/>
        </w:rPr>
        <w:fldChar w:fldCharType="end"/>
      </w:r>
      <w:r w:rsidRPr="00662E51">
        <w:rPr>
          <w:rFonts w:cs="Arial"/>
          <w:szCs w:val="24"/>
        </w:rPr>
        <w:t xml:space="preserve">. Since I started with primarily activists I met volunteering, my sample was constrained within these networks. Councillors I directly contacted were also overwhelmingly from the StopHDV campaign or were already avowedly leftist—and thus more open to criticising the Haringey Council administration. The recognition of this network was itself helpful data: it reinforced the importance of personal relationships to understanding the governance of Haringey. </w:t>
      </w:r>
      <w:r w:rsidR="008A0249" w:rsidRPr="00662E51">
        <w:rPr>
          <w:rFonts w:cs="Arial"/>
          <w:szCs w:val="24"/>
        </w:rPr>
        <w:t>Yet</w:t>
      </w:r>
      <w:r w:rsidRPr="00662E51">
        <w:rPr>
          <w:rFonts w:cs="Arial"/>
          <w:szCs w:val="24"/>
        </w:rPr>
        <w:t xml:space="preserve"> it also meant I needed to expand my research horizons. Using multiple methods as a collage assisted in developing a more wholistic view </w:t>
      </w:r>
      <w:r w:rsidRPr="00662E51">
        <w:rPr>
          <w:rFonts w:cs="Arial"/>
          <w:szCs w:val="24"/>
        </w:rPr>
        <w:fldChar w:fldCharType="begin"/>
      </w:r>
      <w:r w:rsidR="00BC3CCD">
        <w:rPr>
          <w:rFonts w:cs="Arial"/>
          <w:szCs w:val="24"/>
        </w:rPr>
        <w:instrText xml:space="preserve"> ADDIN ZOTERO_ITEM CSL_CITATION {"citationID":"wSnPunMo","properties":{"formattedCitation":"(C. Freeman 2020; Roulston and Choi 2018)","plainCitation":"(C. Freeman 2020; Roulston and Choi 2018)","noteIndex":0},"citationItems":[{"id":6225,"uris":["http://zotero.org/users/8977980/items/3RFVPE2P"],"itemData":{"id":6225,"type":"article-journal","abstract":"Triangulation is increasingly being seen as a concept that has lost clarity and become too broad to be of use. A new language is required to explain how and why researchers bring together multiple perspectives to study phenomena. By drawing on my own research experiences I propose ‘collage’ as a framework for using multiple methods in geography. This framework differs from triangulation in two important ways: firstly, it brings multiple methods together to elucidate a broad research area rather than a precise one, and secondly, it allows for greater spontaneity and the shifting of the frame of research. This paper explains how multiple methods can be used to gather fragments of knowledge on a topic that, when pieced together, can create a more complex understanding of the wider research area. A focus on this process emphasizes the role of the researcher in putting the pieces together.","container-title":"Geografiska Annaler: Series B, Human Geography","DOI":"10.1080/04353684.2020.1807383","ISSN":"0435-3684","issue":"4","note":"_eprint: https://doi.org/10.1080/04353684.2020.1807383","page":"328-340","publisher":"Routledge","source":"Taylor and Francis+NEJM","title":"Multiple methods beyond triangulation: collage as a methodological framework in geography","title-short":"Multiple methods beyond triangulation","volume":"102","author":[{"family":"Freeman","given":"Cordelia"}],"issued":{"date-parts":[["2020",10,1]]}}},{"id":6540,"uris":["http://zotero.org/users/8977980/items/DR7TV78C"],"itemData":{"id":6540,"type":"chapter","container-title":"The SAGE Handbook of Qualitative Data Collection","DOI":"10.4135/9781526416070.n15","ISBN":"978-1-4739-5213-3","page":"233-249","publisher":"SAGE Publications Ltd","publisher-place":"1 Oliver's Yard, 55 City Road London EC1Y 1SP","source":"DOI.org (Crossref)","title":"Qualitative Interviews","URL":"https://sk.sagepub.com/reference/the-sage-handbook-of-qualitative-data-collection/i1709.xml","container-author":[{"family":"Flick","given":"Uwe"}],"author":[{"family":"Roulston","given":"Kathryn"},{"family":"Choi","given":"Myungweon"}],"accessed":{"date-parts":[["2025",6,11]]},"issued":{"date-parts":[["2018"]]}}}],"schema":"https://github.com/citation-style-language/schema/raw/master/csl-citation.json"} </w:instrText>
      </w:r>
      <w:r w:rsidRPr="00662E51">
        <w:rPr>
          <w:rFonts w:cs="Arial"/>
          <w:szCs w:val="24"/>
        </w:rPr>
        <w:fldChar w:fldCharType="separate"/>
      </w:r>
      <w:r w:rsidR="00BC3CCD" w:rsidRPr="00BC3CCD">
        <w:t xml:space="preserve">(C. Freeman 2020; Roulston </w:t>
      </w:r>
      <w:r w:rsidR="00BC3CCD" w:rsidRPr="00BC3CCD">
        <w:lastRenderedPageBreak/>
        <w:t>and Choi 2018)</w:t>
      </w:r>
      <w:r w:rsidRPr="00662E51">
        <w:rPr>
          <w:rFonts w:cs="Arial"/>
          <w:szCs w:val="24"/>
        </w:rPr>
        <w:fldChar w:fldCharType="end"/>
      </w:r>
      <w:r w:rsidRPr="00662E51">
        <w:rPr>
          <w:rFonts w:cs="Arial"/>
          <w:szCs w:val="24"/>
        </w:rPr>
        <w:t xml:space="preserve">. </w:t>
      </w:r>
      <w:r w:rsidR="00793FE0">
        <w:rPr>
          <w:rFonts w:cs="Arial"/>
          <w:szCs w:val="24"/>
        </w:rPr>
        <w:t>Simultaneously, some state actors declined to be interviewed</w:t>
      </w:r>
      <w:r w:rsidR="00B87BF4">
        <w:rPr>
          <w:rFonts w:cs="Arial"/>
          <w:szCs w:val="24"/>
        </w:rPr>
        <w:t xml:space="preserve"> </w:t>
      </w:r>
      <w:r w:rsidR="00B87BF4" w:rsidRPr="00793FE0">
        <w:rPr>
          <w:rFonts w:cs="Arial"/>
          <w:szCs w:val="24"/>
        </w:rPr>
        <w:t>(see Appendix D)</w:t>
      </w:r>
      <w:r w:rsidR="00793FE0">
        <w:rPr>
          <w:rFonts w:cs="Arial"/>
          <w:szCs w:val="24"/>
        </w:rPr>
        <w:t xml:space="preserve">, even with an accompanying introduction from a councillor. </w:t>
      </w:r>
      <w:r w:rsidR="00B87BF4">
        <w:rPr>
          <w:rFonts w:cs="Arial"/>
          <w:szCs w:val="24"/>
        </w:rPr>
        <w:t xml:space="preserve">Their perspectives were thus considered </w:t>
      </w:r>
      <w:r w:rsidR="001D7AAE">
        <w:rPr>
          <w:rFonts w:cs="Arial"/>
          <w:szCs w:val="24"/>
        </w:rPr>
        <w:t>using</w:t>
      </w:r>
      <w:r w:rsidR="00B87BF4">
        <w:rPr>
          <w:rFonts w:cs="Arial"/>
          <w:szCs w:val="24"/>
        </w:rPr>
        <w:t xml:space="preserve"> Document Analysis (Section 4.1.2)</w:t>
      </w:r>
      <w:r w:rsidR="001D7AAE">
        <w:rPr>
          <w:rFonts w:cs="Arial"/>
          <w:szCs w:val="24"/>
        </w:rPr>
        <w:t>.</w:t>
      </w:r>
    </w:p>
    <w:p w14:paraId="7097598E" w14:textId="622EC7EF" w:rsidR="00AA1CC8" w:rsidRDefault="00AA1CC8" w:rsidP="00F56305">
      <w:pPr>
        <w:spacing w:line="360" w:lineRule="auto"/>
        <w:ind w:left="0"/>
        <w:rPr>
          <w:rFonts w:cs="Arial"/>
          <w:szCs w:val="24"/>
        </w:rPr>
      </w:pPr>
      <w:r w:rsidRPr="00662E51">
        <w:rPr>
          <w:rFonts w:cs="Arial"/>
          <w:szCs w:val="24"/>
        </w:rPr>
        <w:tab/>
        <w:t>I found it striking that I was able to interview organisers that were in the archive, something that opened up questions about temporality and the passage of time.</w:t>
      </w:r>
      <w:r w:rsidRPr="00662E51">
        <w:rPr>
          <w:szCs w:val="24"/>
        </w:rPr>
        <w:t xml:space="preserve"> </w:t>
      </w:r>
      <w:r w:rsidRPr="00662E51">
        <w:rPr>
          <w:rFonts w:cs="Arial"/>
          <w:szCs w:val="24"/>
        </w:rPr>
        <w:t>Nearly four decades on, these organisers have become elders in the community—more relaxed and perhaps imperturbable</w:t>
      </w:r>
      <w:r w:rsidR="00BF3380" w:rsidRPr="00662E51">
        <w:rPr>
          <w:rFonts w:cs="Arial"/>
          <w:szCs w:val="24"/>
        </w:rPr>
        <w:t>:</w:t>
      </w:r>
      <w:r w:rsidRPr="00662E51">
        <w:rPr>
          <w:rFonts w:cs="Arial"/>
          <w:szCs w:val="24"/>
        </w:rPr>
        <w:t xml:space="preserve"> </w:t>
      </w:r>
    </w:p>
    <w:p w14:paraId="0B738EC0" w14:textId="77777777" w:rsidR="008A0249" w:rsidRPr="00662E51" w:rsidRDefault="008A0249" w:rsidP="008A0249">
      <w:pPr>
        <w:ind w:left="0"/>
        <w:rPr>
          <w:rFonts w:cs="Arial"/>
          <w:szCs w:val="24"/>
        </w:rPr>
      </w:pPr>
    </w:p>
    <w:p w14:paraId="7953901F" w14:textId="7EE356CA" w:rsidR="00AA1CC8" w:rsidRDefault="00AA1CC8" w:rsidP="008A0249">
      <w:pPr>
        <w:ind w:left="720"/>
        <w:rPr>
          <w:rFonts w:cs="Arial"/>
          <w:szCs w:val="24"/>
        </w:rPr>
      </w:pPr>
      <w:r w:rsidRPr="00662E51">
        <w:rPr>
          <w:rFonts w:cs="Arial"/>
          <w:szCs w:val="24"/>
        </w:rPr>
        <w:t xml:space="preserve">They started out telling me about their current work in the community, their struggles with the local council, and opinions on contemporary national politics. But, as our conversation swerved into discussing the BFYA, they became animated, recalling how the association started as a radical group trying to make their estate better. The affect of the room intensified… The memories of a visit from Princess Diana; the 1985 uprising and its effects, like the subsequent police occupation </w:t>
      </w:r>
      <w:r w:rsidRPr="00662E51">
        <w:rPr>
          <w:rFonts w:cs="Arial"/>
          <w:szCs w:val="24"/>
        </w:rPr>
        <w:fldChar w:fldCharType="begin"/>
      </w:r>
      <w:r w:rsidR="008835AB" w:rsidRPr="00662E51">
        <w:rPr>
          <w:rFonts w:cs="Arial"/>
          <w:szCs w:val="24"/>
        </w:rPr>
        <w:instrText xml:space="preserve"> ADDIN ZOTERO_ITEM CSL_CITATION {"citationID":"UmGb8138","properties":{"formattedCitation":"(Elliott-Cooper 2021)","plainCitation":"(Elliott-Cooper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schema":"https://github.com/citation-style-language/schema/raw/master/csl-citation.json"} </w:instrText>
      </w:r>
      <w:r w:rsidRPr="00662E51">
        <w:rPr>
          <w:rFonts w:cs="Arial"/>
          <w:szCs w:val="24"/>
        </w:rPr>
        <w:fldChar w:fldCharType="separate"/>
      </w:r>
      <w:r w:rsidR="0095662D" w:rsidRPr="00662E51">
        <w:t>(Elliott-Cooper 2021)</w:t>
      </w:r>
      <w:r w:rsidRPr="00662E51">
        <w:rPr>
          <w:rFonts w:cs="Arial"/>
          <w:szCs w:val="24"/>
        </w:rPr>
        <w:fldChar w:fldCharType="end"/>
      </w:r>
      <w:r w:rsidRPr="00662E51">
        <w:rPr>
          <w:rFonts w:cs="Arial"/>
          <w:szCs w:val="24"/>
        </w:rPr>
        <w:t xml:space="preserve"> and regeneration funds; and the BFYA’s auto-regeneration of the estate (Chapter 5) were all not only pieces of data for analysis, but also “assemblages of narration,” affects, materials, and political moves </w:t>
      </w:r>
      <w:r w:rsidRPr="00662E51">
        <w:rPr>
          <w:rFonts w:cs="Arial"/>
          <w:szCs w:val="24"/>
        </w:rPr>
        <w:fldChar w:fldCharType="begin"/>
      </w:r>
      <w:r w:rsidR="008835AB" w:rsidRPr="00662E51">
        <w:rPr>
          <w:rFonts w:cs="Arial"/>
          <w:szCs w:val="24"/>
        </w:rPr>
        <w:instrText xml:space="preserve"> ADDIN ZOTERO_ITEM CSL_CITATION {"citationID":"poHOvUJA","properties":{"formattedCitation":"(Koro-Ljungberg and Hendricks 2020, 1198)","plainCitation":"(Koro-Ljungberg and Hendricks 2020, 1198)","noteIndex":0},"citationItems":[{"id":6231,"uris":["http://zotero.org/users/8977980/items/QRPTDTXA"],"itemData":{"id":6231,"type":"article-journal","abstract":"Narratives are often created within a linear time, which allows them to be organized into a simple and discrete series of events. However, narratives can be created outside of linear time, thereby changing the organization of the narrative. To think about this further, we draw from Henri Bergson’s concept of duration and Gilles Deleuze’s ontology of difference to reconsider time in narratives and question the simple temporal organization of events. In doing so we develop the concept of nested-time as a way of playing with time and narrative and encourage narrative researchers to experiment with time and narrative as well.","container-title":"Qualitative Inquiry","DOI":"10.1177/1077800418792021","ISSN":"1077-8004","issue":"10","language":"en","page":"1196-1205","publisher":"SAGE Publications Inc","source":"SAGE Journals","title":"Narratives and Nested-Time","volume":"26","author":[{"family":"Koro-Ljungberg","given":"Mirka"},{"family":"Hendricks","given":"Justin"}],"issued":{"date-parts":[["2020",12,1]]}},"locator":"1198","label":"page"}],"schema":"https://github.com/citation-style-language/schema/raw/master/csl-citation.json"} </w:instrText>
      </w:r>
      <w:r w:rsidRPr="00662E51">
        <w:rPr>
          <w:rFonts w:cs="Arial"/>
          <w:szCs w:val="24"/>
        </w:rPr>
        <w:fldChar w:fldCharType="separate"/>
      </w:r>
      <w:r w:rsidR="0095662D" w:rsidRPr="00662E51">
        <w:t>(Koro-Ljungberg and Hendricks 2020, 1198)</w:t>
      </w:r>
      <w:r w:rsidRPr="00662E51">
        <w:rPr>
          <w:rFonts w:cs="Arial"/>
          <w:szCs w:val="24"/>
        </w:rPr>
        <w:fldChar w:fldCharType="end"/>
      </w:r>
      <w:r w:rsidRPr="00662E51">
        <w:rPr>
          <w:rFonts w:cs="Arial"/>
          <w:szCs w:val="24"/>
        </w:rPr>
        <w:t>. Returning to the archive complicated this assemblage. For one, the interviews troubled the clean narrative of the archive</w:t>
      </w:r>
      <w:r w:rsidR="00B12418">
        <w:rPr>
          <w:rFonts w:cs="Arial"/>
          <w:szCs w:val="24"/>
        </w:rPr>
        <w:t xml:space="preserve">. </w:t>
      </w:r>
      <w:r w:rsidRPr="00662E51">
        <w:rPr>
          <w:rFonts w:cs="Arial"/>
          <w:szCs w:val="24"/>
        </w:rPr>
        <w:t xml:space="preserve">In historical work, activism is often treated as sequential and linear. The interviews revealed it as contingent and precarious, hinging on the goodwill of those in power—and yet, all the more radical (Chapter 5)… My participants had different ethnic and class backgrounds, played different roles in BFYA, and experience the past of their work differently. I noticed one participant in particular recounted their BFYA engagement with an ease that implied these were “tried and tested stories” that they had been telling and re-telling for decades </w:t>
      </w:r>
      <w:r w:rsidRPr="00662E51">
        <w:rPr>
          <w:rFonts w:cs="Arial"/>
          <w:szCs w:val="24"/>
        </w:rPr>
        <w:fldChar w:fldCharType="begin"/>
      </w:r>
      <w:r w:rsidR="008835AB" w:rsidRPr="00662E51">
        <w:rPr>
          <w:rFonts w:cs="Arial"/>
          <w:szCs w:val="24"/>
        </w:rPr>
        <w:instrText xml:space="preserve"> ADDIN ZOTERO_ITEM CSL_CITATION {"citationID":"WQOj3g05","properties":{"formattedCitation":"(Bornat and Bytheway 2012, 297)","plainCitation":"(Bornat and Bytheway 2012, 297)","noteIndex":0},"citationItems":[{"id":6223,"uris":["http://zotero.org/users/8977980/items/JXAEL3R4"],"itemData":{"id":6223,"type":"article-journal","abstract":"This paper explores the contrasts and complementarities of two different sets of archived data, life history interviews and diaries. Both are well-tried methods of data collection in the social sciences, but little attention has been given to ways of using them in combination. We begin with an outline of how we went about collecting data for archiving: recruiting 12 families, interviewing people aged 75 and over, and collecting diaries from other family members. We go onto present examples of the data from one particular family. We then compare what the interviews and diaries, analysed in combination, contributed to our understanding of time, concluding with comments on the relevance of different temporalities to current debates on family and intergenerational relationships. The archived data offer researchers interested in qualitative longitudinal investigations a complex and many-faceted understanding of temporality.","container-title":"International Journal of Social Research Methodology","DOI":"10.1080/13645579.2012.688312","ISSN":"1364-5579","issue":"4","note":"_eprint: https://doi.org/10.1080/13645579.2012.688312","page":"291-299","publisher":"Routledge","source":"Taylor and Francis+NEJM","title":"Working with different temporalities: archived life history interviews and diaries","title-short":"Working with different temporalities","volume":"15","author":[{"family":"Bornat","given":"Joanna"},{"family":"Bytheway","given":"Bill"}],"issued":{"date-parts":[["2012",7,1]]}},"locator":"297"}],"schema":"https://github.com/citation-style-language/schema/raw/master/csl-citation.json"} </w:instrText>
      </w:r>
      <w:r w:rsidRPr="00662E51">
        <w:rPr>
          <w:rFonts w:cs="Arial"/>
          <w:szCs w:val="24"/>
        </w:rPr>
        <w:fldChar w:fldCharType="separate"/>
      </w:r>
      <w:r w:rsidR="0095662D" w:rsidRPr="00662E51">
        <w:t>(Bornat and Bytheway 2012, 297)</w:t>
      </w:r>
      <w:r w:rsidRPr="00662E51">
        <w:rPr>
          <w:rFonts w:cs="Arial"/>
          <w:szCs w:val="24"/>
        </w:rPr>
        <w:fldChar w:fldCharType="end"/>
      </w:r>
      <w:r w:rsidRPr="00662E51">
        <w:rPr>
          <w:rFonts w:cs="Arial"/>
          <w:szCs w:val="24"/>
        </w:rPr>
        <w:t>. Though subtle details likely differed across each iteration, such retellings were important rhythms in this participant’s life</w:t>
      </w:r>
      <w:r w:rsidR="002348F1" w:rsidRPr="00662E51">
        <w:rPr>
          <w:rFonts w:cs="Arial"/>
          <w:szCs w:val="24"/>
        </w:rPr>
        <w:t>.</w:t>
      </w:r>
      <w:r w:rsidRPr="00662E51">
        <w:rPr>
          <w:rFonts w:cs="Arial"/>
          <w:szCs w:val="24"/>
        </w:rPr>
        <w:t xml:space="preserve"> </w:t>
      </w:r>
      <w:r w:rsidRPr="00662E51">
        <w:rPr>
          <w:rFonts w:cs="Arial"/>
          <w:szCs w:val="24"/>
        </w:rPr>
        <w:fldChar w:fldCharType="begin"/>
      </w:r>
      <w:r w:rsidR="00A10C26">
        <w:rPr>
          <w:rFonts w:cs="Arial"/>
          <w:szCs w:val="24"/>
        </w:rPr>
        <w:instrText xml:space="preserve"> ADDIN ZOTERO_ITEM CSL_CITATION {"citationID":"1ZAQiaBY","properties":{"formattedCitation":"(Sindhwani 2025c, 21)","plainCitation":"(Sindhwani 2025c, 21)","noteIndex":0},"citationItems":[{"id":6603,"uris":["http://zotero.org/users/8977980/items/HQJ2M53X"],"itemData":{"id":6603,"type":"manuscript","genre":"Manuscript under review","title":"Time in the Collage of Field and Work","author":[{"family":"Sindhwani","given":"Anil"}],"issued":{"date-parts":[["2025"]]}},"locator":"21","label":"page"}],"schema":"https://github.com/citation-style-language/schema/raw/master/csl-citation.json"} </w:instrText>
      </w:r>
      <w:r w:rsidRPr="00662E51">
        <w:rPr>
          <w:rFonts w:cs="Arial"/>
          <w:szCs w:val="24"/>
        </w:rPr>
        <w:fldChar w:fldCharType="separate"/>
      </w:r>
      <w:r w:rsidR="00A10C26" w:rsidRPr="00A10C26">
        <w:t>(Sindhwani 2025c, 21)</w:t>
      </w:r>
      <w:r w:rsidRPr="00662E51">
        <w:rPr>
          <w:rFonts w:cs="Arial"/>
          <w:szCs w:val="24"/>
        </w:rPr>
        <w:fldChar w:fldCharType="end"/>
      </w:r>
    </w:p>
    <w:p w14:paraId="60EF12C4" w14:textId="77777777" w:rsidR="008A0249" w:rsidRPr="00662E51" w:rsidRDefault="008A0249" w:rsidP="008A0249">
      <w:pPr>
        <w:ind w:left="720"/>
        <w:rPr>
          <w:rFonts w:cs="Arial"/>
          <w:szCs w:val="24"/>
        </w:rPr>
      </w:pPr>
    </w:p>
    <w:p w14:paraId="47A84A7F" w14:textId="6F6E3B1D" w:rsidR="000F3E6B" w:rsidRPr="00662E51" w:rsidRDefault="00AA1CC8" w:rsidP="00F56305">
      <w:pPr>
        <w:spacing w:line="360" w:lineRule="auto"/>
        <w:ind w:left="0"/>
        <w:rPr>
          <w:rFonts w:cs="Arial"/>
          <w:szCs w:val="24"/>
        </w:rPr>
      </w:pPr>
      <w:r w:rsidRPr="00662E51">
        <w:rPr>
          <w:rFonts w:cs="Arial"/>
          <w:szCs w:val="24"/>
        </w:rPr>
        <w:t xml:space="preserve">The formal interview process has ended but I have tried to maintain contact with my interviewees—both out of a logistical and ethical commitment. Recognising that this method “only scratch[es] the surface of an interviewee's life,” my analysis (as discussed below) makes use of multiple methods and this longer term contact to represent the complexities of activism in Haringey </w:t>
      </w:r>
      <w:r w:rsidRPr="00662E51">
        <w:rPr>
          <w:rFonts w:cs="Arial"/>
          <w:szCs w:val="24"/>
        </w:rPr>
        <w:fldChar w:fldCharType="begin"/>
      </w:r>
      <w:r w:rsidR="008835AB" w:rsidRPr="00662E51">
        <w:rPr>
          <w:rFonts w:cs="Arial"/>
          <w:szCs w:val="24"/>
        </w:rPr>
        <w:instrText xml:space="preserve"> ADDIN ZOTERO_ITEM CSL_CITATION {"citationID":"SUo5ZXnQ","properties":{"formattedCitation":"(Crang and Cook 2007, 73)","plainCitation":"(Crang and Cook 2007, 73)","noteIndex":0},"citationItems":[{"id":4039,"uris":["http://zotero.org/users/8977980/items/FA68N5RM"],"itemData":{"id":4039,"type":"book","abstract":"&lt;p&gt;Doing Ethnographies is an introductory and applied guide to ethnographic methods. It focuses on those methods - participant observation, interviewing, focus","DOI":"10.4135/9781849208949","ISBN":"978-1-84920-894-9","language":"en","publisher":"SAGE Publications Ltd","source":"methods.sagepub.com","title":"Doing Ethnographies","URL":"https://methods.sagepub.com/book/doing-ethnographies","author":[{"family":"Crang","given":"Mike"},{"family":"Cook","given":"Ian"}],"accessed":{"date-parts":[["2023",3,17]]},"issued":{"date-parts":[["2007"]]}},"locator":"73"}],"schema":"https://github.com/citation-style-language/schema/raw/master/csl-citation.json"} </w:instrText>
      </w:r>
      <w:r w:rsidRPr="00662E51">
        <w:rPr>
          <w:rFonts w:cs="Arial"/>
          <w:szCs w:val="24"/>
        </w:rPr>
        <w:fldChar w:fldCharType="separate"/>
      </w:r>
      <w:r w:rsidR="0095662D" w:rsidRPr="00662E51">
        <w:t>(Crang and Cook 2007, 73)</w:t>
      </w:r>
      <w:r w:rsidRPr="00662E51">
        <w:rPr>
          <w:rFonts w:cs="Arial"/>
          <w:szCs w:val="24"/>
        </w:rPr>
        <w:fldChar w:fldCharType="end"/>
      </w:r>
      <w:r w:rsidRPr="00662E51">
        <w:rPr>
          <w:rFonts w:cs="Arial"/>
          <w:szCs w:val="24"/>
        </w:rPr>
        <w:t xml:space="preserve">.  </w:t>
      </w:r>
    </w:p>
    <w:p w14:paraId="1E3ECD6B" w14:textId="77777777" w:rsidR="000F3E6B" w:rsidRPr="00662E51" w:rsidRDefault="000F3E6B" w:rsidP="00F56305">
      <w:pPr>
        <w:spacing w:line="360" w:lineRule="auto"/>
        <w:ind w:left="0"/>
        <w:rPr>
          <w:rFonts w:cs="Arial"/>
          <w:szCs w:val="24"/>
        </w:rPr>
      </w:pPr>
      <w:r w:rsidRPr="00662E51">
        <w:rPr>
          <w:rFonts w:cs="Arial"/>
          <w:szCs w:val="24"/>
        </w:rPr>
        <w:tab/>
        <w:t xml:space="preserve"> </w:t>
      </w:r>
    </w:p>
    <w:p w14:paraId="6A5B4F32" w14:textId="1DE9478C" w:rsidR="000F3E6B" w:rsidRPr="00662E51" w:rsidRDefault="000F3E6B" w:rsidP="00F56305">
      <w:pPr>
        <w:pStyle w:val="Heading3"/>
      </w:pPr>
      <w:bookmarkStart w:id="246" w:name="_Toc208328787"/>
      <w:bookmarkStart w:id="247" w:name="_Toc213173946"/>
      <w:bookmarkStart w:id="248" w:name="_Toc221184335"/>
      <w:bookmarkStart w:id="249" w:name="_Toc231215253"/>
      <w:r w:rsidRPr="00662E51">
        <w:lastRenderedPageBreak/>
        <w:t>City Walking and Walking Methods</w:t>
      </w:r>
      <w:bookmarkEnd w:id="246"/>
      <w:bookmarkEnd w:id="247"/>
      <w:bookmarkEnd w:id="248"/>
      <w:r w:rsidR="00BC44B5">
        <w:t>:</w:t>
      </w:r>
      <w:bookmarkEnd w:id="249"/>
    </w:p>
    <w:p w14:paraId="63BE7DD6" w14:textId="3419E235" w:rsidR="00756CE9" w:rsidRPr="00662E51" w:rsidRDefault="00756CE9" w:rsidP="00F56305">
      <w:pPr>
        <w:spacing w:line="360" w:lineRule="auto"/>
        <w:ind w:left="0" w:firstLine="720"/>
        <w:rPr>
          <w:rFonts w:cs="Arial"/>
          <w:szCs w:val="24"/>
        </w:rPr>
      </w:pPr>
      <w:r w:rsidRPr="00662E51">
        <w:rPr>
          <w:rFonts w:cs="Arial"/>
          <w:szCs w:val="24"/>
        </w:rPr>
        <w:t xml:space="preserve">I selected walking methods for a handful of reasons. It allows scholars “to develop local literacy, an embodied understanding of the scales and rhythms of an urban context that frame the data we collect” </w:t>
      </w:r>
      <w:r w:rsidRPr="00662E51">
        <w:rPr>
          <w:rFonts w:cs="Arial"/>
          <w:szCs w:val="24"/>
        </w:rPr>
        <w:fldChar w:fldCharType="begin"/>
      </w:r>
      <w:r w:rsidR="008835AB" w:rsidRPr="00662E51">
        <w:rPr>
          <w:rFonts w:cs="Arial"/>
          <w:szCs w:val="24"/>
        </w:rPr>
        <w:instrText xml:space="preserve"> ADDIN ZOTERO_ITEM CSL_CITATION {"citationID":"5IAQLCaE","properties":{"formattedCitation":"(Pierce and Lawhon 2015, 656)","plainCitation":"(Pierce and Lawhon 2015, 656)","noteIndex":0},"citationItems":[{"id":6558,"uris":["http://zotero.org/users/8977980/items/QB37DFTG"],"itemData":{"id":6558,"type":"article-journal","abstract":"Qualitative urban geographical research should explicitly acknowledge insights gained from walking (the iterative exploration and observation of cities on foot), which enhances local literacy and enables researchers to compare methods more explicitly. Some urban geographers might use walking as a method, but it is rarely reported in published scholarship. This article argues for the explicit inclusion of walking in methodological reporting for urban research. We suggest that reporting the walking that researchers do adds rigor to research findings and should be distinguished from research where this practice is absent, we report on international experiences using walking in combination with other methods, and we conclude with a proposal for comparable urban geographic walking practices.","container-title":"The Professional Geographer","DOI":"10.1080/00330124.2015.1059401","ISSN":"0033-0124","issue":"4","note":"_eprint: https://doi.org/10.1080/00330124.2015.1059401","page":"655-662","publisher":"Routledge","source":"Taylor and Francis+NEJM","title":"Walking as Method: Toward Methodological Forthrightness and Comparability in Urban Geographical Research","title-short":"Walking as Method","volume":"67","author":[{"family":"Pierce","given":"Joseph"},{"family":"Lawhon","given":"Mary"}],"issued":{"date-parts":[["2015",10,2]]}},"locator":"656"}],"schema":"https://github.com/citation-style-language/schema/raw/master/csl-citation.json"} </w:instrText>
      </w:r>
      <w:r w:rsidRPr="00662E51">
        <w:rPr>
          <w:rFonts w:cs="Arial"/>
          <w:szCs w:val="24"/>
        </w:rPr>
        <w:fldChar w:fldCharType="separate"/>
      </w:r>
      <w:r w:rsidR="0095662D" w:rsidRPr="00662E51">
        <w:t>(Pierce and Lawhon 2015, 656)</w:t>
      </w:r>
      <w:r w:rsidRPr="00662E51">
        <w:rPr>
          <w:rFonts w:cs="Arial"/>
          <w:szCs w:val="24"/>
        </w:rPr>
        <w:fldChar w:fldCharType="end"/>
      </w:r>
      <w:r w:rsidRPr="00662E51">
        <w:rPr>
          <w:rFonts w:cs="Arial"/>
          <w:szCs w:val="24"/>
        </w:rPr>
        <w:t>. Specifically, recognising that urban transformation and activism cannot be understood abstractly, I used walking methods to immerse myself in the social and infrastructural world of Haringey.</w:t>
      </w:r>
      <w:r w:rsidR="0063774D" w:rsidRPr="00662E51">
        <w:rPr>
          <w:rFonts w:cs="Arial"/>
          <w:szCs w:val="24"/>
        </w:rPr>
        <w:t xml:space="preserve"> </w:t>
      </w:r>
      <w:r w:rsidR="008D6383" w:rsidRPr="00662E51">
        <w:rPr>
          <w:rFonts w:cs="Arial"/>
          <w:szCs w:val="24"/>
        </w:rPr>
        <w:t xml:space="preserve">Walking methods were not only used to gain deep familiarity with the study area, but also </w:t>
      </w:r>
      <w:r w:rsidR="00680735" w:rsidRPr="00662E51">
        <w:rPr>
          <w:rFonts w:cs="Arial"/>
          <w:szCs w:val="24"/>
        </w:rPr>
        <w:t xml:space="preserve">to </w:t>
      </w:r>
      <w:r w:rsidR="00221A16" w:rsidRPr="00662E51">
        <w:rPr>
          <w:rFonts w:cs="Arial"/>
          <w:szCs w:val="24"/>
        </w:rPr>
        <w:t>build an understanding of ongoing impacts of urban regeneration in Tottenham</w:t>
      </w:r>
      <w:r w:rsidR="00871B85">
        <w:rPr>
          <w:rFonts w:cs="Arial"/>
          <w:szCs w:val="24"/>
        </w:rPr>
        <w:t xml:space="preserve"> (targeting Aim 2). </w:t>
      </w:r>
      <w:r w:rsidRPr="00662E51">
        <w:rPr>
          <w:rFonts w:cs="Arial"/>
          <w:szCs w:val="24"/>
        </w:rPr>
        <w:t xml:space="preserve">As Youatt </w:t>
      </w:r>
      <w:r w:rsidRPr="00662E51">
        <w:rPr>
          <w:rFonts w:cs="Arial"/>
          <w:szCs w:val="24"/>
        </w:rPr>
        <w:fldChar w:fldCharType="begin"/>
      </w:r>
      <w:r w:rsidRPr="00662E51">
        <w:rPr>
          <w:rFonts w:cs="Arial"/>
          <w:szCs w:val="24"/>
        </w:rPr>
        <w:instrText xml:space="preserve"> ADDIN ZOTERO_ITEM CSL_CITATION {"citationID":"Sj1CPoSs","properties":{"formattedCitation":"(2022)","plainCitation":"(2022)","noteIndex":0},"citationItems":[{"id":6554,"uris":["http://zotero.org/users/8977980/items/ZDQ2DK4L"],"itemData":{"id":6554,"type":"article-journal","abstract":"Walking is a nearly universal activity, even given the many contrivances invented to avoid it, yet it is widely absent from the sedentarist disciplines of politics and international relations. This absence is perhaps not surprising, given that so much political thought and practice are deeply tethered to the inventions of the boot and the chair that remove walking from our view, as Tim Ingold has observed. Yet, given the significance of events such as forced death marches as parts of war and genocide; formative collective walks such as Gandhi's march to the sea, the Long March in China, or the Selma to Montgomery marches; or the everyday politics of walking in global cities, such absence might be mistaken. This article suggests instead that walking be understood as integral to the operation of internationality. In particular, it argues that walking is part of a mobile field of power and agency that generates, stabilizes, and unsettles internationality in equal parts. The article diagrams some key conceptual nodes of walking and political power, and then traces their operation in the case of the Long Walk of the Navajo.","container-title":"International Political Sociology","DOI":"10.1093/ips/olac018","ISSN":"1749-5679","issue":"4","journalAbbreviation":"International Political Sociology","page":"olac018","source":"Silverchair","title":"Walking the International","volume":"16","author":[{"family":"Youatt","given":"Rafi"}],"issued":{"date-parts":[["2022",12,1]]}},"label":"page","suppress-author":true}],"schema":"https://github.com/citation-style-language/schema/raw/master/csl-citation.json"} </w:instrText>
      </w:r>
      <w:r w:rsidRPr="00662E51">
        <w:rPr>
          <w:rFonts w:cs="Arial"/>
          <w:szCs w:val="24"/>
        </w:rPr>
        <w:fldChar w:fldCharType="separate"/>
      </w:r>
      <w:r w:rsidR="0095662D" w:rsidRPr="00662E51">
        <w:t>(2022)</w:t>
      </w:r>
      <w:r w:rsidRPr="00662E51">
        <w:rPr>
          <w:rFonts w:cs="Arial"/>
          <w:szCs w:val="24"/>
        </w:rPr>
        <w:fldChar w:fldCharType="end"/>
      </w:r>
      <w:r w:rsidRPr="00662E51">
        <w:rPr>
          <w:rFonts w:cs="Arial"/>
          <w:szCs w:val="24"/>
        </w:rPr>
        <w:t xml:space="preserve"> notes, walking is inherently tied up with questions of power, agency, law, and corporeality. Who can walk where—and indeed, who </w:t>
      </w:r>
      <w:r w:rsidRPr="009950EA">
        <w:rPr>
          <w:rFonts w:cs="Arial"/>
          <w:i/>
          <w:iCs/>
          <w:szCs w:val="24"/>
        </w:rPr>
        <w:t>must</w:t>
      </w:r>
      <w:r w:rsidRPr="00662E51">
        <w:rPr>
          <w:rFonts w:cs="Arial"/>
          <w:szCs w:val="24"/>
        </w:rPr>
        <w:t xml:space="preserve"> walk—is deeply political: it troubles borders, power structures, and even the nation state itself. Recognising the importance of moving through an urban area to urban regeneration, authoritarian neoliberalism, and politics, I took over 40 pages of single-spaced field notes and captured over 170 pictures as I walked through my study sites. In this section, I discuss city walking and walking methods that were one part of my multi-method approach.</w:t>
      </w:r>
    </w:p>
    <w:p w14:paraId="1DEE76FA" w14:textId="2CD761D2" w:rsidR="00756CE9" w:rsidRPr="00662E51" w:rsidRDefault="00756CE9" w:rsidP="00F56305">
      <w:pPr>
        <w:spacing w:line="360" w:lineRule="auto"/>
        <w:ind w:left="0" w:firstLine="720"/>
        <w:rPr>
          <w:rFonts w:cs="Arial"/>
          <w:szCs w:val="24"/>
        </w:rPr>
      </w:pPr>
      <w:r w:rsidRPr="00662E51">
        <w:rPr>
          <w:rFonts w:cs="Arial"/>
          <w:szCs w:val="24"/>
        </w:rPr>
        <w:t xml:space="preserve">What I call ‘city walking’ is based on Houston’s </w:t>
      </w:r>
      <w:r w:rsidRPr="00662E51">
        <w:rPr>
          <w:rFonts w:cs="Arial"/>
          <w:szCs w:val="24"/>
        </w:rPr>
        <w:fldChar w:fldCharType="begin"/>
      </w:r>
      <w:r w:rsidR="008835AB" w:rsidRPr="00662E51">
        <w:rPr>
          <w:rFonts w:cs="Arial"/>
          <w:szCs w:val="24"/>
        </w:rPr>
        <w:instrText xml:space="preserve"> ADDIN ZOTERO_ITEM CSL_CITATION {"citationID":"Ab3X1xav","properties":{"formattedCitation":"(2011)","plainCitation":"(2011)","noteIndex":0},"citationItems":[{"id":2422,"uris":["http://zotero.org/users/8977980/items/ESMH9VFV"],"itemData":{"id":2422,"type":"thesis","abstract":"This ethnography of the city analyzes institutional narratives of creativity, sustainability, and social justice in Seattle, Washington. Through an in-depth examination of the iterative processes of naming and enacting place, I argue that institutional narratives of place in Seattle at once accentuate the politically progressive ideals of city government and disguise exclusions in the city. In other words, Seattle city government strives to actualize progressive objectives through narratives of place. Yet, the process of performing place along such themes also reproduces and extends racialized and classed inequities.\n\nI advance this argument through a sustained engagement with narratives of creativity, sustainability, and social justice circulating within Seattle municipal government and implemented throughout the urban landscape. Specifically, I contend that designing economic development plans based on the creative class template put forth by Richard Florida (2002a) commodifies diversity, compels gentrification, and overlooks place particularities. I then examine how presumptions of choice underpin sustainability efforts in Seattle and, therefore, diminish the extent of programmatic impact and secure sustainability within class, and often racialized, privilege. I draw upon scale to reveal that while the Race and Social Justice Initiative catalyzes transformation at the individual and micro-scales, this very transformation contributes to widespread consent for the overarching power structure of city government at the broader scale, thus enabling neoliberal entrepreneurialism to continue shaping the city. Throughout this ethnography, I resist the temptation to reify the city and instead delve into the contradictions, paradoxes, and tangled threads of three narratives of place. My analysis, therefore, emphasizes the performative and constitutive processes of the city.\n\nMoving beyond idealized portrayals of place requires involvement with more than just the ‘official’ story. Thus, I mobilize a research design—comprised of participant observation, semi-structured interviews, and archival research—that enables me to identify and understand the confluence of processes that coalesce into institutional narratives of place and to analyze the ramifications of these narratives. Ethnographic research conducted in 2009 in Seattle city government, King County government, local organizations and not-for-profits, and neighborhood contexts provides the foundation and impetus for this research.\n\nEthnography offers a useful way to both gather data and consider varied aspects of institutional narratives of place. For instance, institutional narratives convey knowledge and assumptions of place. They also help produce knowledge and assumptions about place. Ethnography provides an avenue for directly encountering this relationship of producing and being produced, for sorting through contradictions, and for complicating quick appraisals of place. Accordingly, the heterogeneity of the city persistently comes to the fore.\n\nHighlighting institutional narratives of sustainability, creativity, and social justice through ethnography represents a novel way of prying open and unpacking the urban within and beyond Seattle. The questions I raise about the messiness of governance, inclusion and exclusion, and the meaning and performing of the city matter in Seattle and pertain to other urban settings. Locating this ethnography within a city that enjoys esteem in the geographic imagination as a forerunner of progressive social change sheds light on the particularities of Seattle. This ethnography of the city also elucidates more generally the many challenges bound up with efforts to revitalize neighborhoods, achieve environmental, social, and economic sustainability, and create inclusive and socially just urban spaces.","genre":"Ph.D. Dissertation","language":"en","number-of-pages":"256","publisher":"Syracuse University","publisher-place":"Syracuse, NY","source":"Zotero","title":"Ethnography of the City: Creativity, Sustainability, and Social Justice in Seattle, Washington","URL":"https://surface.syr.edu/cgi/viewcontent.cgi?referer=&amp;httpsredir=1&amp;article=1069&amp;context=geo_etd","author":[{"family":"Houston","given":"Serin Day"}],"issued":{"date-parts":[["2011"]]}},"label":"page","suppress-author":true}],"schema":"https://github.com/citation-style-language/schema/raw/master/csl-citation.json"} </w:instrText>
      </w:r>
      <w:r w:rsidRPr="00662E51">
        <w:rPr>
          <w:rFonts w:cs="Arial"/>
          <w:szCs w:val="24"/>
        </w:rPr>
        <w:fldChar w:fldCharType="separate"/>
      </w:r>
      <w:r w:rsidR="0095662D" w:rsidRPr="00662E51">
        <w:t>(2011)</w:t>
      </w:r>
      <w:r w:rsidRPr="00662E51">
        <w:rPr>
          <w:rFonts w:cs="Arial"/>
          <w:szCs w:val="24"/>
        </w:rPr>
        <w:fldChar w:fldCharType="end"/>
      </w:r>
      <w:r w:rsidRPr="00662E51">
        <w:rPr>
          <w:rFonts w:cs="Arial"/>
          <w:szCs w:val="24"/>
        </w:rPr>
        <w:t xml:space="preserve"> “Ethnography of the City.” As part of her participant observation, Houston </w:t>
      </w:r>
      <w:r w:rsidRPr="00662E51">
        <w:rPr>
          <w:rFonts w:cs="Arial"/>
          <w:szCs w:val="24"/>
        </w:rPr>
        <w:fldChar w:fldCharType="begin"/>
      </w:r>
      <w:r w:rsidR="008835AB" w:rsidRPr="00662E51">
        <w:rPr>
          <w:rFonts w:cs="Arial"/>
          <w:szCs w:val="24"/>
        </w:rPr>
        <w:instrText xml:space="preserve"> ADDIN ZOTERO_ITEM CSL_CITATION {"citationID":"Pet8lKdu","properties":{"formattedCitation":"(2011, 37)","plainCitation":"(2011, 37)","noteIndex":0},"citationItems":[{"id":2422,"uris":["http://zotero.org/users/8977980/items/ESMH9VFV"],"itemData":{"id":2422,"type":"thesis","abstract":"This ethnography of the city analyzes institutional narratives of creativity, sustainability, and social justice in Seattle, Washington. Through an in-depth examination of the iterative processes of naming and enacting place, I argue that institutional narratives of place in Seattle at once accentuate the politically progressive ideals of city government and disguise exclusions in the city. In other words, Seattle city government strives to actualize progressive objectives through narratives of place. Yet, the process of performing place along such themes also reproduces and extends racialized and classed inequities.\n\nI advance this argument through a sustained engagement with narratives of creativity, sustainability, and social justice circulating within Seattle municipal government and implemented throughout the urban landscape. Specifically, I contend that designing economic development plans based on the creative class template put forth by Richard Florida (2002a) commodifies diversity, compels gentrification, and overlooks place particularities. I then examine how presumptions of choice underpin sustainability efforts in Seattle and, therefore, diminish the extent of programmatic impact and secure sustainability within class, and often racialized, privilege. I draw upon scale to reveal that while the Race and Social Justice Initiative catalyzes transformation at the individual and micro-scales, this very transformation contributes to widespread consent for the overarching power structure of city government at the broader scale, thus enabling neoliberal entrepreneurialism to continue shaping the city. Throughout this ethnography, I resist the temptation to reify the city and instead delve into the contradictions, paradoxes, and tangled threads of three narratives of place. My analysis, therefore, emphasizes the performative and constitutive processes of the city.\n\nMoving beyond idealized portrayals of place requires involvement with more than just the ‘official’ story. Thus, I mobilize a research design—comprised of participant observation, semi-structured interviews, and archival research—that enables me to identify and understand the confluence of processes that coalesce into institutional narratives of place and to analyze the ramifications of these narratives. Ethnographic research conducted in 2009 in Seattle city government, King County government, local organizations and not-for-profits, and neighborhood contexts provides the foundation and impetus for this research.\n\nEthnography offers a useful way to both gather data and consider varied aspects of institutional narratives of place. For instance, institutional narratives convey knowledge and assumptions of place. They also help produce knowledge and assumptions about place. Ethnography provides an avenue for directly encountering this relationship of producing and being produced, for sorting through contradictions, and for complicating quick appraisals of place. Accordingly, the heterogeneity of the city persistently comes to the fore.\n\nHighlighting institutional narratives of sustainability, creativity, and social justice through ethnography represents a novel way of prying open and unpacking the urban within and beyond Seattle. The questions I raise about the messiness of governance, inclusion and exclusion, and the meaning and performing of the city matter in Seattle and pertain to other urban settings. Locating this ethnography within a city that enjoys esteem in the geographic imagination as a forerunner of progressive social change sheds light on the particularities of Seattle. This ethnography of the city also elucidates more generally the many challenges bound up with efforts to revitalize neighborhoods, achieve environmental, social, and economic sustainability, and create inclusive and socially just urban spaces.","genre":"Ph.D. Dissertation","language":"en","number-of-pages":"256","publisher":"Syracuse University","publisher-place":"Syracuse, NY","source":"Zotero","title":"Ethnography of the City: Creativity, Sustainability, and Social Justice in Seattle, Washington","URL":"https://surface.syr.edu/cgi/viewcontent.cgi?referer=&amp;httpsredir=1&amp;article=1069&amp;context=geo_etd","author":[{"family":"Houston","given":"Serin Day"}],"issued":{"date-parts":[["2011"]]}},"locator":"37","label":"page","suppress-author":true}],"schema":"https://github.com/citation-style-language/schema/raw/master/csl-citation.json"} </w:instrText>
      </w:r>
      <w:r w:rsidRPr="00662E51">
        <w:rPr>
          <w:rFonts w:cs="Arial"/>
          <w:szCs w:val="24"/>
        </w:rPr>
        <w:fldChar w:fldCharType="separate"/>
      </w:r>
      <w:r w:rsidR="0095662D" w:rsidRPr="00662E51">
        <w:t>(2011, 37)</w:t>
      </w:r>
      <w:r w:rsidRPr="00662E51">
        <w:rPr>
          <w:rFonts w:cs="Arial"/>
          <w:szCs w:val="24"/>
        </w:rPr>
        <w:fldChar w:fldCharType="end"/>
      </w:r>
      <w:r w:rsidRPr="00662E51">
        <w:rPr>
          <w:rFonts w:cs="Arial"/>
          <w:szCs w:val="24"/>
        </w:rPr>
        <w:t xml:space="preserve"> describes a process of “wander[ing] streets and soak</w:t>
      </w:r>
      <w:r w:rsidR="0034039F">
        <w:rPr>
          <w:rFonts w:cs="Arial"/>
          <w:szCs w:val="24"/>
        </w:rPr>
        <w:t xml:space="preserve">[ing] </w:t>
      </w:r>
      <w:r w:rsidRPr="00662E51">
        <w:rPr>
          <w:rFonts w:cs="Arial"/>
          <w:szCs w:val="24"/>
        </w:rPr>
        <w:t xml:space="preserve">in local neighborhood landscapes” to fully absorb the researcher in the “daily flows of life” in a new city. This form of inquiry is related to, but is ultimately different from, participant observation—which seeks to plunge a researcher into a new community. Data is then later analysed after a period of immersion has completed </w:t>
      </w:r>
      <w:r w:rsidRPr="00662E51">
        <w:rPr>
          <w:rFonts w:cs="Arial"/>
          <w:szCs w:val="24"/>
        </w:rPr>
        <w:fldChar w:fldCharType="begin"/>
      </w:r>
      <w:r w:rsidR="008835AB" w:rsidRPr="00662E51">
        <w:rPr>
          <w:rFonts w:cs="Arial"/>
          <w:szCs w:val="24"/>
        </w:rPr>
        <w:instrText xml:space="preserve"> ADDIN ZOTERO_ITEM CSL_CITATION {"citationID":"h9gK3ril","properties":{"formattedCitation":"(Crang and Cook 2007)","plainCitation":"(Crang and Cook 2007)","noteIndex":0},"citationItems":[{"id":4039,"uris":["http://zotero.org/users/8977980/items/FA68N5RM"],"itemData":{"id":4039,"type":"book","abstract":"&lt;p&gt;Doing Ethnographies is an introductory and applied guide to ethnographic methods. It focuses on those methods - participant observation, interviewing, focus","DOI":"10.4135/9781849208949","ISBN":"978-1-84920-894-9","language":"en","publisher":"SAGE Publications Ltd","source":"methods.sagepub.com","title":"Doing Ethnographies","URL":"https://methods.sagepub.com/book/doing-ethnographies","author":[{"family":"Crang","given":"Mike"},{"family":"Cook","given":"Ian"}],"accessed":{"date-parts":[["2023",3,17]]},"issued":{"date-parts":[["2007"]]}}}],"schema":"https://github.com/citation-style-language/schema/raw/master/csl-citation.json"} </w:instrText>
      </w:r>
      <w:r w:rsidRPr="00662E51">
        <w:rPr>
          <w:rFonts w:cs="Arial"/>
          <w:szCs w:val="24"/>
        </w:rPr>
        <w:fldChar w:fldCharType="separate"/>
      </w:r>
      <w:r w:rsidR="0095662D" w:rsidRPr="00662E51">
        <w:t>(Crang and Cook 2007)</w:t>
      </w:r>
      <w:r w:rsidRPr="00662E51">
        <w:rPr>
          <w:rFonts w:cs="Arial"/>
          <w:szCs w:val="24"/>
        </w:rPr>
        <w:fldChar w:fldCharType="end"/>
      </w:r>
      <w:r w:rsidRPr="00662E51">
        <w:rPr>
          <w:rFonts w:cs="Arial"/>
          <w:szCs w:val="24"/>
        </w:rPr>
        <w:t>. Instead, city walking is more akin to a mix between participant observation and the types of walking methods explored by</w:t>
      </w:r>
      <w:r w:rsidRPr="00662E51">
        <w:rPr>
          <w:rFonts w:cs="Arial"/>
          <w:kern w:val="0"/>
          <w:szCs w:val="24"/>
        </w:rPr>
        <w:t xml:space="preserve"> Mason et al</w:t>
      </w:r>
      <w:r w:rsidRPr="00662E51">
        <w:rPr>
          <w:rFonts w:cs="Arial"/>
          <w:szCs w:val="24"/>
        </w:rPr>
        <w:t xml:space="preserve"> </w:t>
      </w:r>
      <w:r w:rsidRPr="00662E51">
        <w:rPr>
          <w:rFonts w:cs="Arial"/>
          <w:szCs w:val="24"/>
        </w:rPr>
        <w:fldChar w:fldCharType="begin"/>
      </w:r>
      <w:r w:rsidRPr="00662E51">
        <w:rPr>
          <w:rFonts w:cs="Arial"/>
          <w:szCs w:val="24"/>
        </w:rPr>
        <w:instrText xml:space="preserve"> ADDIN ZOTERO_ITEM CSL_CITATION {"citationID":"h0KvYVIy","properties":{"formattedCitation":"(2023)","plainCitation":"(2023)","noteIndex":0},"citationItems":[{"id":6297,"uris":["http://zotero.org/users/8977980/items/2MEHUSYX"],"itemData":{"id":6297,"type":"article-journal","container-title":"Political Geography","DOI":"10.1016/j.polgeo.2023.102937","ISSN":"0962-6298","journalAbbreviation":"Political Geography","page":"102937","source":"ScienceDirect","title":"Interventions in walking methods in political geography","volume":"106","author":[{"family":"Mason","given":"Olivia"},{"family":"Sarma","given":"Jasnea"},{"family":"Sidaway","given":"James D."},{"family":"Bonnett","given":"Alastair"},{"family":"Hubbard","given":"Phil"},{"family":"Jamil","given":"Ghazala"},{"family":"Middleton","given":"Jennie"},{"family":"O'Neill","given":"Maggie"},{"family":"Riding","given":"James"},{"family":"Rose","given":"Morag"}],"issued":{"date-parts":[["2023",10,1]]}},"label":"page","suppress-author":true}],"schema":"https://github.com/citation-style-language/schema/raw/master/csl-citation.json"} </w:instrText>
      </w:r>
      <w:r w:rsidRPr="00662E51">
        <w:rPr>
          <w:rFonts w:cs="Arial"/>
          <w:szCs w:val="24"/>
        </w:rPr>
        <w:fldChar w:fldCharType="separate"/>
      </w:r>
      <w:r w:rsidR="0095662D" w:rsidRPr="00662E51">
        <w:t>(2023)</w:t>
      </w:r>
      <w:r w:rsidRPr="00662E51">
        <w:rPr>
          <w:rFonts w:cs="Arial"/>
          <w:szCs w:val="24"/>
        </w:rPr>
        <w:fldChar w:fldCharType="end"/>
      </w:r>
      <w:r w:rsidRPr="00662E51">
        <w:rPr>
          <w:rFonts w:cs="Arial"/>
          <w:szCs w:val="24"/>
        </w:rPr>
        <w:t xml:space="preserve">. </w:t>
      </w:r>
    </w:p>
    <w:p w14:paraId="60570E70" w14:textId="6D377744" w:rsidR="00756CE9" w:rsidRPr="00662E51" w:rsidRDefault="00756CE9" w:rsidP="00F56305">
      <w:pPr>
        <w:spacing w:line="360" w:lineRule="auto"/>
        <w:ind w:left="0" w:firstLine="720"/>
        <w:rPr>
          <w:rFonts w:cs="Arial"/>
          <w:szCs w:val="24"/>
        </w:rPr>
      </w:pPr>
      <w:r w:rsidRPr="00662E51">
        <w:rPr>
          <w:rFonts w:cs="Arial"/>
          <w:szCs w:val="24"/>
        </w:rPr>
        <w:t xml:space="preserve">Succinctly understood, walking as a method is “a self-conscious, reﬂective project of wandering around to better understand an area’s physical context, social context, and the spatial practices of its residents” </w:t>
      </w:r>
      <w:r w:rsidRPr="00662E51">
        <w:rPr>
          <w:rFonts w:cs="Arial"/>
          <w:szCs w:val="24"/>
        </w:rPr>
        <w:fldChar w:fldCharType="begin"/>
      </w:r>
      <w:r w:rsidR="008835AB" w:rsidRPr="00662E51">
        <w:rPr>
          <w:rFonts w:cs="Arial"/>
          <w:szCs w:val="24"/>
        </w:rPr>
        <w:instrText xml:space="preserve"> ADDIN ZOTERO_ITEM CSL_CITATION {"citationID":"2O2ofncq","properties":{"formattedCitation":"(Pierce and Lawhon 2015, 656)","plainCitation":"(Pierce and Lawhon 2015, 656)","noteIndex":0},"citationItems":[{"id":6558,"uris":["http://zotero.org/users/8977980/items/QB37DFTG"],"itemData":{"id":6558,"type":"article-journal","abstract":"Qualitative urban geographical research should explicitly acknowledge insights gained from walking (the iterative exploration and observation of cities on foot), which enhances local literacy and enables researchers to compare methods more explicitly. Some urban geographers might use walking as a method, but it is rarely reported in published scholarship. This article argues for the explicit inclusion of walking in methodological reporting for urban research. We suggest that reporting the walking that researchers do adds rigor to research findings and should be distinguished from research where this practice is absent, we report on international experiences using walking in combination with other methods, and we conclude with a proposal for comparable urban geographic walking practices.","container-title":"The Professional Geographer","DOI":"10.1080/00330124.2015.1059401","ISSN":"0033-0124","issue":"4","note":"_eprint: https://doi.org/10.1080/00330124.2015.1059401","page":"655-662","publisher":"Routledge","source":"Taylor and Francis+NEJM","title":"Walking as Method: Toward Methodological Forthrightness and Comparability in Urban Geographical Research","title-short":"Walking as Method","volume":"67","author":[{"family":"Pierce","given":"Joseph"},{"family":"Lawhon","given":"Mary"}],"issued":{"date-parts":[["2015",10,2]]}},"locator":"656"}],"schema":"https://github.com/citation-style-language/schema/raw/master/csl-citation.json"} </w:instrText>
      </w:r>
      <w:r w:rsidRPr="00662E51">
        <w:rPr>
          <w:rFonts w:cs="Arial"/>
          <w:szCs w:val="24"/>
        </w:rPr>
        <w:fldChar w:fldCharType="separate"/>
      </w:r>
      <w:r w:rsidR="0095662D" w:rsidRPr="00662E51">
        <w:t>(Pierce and Lawhon 2015, 656)</w:t>
      </w:r>
      <w:r w:rsidRPr="00662E51">
        <w:rPr>
          <w:rFonts w:cs="Arial"/>
          <w:szCs w:val="24"/>
        </w:rPr>
        <w:fldChar w:fldCharType="end"/>
      </w:r>
      <w:r w:rsidRPr="00662E51">
        <w:rPr>
          <w:rFonts w:cs="Arial"/>
          <w:szCs w:val="24"/>
        </w:rPr>
        <w:t xml:space="preserve">. It encompasses more than just movement—walking methods include observation and casual interaction with city residents. It thus includes, and extends, participant observation to include embodied and affective dimensions missed from </w:t>
      </w:r>
      <w:r w:rsidRPr="00662E51">
        <w:rPr>
          <w:rFonts w:cs="Arial"/>
          <w:szCs w:val="24"/>
        </w:rPr>
        <w:lastRenderedPageBreak/>
        <w:t xml:space="preserve">stationary research done from afar. As a method, walking has been explored across disciplines and within geography from transport and mobility studies to urban geography </w:t>
      </w:r>
      <w:r w:rsidRPr="00662E51">
        <w:rPr>
          <w:rFonts w:cs="Arial"/>
          <w:szCs w:val="24"/>
        </w:rPr>
        <w:fldChar w:fldCharType="begin"/>
      </w:r>
      <w:r w:rsidRPr="00662E51">
        <w:rPr>
          <w:rFonts w:cs="Arial"/>
          <w:szCs w:val="24"/>
        </w:rPr>
        <w:instrText xml:space="preserve"> ADDIN ZOTERO_ITEM CSL_CITATION {"citationID":"ij8hWsbb","properties":{"formattedCitation":"(Middleton 2011)","plainCitation":"(Middleton 2011)","noteIndex":0},"citationItems":[{"id":6556,"uris":["http://zotero.org/users/8977980/items/PWH76G7E"],"itemData":{"id":6556,"type":"article-journal","abstract":"Concerns with walking cut across both policy and academic arenas, ranging from its promotion as a significant mode of sustainable transport to it being drawn upon as an artistic practice. However, there remains a disconnection between different bodies of research addressing different dimensions associated with walking, whereby a distinction can be drawn between understanding walking as a topic and subject to research and drawing upon walking as a method of enquiry. This paper aims to critically explore some of the multiple areas of work on walking, and in so doing proposes an increased dialogue between, and wider acknowledgement of, different modes of enquiry relating to pedestrian practices. More specifically the paper explores policy concerns with pedestrian movement; how walking is situated within writings concerning the democratic possibilities of urban public space; its role in performative engagements with the city; pedestrian movement as a means of reading/knowing urban space; and the relationship between walking and art. In so doing, the potential is explored for how these forms of engagement with walking translate into, or provide a medium for, the broader concerns of those such as policymakers as to who walks and why.","container-title":"Geography Compass","DOI":"10.1111/j.1749-8198.2010.00409.x","ISSN":"1749-8198","issue":"2","language":"en","license":"© 2011 The Author. Geography Compass © 2011 Blackwell Publishing Ltd","note":"_eprint: https://compass.onlinelibrary.wiley.com/doi/pdf/10.1111/j.1749-8198.2010.00409.x","page":"90-105","source":"Wiley Online Library","title":"Walking in the City: The Geographies of Everyday Pedestrian Practices","title-short":"Walking in the City","volume":"5","author":[{"family":"Middleton","given":"Jennie"}],"issued":{"date-parts":[["2011"]]}}}],"schema":"https://github.com/citation-style-language/schema/raw/master/csl-citation.json"} </w:instrText>
      </w:r>
      <w:r w:rsidRPr="00662E51">
        <w:rPr>
          <w:rFonts w:cs="Arial"/>
          <w:szCs w:val="24"/>
        </w:rPr>
        <w:fldChar w:fldCharType="separate"/>
      </w:r>
      <w:r w:rsidR="0095662D" w:rsidRPr="00662E51">
        <w:t>(Middleton 2011)</w:t>
      </w:r>
      <w:r w:rsidRPr="00662E51">
        <w:rPr>
          <w:rFonts w:cs="Arial"/>
          <w:szCs w:val="24"/>
        </w:rPr>
        <w:fldChar w:fldCharType="end"/>
      </w:r>
      <w:r w:rsidRPr="00662E51">
        <w:rPr>
          <w:rFonts w:cs="Arial"/>
          <w:szCs w:val="24"/>
        </w:rPr>
        <w:t xml:space="preserve">. In urban geography, Pierce and Lawhon </w:t>
      </w:r>
      <w:r w:rsidRPr="00662E51">
        <w:rPr>
          <w:rFonts w:cs="Arial"/>
          <w:szCs w:val="24"/>
        </w:rPr>
        <w:fldChar w:fldCharType="begin"/>
      </w:r>
      <w:r w:rsidR="008835AB" w:rsidRPr="00662E51">
        <w:rPr>
          <w:rFonts w:cs="Arial"/>
          <w:szCs w:val="24"/>
        </w:rPr>
        <w:instrText xml:space="preserve"> ADDIN ZOTERO_ITEM CSL_CITATION {"citationID":"by8bMJxs","properties":{"formattedCitation":"(2015)","plainCitation":"(2015)","noteIndex":0},"citationItems":[{"id":6558,"uris":["http://zotero.org/users/8977980/items/QB37DFTG"],"itemData":{"id":6558,"type":"article-journal","abstract":"Qualitative urban geographical research should explicitly acknowledge insights gained from walking (the iterative exploration and observation of cities on foot), which enhances local literacy and enables researchers to compare methods more explicitly. Some urban geographers might use walking as a method, but it is rarely reported in published scholarship. This article argues for the explicit inclusion of walking in methodological reporting for urban research. We suggest that reporting the walking that researchers do adds rigor to research findings and should be distinguished from research where this practice is absent, we report on international experiences using walking in combination with other methods, and we conclude with a proposal for comparable urban geographic walking practices.","container-title":"The Professional Geographer","DOI":"10.1080/00330124.2015.1059401","ISSN":"0033-0124","issue":"4","note":"_eprint: https://doi.org/10.1080/00330124.2015.1059401","page":"655-662","publisher":"Routledge","source":"Taylor and Francis+NEJM","title":"Walking as Method: Toward Methodological Forthrightness and Comparability in Urban Geographical Research","title-short":"Walking as Method","volume":"67","author":[{"family":"Pierce","given":"Joseph"},{"family":"Lawhon","given":"Mary"}],"issued":{"date-parts":[["2015",10,2]]}},"label":"page","suppress-author":true}],"schema":"https://github.com/citation-style-language/schema/raw/master/csl-citation.json"} </w:instrText>
      </w:r>
      <w:r w:rsidRPr="00662E51">
        <w:rPr>
          <w:rFonts w:cs="Arial"/>
          <w:szCs w:val="24"/>
        </w:rPr>
        <w:fldChar w:fldCharType="separate"/>
      </w:r>
      <w:r w:rsidR="0095662D" w:rsidRPr="00662E51">
        <w:t>(2015)</w:t>
      </w:r>
      <w:r w:rsidRPr="00662E51">
        <w:rPr>
          <w:rFonts w:cs="Arial"/>
          <w:szCs w:val="24"/>
        </w:rPr>
        <w:fldChar w:fldCharType="end"/>
      </w:r>
      <w:r w:rsidRPr="00662E51">
        <w:rPr>
          <w:rFonts w:cs="Arial"/>
          <w:szCs w:val="24"/>
        </w:rPr>
        <w:t xml:space="preserve"> call attention to the walking that urban scholars </w:t>
      </w:r>
      <w:r w:rsidRPr="00662E51">
        <w:rPr>
          <w:rFonts w:cs="Arial"/>
          <w:i/>
          <w:iCs/>
          <w:szCs w:val="24"/>
        </w:rPr>
        <w:t>already do</w:t>
      </w:r>
      <w:r w:rsidRPr="00662E51">
        <w:rPr>
          <w:rFonts w:cs="Arial"/>
          <w:szCs w:val="24"/>
        </w:rPr>
        <w:t xml:space="preserve"> in their participant observation and ethnographic research. Yet, political geographers have thus far undertheorised walking as a method as Mason et al. </w:t>
      </w:r>
      <w:r w:rsidRPr="00662E51">
        <w:rPr>
          <w:rFonts w:cs="Arial"/>
          <w:szCs w:val="24"/>
        </w:rPr>
        <w:fldChar w:fldCharType="begin"/>
      </w:r>
      <w:r w:rsidRPr="00662E51">
        <w:rPr>
          <w:rFonts w:cs="Arial"/>
          <w:szCs w:val="24"/>
        </w:rPr>
        <w:instrText xml:space="preserve"> ADDIN ZOTERO_ITEM CSL_CITATION {"citationID":"h8DcG7pw","properties":{"formattedCitation":"(2023)","plainCitation":"(2023)","noteIndex":0},"citationItems":[{"id":6297,"uris":["http://zotero.org/users/8977980/items/2MEHUSYX"],"itemData":{"id":6297,"type":"article-journal","container-title":"Political Geography","DOI":"10.1016/j.polgeo.2023.102937","ISSN":"0962-6298","journalAbbreviation":"Political Geography","page":"102937","source":"ScienceDirect","title":"Interventions in walking methods in political geography","volume":"106","author":[{"family":"Mason","given":"Olivia"},{"family":"Sarma","given":"Jasnea"},{"family":"Sidaway","given":"James D."},{"family":"Bonnett","given":"Alastair"},{"family":"Hubbard","given":"Phil"},{"family":"Jamil","given":"Ghazala"},{"family":"Middleton","given":"Jennie"},{"family":"O'Neill","given":"Maggie"},{"family":"Riding","given":"James"},{"family":"Rose","given":"Morag"}],"issued":{"date-parts":[["2023",10,1]]}},"suppress-author":true}],"schema":"https://github.com/citation-style-language/schema/raw/master/csl-citation.json"} </w:instrText>
      </w:r>
      <w:r w:rsidRPr="00662E51">
        <w:rPr>
          <w:rFonts w:cs="Arial"/>
          <w:szCs w:val="24"/>
        </w:rPr>
        <w:fldChar w:fldCharType="separate"/>
      </w:r>
      <w:r w:rsidR="0095662D" w:rsidRPr="00662E51">
        <w:t>(2023)</w:t>
      </w:r>
      <w:r w:rsidRPr="00662E51">
        <w:rPr>
          <w:rFonts w:cs="Arial"/>
          <w:szCs w:val="24"/>
        </w:rPr>
        <w:fldChar w:fldCharType="end"/>
      </w:r>
      <w:r w:rsidRPr="00662E51">
        <w:rPr>
          <w:rFonts w:cs="Arial"/>
          <w:szCs w:val="24"/>
        </w:rPr>
        <w:t xml:space="preserve"> explains. The few existing interventions considering identity and nationalism </w:t>
      </w:r>
      <w:r w:rsidRPr="00662E51">
        <w:rPr>
          <w:rFonts w:cs="Arial"/>
          <w:szCs w:val="24"/>
        </w:rPr>
        <w:fldChar w:fldCharType="begin"/>
      </w:r>
      <w:r w:rsidR="00213B80">
        <w:rPr>
          <w:rFonts w:cs="Arial"/>
          <w:szCs w:val="24"/>
        </w:rPr>
        <w:instrText xml:space="preserve"> ADDIN ZOTERO_ITEM CSL_CITATION {"citationID":"TRRxsEh4","properties":{"formattedCitation":"(O. Mason 2021)","plainCitation":"(O. Mason 2021)","noteIndex":0},"citationItems":[{"id":6306,"uris":["http://zotero.org/users/8977980/items/RYIZKYHQ"],"itemData":{"id":6306,"type":"article-journal","abstract":"The past 10-15 years has seen the growth of walking groups taking walkers from Amman to rural parts of Jordan at weekends and the development of the Jordan Trail. Through the narration and analysis of everyday accounts of walking, this paper explores political geographies of identity, movement, and territory in Jordan. Drawing on 12 months of ethnographic fieldwork, I suggest that at the heart of a growth of walking for leisure in Jordan are important political questions. How is walking conditioned by situated cultural politics? How can walking unearth intimate and embodied accounts of territory in Jordan? I build upon three developments in political geography to do this. First, research on political geography and walking; second research on everyday political geographies of the Middle East; third, critical and feminist work on territory. Literature on political geography and walking is developed by centring Jordanian walkers and the (post)colonial context of Jordan to explore what walking means under different political conditions and for individual bodies. In doing so I contribute to work on identity and nationalism in Jordan and the importance of the everyday to explore political geographies of the Middle East. I develop critical and feminist work on territory by arguing that walking bodies make and contest territory and in doing so calling for greater synergies between cultural and political geography. These arguments are made in two empirical sections. The first explores how different people talk about walking, the language for walking, and assumptions about walking bodies. The second explores how walking connects different bodies to territory, and creates territorial nationalist narratives, but also how walking can highlight indigenous and embodied relations with territory. This paper concludes that walking is political because it shapes and is shaped by situated political geographies and because it enables embodied and intimate accounts of territory to emerge.","container-title":"Political Geography","DOI":"10.1016/j.polgeo.2021.102392","ISSN":"0962-6298","journalAbbreviation":"Political Geography","page":"102392","source":"ScienceDirect","title":"A political geography of walking in Jordan: Movement and politics","title-short":"A political geography of walking in Jordan","volume":"88","author":[{"family":"Mason","given":"Olivia"}],"issued":{"date-parts":[["2021",6,1]]}}}],"schema":"https://github.com/citation-style-language/schema/raw/master/csl-citation.json"} </w:instrText>
      </w:r>
      <w:r w:rsidRPr="00662E51">
        <w:rPr>
          <w:rFonts w:cs="Arial"/>
          <w:szCs w:val="24"/>
        </w:rPr>
        <w:fldChar w:fldCharType="separate"/>
      </w:r>
      <w:r w:rsidR="00213B80" w:rsidRPr="00213B80">
        <w:t>(O. Mason 2021)</w:t>
      </w:r>
      <w:r w:rsidRPr="00662E51">
        <w:rPr>
          <w:rFonts w:cs="Arial"/>
          <w:szCs w:val="24"/>
        </w:rPr>
        <w:fldChar w:fldCharType="end"/>
      </w:r>
      <w:r w:rsidRPr="00662E51">
        <w:rPr>
          <w:rFonts w:cs="Arial"/>
          <w:szCs w:val="24"/>
        </w:rPr>
        <w:t xml:space="preserve"> or genocide remembrance </w:t>
      </w:r>
      <w:r w:rsidRPr="00662E51">
        <w:rPr>
          <w:rFonts w:cs="Arial"/>
          <w:szCs w:val="24"/>
        </w:rPr>
        <w:fldChar w:fldCharType="begin"/>
      </w:r>
      <w:r w:rsidR="008835AB" w:rsidRPr="00662E51">
        <w:rPr>
          <w:rFonts w:cs="Arial"/>
          <w:szCs w:val="24"/>
        </w:rPr>
        <w:instrText xml:space="preserve"> ADDIN ZOTERO_ITEM CSL_CITATION {"citationID":"8QSIgbp8","properties":{"formattedCitation":"(Riding 2020)","plainCitation":"(Riding 2020)","noteIndex":0},"citationItems":[{"id":6979,"uris":["http://zotero.org/users/8977980/items/4GFX27F5"],"itemData":{"id":6979,"type":"article-journal","abstract":"The March of Peace (Marš mira) is a 63-mile, 3-day walk through eastern Bosnia organised in memory of the victims of the 1995 Srebrenica genocide and traces in reverse a death march. Marchers take a trail from Nezuk, stopping at mass graves found along the way, arriving at the memorial cemetery in Potočari a day prior to the annual mass funeral for victims who have been recently exhumed. This article charts the journey from the death march to the peace march and asks the reader to assess the efficacy of embodied memory-work and the ethical responsibility to undertake – and responsibilities when undertaking – alternative memory-work in post-genocide landscapes and sites of mass murder, through a series of rhetorical shifts. A number of frames are enacted to challenge other more linear and conventional approaches, allowing the sociological and political productivity of engaging with post-genocide landscapes in a post-conflict state to emerge, referencing dissident forms of remembrance through the method of walking-with others while traversing this post-genocide landscape on foot. Travelling-with around 8,000 mourners, some of whom were survivors of the death march, the aim here is not to simply describe what is taking place; rather, the journey is undertaken in order to activate a space – a space within which I might engage with issues of landscape, conflict and memory in the context of their current discussion within cultural and political geography, genocide studies and memory studies, and more importantly to speak of genocide and a post-genocide landscape.","container-title":"cultural geographies","DOI":"10.1177/1474474019876619","ISSN":"1474-4740","issue":"2","language":"EN","page":"237-259","publisher":"SAGE Publications Ltd","source":"SAGE Journals","title":"Landscape after genocide","volume":"27","author":[{"family":"Riding","given":"James"}],"issued":{"date-parts":[["2020",4,1]]}}}],"schema":"https://github.com/citation-style-language/schema/raw/master/csl-citation.json"} </w:instrText>
      </w:r>
      <w:r w:rsidRPr="00662E51">
        <w:rPr>
          <w:rFonts w:cs="Arial"/>
          <w:szCs w:val="24"/>
        </w:rPr>
        <w:fldChar w:fldCharType="separate"/>
      </w:r>
      <w:r w:rsidR="0095662D" w:rsidRPr="00662E51">
        <w:t>(Riding 2020)</w:t>
      </w:r>
      <w:r w:rsidRPr="00662E51">
        <w:rPr>
          <w:rFonts w:cs="Arial"/>
          <w:szCs w:val="24"/>
        </w:rPr>
        <w:fldChar w:fldCharType="end"/>
      </w:r>
      <w:r w:rsidRPr="00662E51">
        <w:rPr>
          <w:rFonts w:cs="Arial"/>
          <w:szCs w:val="24"/>
        </w:rPr>
        <w:t xml:space="preserve">. While there are some papers that conduct a political geography of walking in an urban setting </w:t>
      </w:r>
      <w:r w:rsidRPr="00662E51">
        <w:rPr>
          <w:rFonts w:cs="Arial"/>
          <w:szCs w:val="24"/>
        </w:rPr>
        <w:fldChar w:fldCharType="begin"/>
      </w:r>
      <w:r w:rsidR="00DE49BB">
        <w:rPr>
          <w:rFonts w:cs="Arial"/>
          <w:szCs w:val="24"/>
        </w:rPr>
        <w:instrText xml:space="preserve"> ADDIN ZOTERO_ITEM CSL_CITATION {"citationID":"xmrUbioA","properties":{"formattedCitation":"(A. Mitchell and Kelly 2011; Sidaway 2009)","plainCitation":"(A. Mitchell and Kelly 2011; Sidaway 2009)","noteIndex":0},"citationItems":[{"id":6981,"uris":["http://zotero.org/users/8977980/items/U8U65VNJ"],"itemData":{"id":6981,"type":"article-journal","abstract":"Strategies of international peacebuilding depend on the creation of secure, manageable spaces that embody the norms of intervening actors. This article examines attempts by governmental and international donors to create pockets of “peaceful space” in Belfast’s city center, and their effects on the surrounding neighborhoods of north Belfast. Using the technique of an ethnographic walk, we examine several key sites that reflect how the creation of “peaceful spaces” has also generated distinctive “outsides” shaped by interfaces, enclaves, and complex patterns of conflict. By reframing these spaces as a result rather than solely a precondition of peacebuilding activities, this article challenges the assumption that conflict degrades the spaces in the outside areas of “peaceful space” and that peacebuilding strategies ameliorate them. Instead, we argue that development and peacebuilding strategies have generated deterritorialized spaces whose status and ownership is indeterminate, in which the right of access and use is unclear, and in which the conditions created by constant and always incomplete transformation are used to justify intensive securitization and modes of control.","container-title":"Alternatives","DOI":"10.1177/0304375411431761","ISSN":"0304-3754","issue":"4","language":"EN","page":"307-325","publisher":"SAGE Publications Inc","source":"SAGE Journals","title":"Peaceful Spaces? “Walking” through the New Liminal Spaces of Peacebuilding and Development in North Belfast","title-short":"Peaceful Spaces?","volume":"36","author":[{"family":"Mitchell","given":"Audra"},{"family":"Kelly","given":"Liam"}],"issued":{"date-parts":[["2011",11,1]]}}},{"id":6980,"uris":["http://zotero.org/users/8977980/items/5CPEVPFK"],"itemData":{"id":6980,"type":"article-journal","abstract":"The challenge of producing geographical narrative has recently been enhanced through work under the banners of affect and nonrepresentational theory. This has been registered in a range of topics in cultural, social, and political geography, and impacted in work on landscape. Such work has antecedents in several decades of humanistic geography and is immersed in more recent writings on performance and subjectivity and the critical rethinking of being, dwelling, movement, and place. With those and allied works in mind, this paper interrogates such literatures through writing about walking an urban section (through the port of Plymouth) of Britain's South West Coast Path; one of the few places where any of the twenty demarcated national trails and long-distance routes in the UK intersects a city. The existence of a rich literature on strolling in urban space opens up possibilities and connections. However the approach here is deliberately eclectic and also draws on works from/about geopolitics, natural history, and urban studies. My purpose here is to bring such literatures into closer and productive dialogue, through an account that shifts geographical and temporal scales and perspectives. This is done through the device of an evening's walk along a section of the path: negotiating spaces of capital and sovereignty. Military geography and security/insecurity emerge as master keys to how topography has been shaped here and the paper draws a series of connections between landscape, life, death, and military activities, both near and far. What the paper aims to do, therefore, is to illustrate how geopolitics affects us—to illustrate how the repercussions of militarism, war, and death are folded into the textures of an everyday urban fabric. This has implications for how other landscapes, places, and paths might be understood.","container-title":"Environment and Planning D: Society and Space","DOI":"10.1068/d5508","ISSN":"0263-7758","issue":"6","journalAbbreviation":"Environ Plan D","language":"EN","page":"1091-1116","publisher":"SAGE Publications Ltd STM","source":"SAGE Journals","title":"Shadows on the Path: Negotiating Geopolitics on an Urban Section of Britain's South West Coast Path","title-short":"Shadows on the Path","volume":"27","author":[{"family":"Sidaway","given":"James D"}],"issued":{"date-parts":[["2009",12,1]]}}}],"schema":"https://github.com/citation-style-language/schema/raw/master/csl-citation.json"} </w:instrText>
      </w:r>
      <w:r w:rsidRPr="00662E51">
        <w:rPr>
          <w:rFonts w:cs="Arial"/>
          <w:szCs w:val="24"/>
        </w:rPr>
        <w:fldChar w:fldCharType="separate"/>
      </w:r>
      <w:r w:rsidR="00DE49BB" w:rsidRPr="00DE49BB">
        <w:t>(A. Mitchell and Kelly 2011; Sidaway 2009)</w:t>
      </w:r>
      <w:r w:rsidRPr="00662E51">
        <w:rPr>
          <w:rFonts w:cs="Arial"/>
          <w:szCs w:val="24"/>
        </w:rPr>
        <w:fldChar w:fldCharType="end"/>
      </w:r>
      <w:r w:rsidRPr="00662E51">
        <w:rPr>
          <w:rFonts w:cs="Arial"/>
          <w:szCs w:val="24"/>
        </w:rPr>
        <w:t xml:space="preserve">, few </w:t>
      </w:r>
      <w:r w:rsidR="00C42112" w:rsidRPr="00662E51">
        <w:rPr>
          <w:rFonts w:cs="Arial"/>
          <w:szCs w:val="24"/>
        </w:rPr>
        <w:t>use</w:t>
      </w:r>
      <w:r w:rsidRPr="00662E51">
        <w:rPr>
          <w:rFonts w:cs="Arial"/>
          <w:szCs w:val="24"/>
        </w:rPr>
        <w:t xml:space="preserve"> it to interrogate urban transformation in a major city like London. Therefore, my use of walking methods balanced between urban and political geographies. </w:t>
      </w:r>
    </w:p>
    <w:p w14:paraId="06D1D2AE" w14:textId="6C60813B" w:rsidR="00756CE9" w:rsidRPr="00662E51" w:rsidRDefault="00756CE9" w:rsidP="0041288A">
      <w:pPr>
        <w:spacing w:line="360" w:lineRule="auto"/>
        <w:ind w:left="0" w:firstLine="720"/>
        <w:rPr>
          <w:rFonts w:cs="Arial"/>
          <w:szCs w:val="24"/>
        </w:rPr>
      </w:pPr>
      <w:r w:rsidRPr="00662E51">
        <w:rPr>
          <w:rFonts w:cs="Arial"/>
          <w:szCs w:val="24"/>
        </w:rPr>
        <w:t xml:space="preserve">I walked through three distinct regions of Haringey: Broadwater Farm Estate, Northumberland Park, and the ‘order lands’ of High Road West. I briefly discuss Broadwater Farm before jointly reviewing Northumberland Park (NP) and HRW. Walking all three invoked what Chiles </w:t>
      </w:r>
      <w:r w:rsidRPr="00662E51">
        <w:rPr>
          <w:rFonts w:cs="Arial"/>
          <w:szCs w:val="24"/>
        </w:rPr>
        <w:fldChar w:fldCharType="begin"/>
      </w:r>
      <w:r w:rsidR="008835AB" w:rsidRPr="00662E51">
        <w:rPr>
          <w:rFonts w:cs="Arial"/>
          <w:szCs w:val="24"/>
        </w:rPr>
        <w:instrText xml:space="preserve"> ADDIN ZOTERO_ITEM CSL_CITATION {"citationID":"Na4Um6gP","properties":{"formattedCitation":"(2021)","plainCitation":"(2021)","noteIndex":0},"citationItems":[{"id":6258,"uris":["http://zotero.org/users/8977980/items/44KRK9VM"],"itemData":{"id":6258,"type":"chapter","container-title":"Working with Time in Qualitative Research","DOI":"10.4324/9781003152255-6","edition":"1","ISBN":"978-1-003-15225-5","language":"en","page":"86-102","publisher":"Routledge","publisher-place":"London","source":"DOI.org (Crossref)","title":"Site time","URL":"https://www.taylorfrancis.com/books/9781003152255/chapters/10.4324/9781003152255-6","container-author":[{"family":"Facer","given":"Keri"},{"family":"Siebers","given":"Johan"},{"family":"Smith","given":"Bradon"}],"author":[{"family":"Chiles","given":"Prue"}],"accessed":{"date-parts":[["2025",1,14]]},"issued":{"date-parts":[["2021",12,9]]}},"label":"page","suppress-author":true}],"schema":"https://github.com/citation-style-language/schema/raw/master/csl-citation.json"} </w:instrText>
      </w:r>
      <w:r w:rsidRPr="00662E51">
        <w:rPr>
          <w:rFonts w:cs="Arial"/>
          <w:szCs w:val="24"/>
        </w:rPr>
        <w:fldChar w:fldCharType="separate"/>
      </w:r>
      <w:r w:rsidR="0095662D" w:rsidRPr="00662E51">
        <w:t>(2021)</w:t>
      </w:r>
      <w:r w:rsidRPr="00662E51">
        <w:rPr>
          <w:rFonts w:cs="Arial"/>
          <w:szCs w:val="24"/>
        </w:rPr>
        <w:fldChar w:fldCharType="end"/>
      </w:r>
      <w:r w:rsidRPr="00662E51">
        <w:rPr>
          <w:rFonts w:cs="Arial"/>
          <w:szCs w:val="24"/>
        </w:rPr>
        <w:t xml:space="preserve"> calls “site time”: a dense situating of the process, thinking, and making involved in construction. This was especially so at Broadwater Farm—given its complicated history. My walks of the estate accentuated the temporalities involved in the unique case of the BFYA as my interest here was in seeking out any vestiges of the Association’s work. The physical structure of the Broadwater Farm estate became something of an interlocutor in its own right through walking it. For instance, two of the estate’s blocks have recently been demolished so that the council can regenerate the estate </w:t>
      </w:r>
      <w:r w:rsidRPr="00662E51">
        <w:rPr>
          <w:rFonts w:cs="Arial"/>
          <w:szCs w:val="24"/>
        </w:rPr>
        <w:fldChar w:fldCharType="begin"/>
      </w:r>
      <w:r w:rsidRPr="00662E51">
        <w:rPr>
          <w:rFonts w:cs="Arial"/>
          <w:szCs w:val="24"/>
        </w:rPr>
        <w:instrText xml:space="preserve"> ADDIN ZOTERO_ITEM CSL_CITATION {"citationID":"S4sxcJiX","properties":{"formattedCitation":"({\\i{}Haringey Community Press} 2024)","plainCitation":"(Haringey Community Press 2024)","noteIndex":0},"citationItems":[{"id":6305,"uris":["http://zotero.org/users/8977980/items/RXK4AZ3C"],"itemData":{"id":6305,"type":"article-newspaper","container-title":"Haringey Community Press","title":"Listed Broadwater Farm mural set to be ‘carefully reinstated’ after removal from condemned block","URL":"https://haringeycommunitypress.co.uk/2024/04/09/listed-broadwater-farm-mural-set-to-be-carefully-reinstated-after-removal-from-condemned-block/","issued":{"date-parts":[["2024",4,9]]}}}],"schema":"https://github.com/citation-style-language/schema/raw/master/csl-citation.json"} </w:instrText>
      </w:r>
      <w:r w:rsidRPr="00662E51">
        <w:rPr>
          <w:rFonts w:cs="Arial"/>
          <w:szCs w:val="24"/>
        </w:rPr>
        <w:fldChar w:fldCharType="separate"/>
      </w:r>
      <w:r w:rsidR="0095662D" w:rsidRPr="00662E51">
        <w:rPr>
          <w:rFonts w:cs="Times New Roman"/>
          <w:kern w:val="0"/>
        </w:rPr>
        <w:t>(</w:t>
      </w:r>
      <w:r w:rsidR="0095662D" w:rsidRPr="00662E51">
        <w:rPr>
          <w:rFonts w:cs="Times New Roman"/>
          <w:i/>
          <w:iCs/>
          <w:kern w:val="0"/>
        </w:rPr>
        <w:t>Haringey Community Press</w:t>
      </w:r>
      <w:r w:rsidR="0095662D" w:rsidRPr="00662E51">
        <w:rPr>
          <w:rFonts w:cs="Times New Roman"/>
          <w:kern w:val="0"/>
        </w:rPr>
        <w:t xml:space="preserve"> 2024)</w:t>
      </w:r>
      <w:r w:rsidRPr="00662E51">
        <w:rPr>
          <w:rFonts w:cs="Arial"/>
          <w:szCs w:val="24"/>
        </w:rPr>
        <w:fldChar w:fldCharType="end"/>
      </w:r>
      <w:r w:rsidRPr="00662E51">
        <w:rPr>
          <w:rFonts w:cs="Arial"/>
          <w:szCs w:val="24"/>
        </w:rPr>
        <w:t xml:space="preserve"> and, as is discussed in Chapter </w:t>
      </w:r>
      <w:r w:rsidR="00931A10" w:rsidRPr="00662E51">
        <w:rPr>
          <w:rFonts w:cs="Arial"/>
          <w:szCs w:val="24"/>
        </w:rPr>
        <w:t>5</w:t>
      </w:r>
      <w:r w:rsidRPr="00662E51">
        <w:rPr>
          <w:rFonts w:cs="Arial"/>
          <w:szCs w:val="24"/>
        </w:rPr>
        <w:t xml:space="preserve">, BYFA was instrumental in refashioning the layout of the estate. The former was obvious when I walked the estate the first time, while the latter only came to my attention when I was listening to the 2022 interview with Clasford Stirling. The former is ostensibly forward-looking as the council’s aim is to regenerate the estate. </w:t>
      </w:r>
      <w:r w:rsidR="00AE7C0A" w:rsidRPr="00662E51">
        <w:rPr>
          <w:rFonts w:cs="Arial"/>
          <w:szCs w:val="24"/>
        </w:rPr>
        <w:t>Yet</w:t>
      </w:r>
      <w:r w:rsidRPr="00662E51">
        <w:rPr>
          <w:rFonts w:cs="Arial"/>
          <w:szCs w:val="24"/>
        </w:rPr>
        <w:t xml:space="preserve"> the now-demolished blocks held important memories that are now kept in the archives, or more likely, only in the minds of the estate’s elders. Tangmere block, for example, is where the BFYA was first housed </w:t>
      </w:r>
      <w:r w:rsidRPr="00662E51">
        <w:rPr>
          <w:rFonts w:cs="Arial"/>
          <w:szCs w:val="24"/>
        </w:rPr>
        <w:fldChar w:fldCharType="begin"/>
      </w:r>
      <w:r w:rsidRPr="00662E51">
        <w:rPr>
          <w:rFonts w:cs="Arial"/>
          <w:szCs w:val="24"/>
        </w:rPr>
        <w:instrText xml:space="preserve"> ADDIN ZOTERO_ITEM CSL_CITATION {"citationID":"bWpnjdwg","properties":{"formattedCitation":"(Gifford 1986)","plainCitation":"(Gifford 1986)","noteIndex":0},"citationItems":[{"id":5214,"uris":["http://zotero.org/users/8977980/items/QT5S27DM"],"itemData":{"id":5214,"type":"book","edition":"First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Tottenham","URL":"https://berniegrantarchive.org.uk/bg-303-623-bro/","author":[{"family":"Gifford","given":"Lord"}],"issued":{"date-parts":[["1986",1,1]]}}}],"schema":"https://github.com/citation-style-language/schema/raw/master/csl-citation.json"} </w:instrText>
      </w:r>
      <w:r w:rsidRPr="00662E51">
        <w:rPr>
          <w:rFonts w:cs="Arial"/>
          <w:szCs w:val="24"/>
        </w:rPr>
        <w:fldChar w:fldCharType="separate"/>
      </w:r>
      <w:r w:rsidR="0095662D" w:rsidRPr="00662E51">
        <w:t>(Gifford 1986)</w:t>
      </w:r>
      <w:r w:rsidRPr="00662E51">
        <w:rPr>
          <w:rFonts w:cs="Arial"/>
          <w:szCs w:val="24"/>
        </w:rPr>
        <w:fldChar w:fldCharType="end"/>
      </w:r>
      <w:r w:rsidRPr="00662E51">
        <w:rPr>
          <w:rFonts w:cs="Arial"/>
          <w:szCs w:val="24"/>
        </w:rPr>
        <w:t xml:space="preserve">. It is the site of so much activism, sorrow, frustration, and joy that characterised BFYA </w:t>
      </w:r>
      <w:r w:rsidRPr="00662E51">
        <w:rPr>
          <w:rFonts w:cs="Arial"/>
          <w:szCs w:val="24"/>
        </w:rPr>
        <w:fldChar w:fldCharType="begin"/>
      </w:r>
      <w:r w:rsidR="008835AB" w:rsidRPr="00662E51">
        <w:rPr>
          <w:rFonts w:cs="Arial"/>
          <w:szCs w:val="24"/>
        </w:rPr>
        <w:instrText xml:space="preserve"> ADDIN ZOTERO_ITEM CSL_CITATION {"citationID":"2mZwy8g0","properties":{"formattedCitation":"(Williams 1994)","plainCitation":"(Williams 1994)","noteIndex":0},"citationItems":[{"id":5315,"uris":["http://zotero.org/users/8977980/items/Q3WDKSWW"],"itemData":{"id":5315,"type":"book","abstract":"KEEPER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DREAM","author":[{"family":"Williams","given":"Paul"}],"accessed":{"date-parts":[["2023",10,12]]},"issued":{"date-parts":[["1994"]]}}}],"schema":"https://github.com/citation-style-language/schema/raw/master/csl-citation.json"} </w:instrText>
      </w:r>
      <w:r w:rsidRPr="00662E51">
        <w:rPr>
          <w:rFonts w:cs="Arial"/>
          <w:szCs w:val="24"/>
        </w:rPr>
        <w:fldChar w:fldCharType="separate"/>
      </w:r>
      <w:r w:rsidR="0095662D" w:rsidRPr="00662E51">
        <w:t xml:space="preserve">(Williams </w:t>
      </w:r>
      <w:r w:rsidR="0095662D" w:rsidRPr="00662E51">
        <w:lastRenderedPageBreak/>
        <w:t>1994)</w:t>
      </w:r>
      <w:r w:rsidRPr="00662E51">
        <w:rPr>
          <w:rFonts w:cs="Arial"/>
          <w:szCs w:val="24"/>
        </w:rPr>
        <w:fldChar w:fldCharType="end"/>
      </w:r>
      <w:r w:rsidRPr="00662E51">
        <w:rPr>
          <w:rFonts w:cs="Arial"/>
          <w:szCs w:val="24"/>
        </w:rPr>
        <w:t xml:space="preserve">. Such rich data was only accessible through physically moving through the space and keenly observing its built environment.  </w:t>
      </w:r>
    </w:p>
    <w:p w14:paraId="29FF6ABF" w14:textId="17C5C67D" w:rsidR="00C55AB4" w:rsidRPr="00662E51" w:rsidRDefault="00614B9B" w:rsidP="00F56305">
      <w:pPr>
        <w:spacing w:line="360" w:lineRule="auto"/>
        <w:ind w:left="0" w:firstLine="720"/>
        <w:contextualSpacing/>
        <w:rPr>
          <w:rFonts w:cs="Arial"/>
          <w:szCs w:val="24"/>
        </w:rPr>
      </w:pPr>
      <w:r w:rsidRPr="00662E51">
        <w:rPr>
          <w:rFonts w:cs="Arial"/>
          <w:noProof/>
          <w:szCs w:val="24"/>
        </w:rPr>
        <w:drawing>
          <wp:anchor distT="0" distB="0" distL="114300" distR="114300" simplePos="0" relativeHeight="251655186" behindDoc="1" locked="0" layoutInCell="1" allowOverlap="1" wp14:anchorId="4657970A" wp14:editId="21BB67B8">
            <wp:simplePos x="0" y="0"/>
            <wp:positionH relativeFrom="column">
              <wp:posOffset>3175</wp:posOffset>
            </wp:positionH>
            <wp:positionV relativeFrom="paragraph">
              <wp:posOffset>3975735</wp:posOffset>
            </wp:positionV>
            <wp:extent cx="5753100" cy="4505325"/>
            <wp:effectExtent l="0" t="0" r="0" b="9525"/>
            <wp:wrapTight wrapText="bothSides">
              <wp:wrapPolygon edited="0">
                <wp:start x="0" y="0"/>
                <wp:lineTo x="0" y="21554"/>
                <wp:lineTo x="21528" y="21554"/>
                <wp:lineTo x="21528" y="0"/>
                <wp:lineTo x="0" y="0"/>
              </wp:wrapPolygon>
            </wp:wrapTight>
            <wp:docPr id="44071285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12852" name="Picture 1" descr="A map of a city&#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753100" cy="4505325"/>
                    </a:xfrm>
                    <a:prstGeom prst="rect">
                      <a:avLst/>
                    </a:prstGeom>
                  </pic:spPr>
                </pic:pic>
              </a:graphicData>
            </a:graphic>
            <wp14:sizeRelH relativeFrom="page">
              <wp14:pctWidth>0</wp14:pctWidth>
            </wp14:sizeRelH>
            <wp14:sizeRelV relativeFrom="page">
              <wp14:pctHeight>0</wp14:pctHeight>
            </wp14:sizeRelV>
          </wp:anchor>
        </w:drawing>
      </w:r>
      <w:r w:rsidRPr="00662E51">
        <w:rPr>
          <w:noProof/>
        </w:rPr>
        <mc:AlternateContent>
          <mc:Choice Requires="wps">
            <w:drawing>
              <wp:anchor distT="0" distB="0" distL="114300" distR="114300" simplePos="0" relativeHeight="251655187" behindDoc="1" locked="0" layoutInCell="1" allowOverlap="1" wp14:anchorId="60280214" wp14:editId="2D86CDDE">
                <wp:simplePos x="0" y="0"/>
                <wp:positionH relativeFrom="column">
                  <wp:posOffset>3175</wp:posOffset>
                </wp:positionH>
                <wp:positionV relativeFrom="paragraph">
                  <wp:posOffset>8538523</wp:posOffset>
                </wp:positionV>
                <wp:extent cx="5753100" cy="635"/>
                <wp:effectExtent l="0" t="0" r="0" b="0"/>
                <wp:wrapTight wrapText="bothSides">
                  <wp:wrapPolygon edited="0">
                    <wp:start x="0" y="0"/>
                    <wp:lineTo x="0" y="18900"/>
                    <wp:lineTo x="21528" y="18900"/>
                    <wp:lineTo x="21528" y="0"/>
                    <wp:lineTo x="0" y="0"/>
                  </wp:wrapPolygon>
                </wp:wrapTight>
                <wp:docPr id="1507540000" name="Text Box 1"/>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203F5776" w14:textId="6F8484C9" w:rsidR="00C232CA" w:rsidRPr="00662E51" w:rsidRDefault="00C232CA" w:rsidP="009B2F76">
                            <w:pPr>
                              <w:pStyle w:val="Caption"/>
                              <w:rPr>
                                <w:rFonts w:cs="Arial"/>
                              </w:rPr>
                            </w:pPr>
                            <w:bookmarkStart w:id="250" w:name="_Toc216875900"/>
                            <w:r w:rsidRPr="00662E51">
                              <w:t xml:space="preserve">Figure </w:t>
                            </w:r>
                            <w:r>
                              <w:fldChar w:fldCharType="begin"/>
                            </w:r>
                            <w:r>
                              <w:instrText>SEQ Figure \* ARABIC</w:instrText>
                            </w:r>
                            <w:r>
                              <w:fldChar w:fldCharType="separate"/>
                            </w:r>
                            <w:r w:rsidRPr="00662E51">
                              <w:t>8</w:t>
                            </w:r>
                            <w:r>
                              <w:fldChar w:fldCharType="end"/>
                            </w:r>
                            <w:r w:rsidRPr="00662E51">
                              <w:t xml:space="preserve"> - Northumberland Park Ward. Made by author using Open Streets Map.</w:t>
                            </w:r>
                          </w:p>
                          <w:p w14:paraId="390B13AC" w14:textId="77777777" w:rsidR="00C232CA" w:rsidRDefault="00C232CA"/>
                          <w:p w14:paraId="78FE8419" w14:textId="77777777" w:rsidR="00405A6C" w:rsidRPr="00662E51" w:rsidRDefault="00405A6C" w:rsidP="00EE3125">
                            <w:pPr>
                              <w:pStyle w:val="Caption"/>
                              <w:ind w:left="720"/>
                              <w:rPr>
                                <w:rFonts w:ascii="Times New Roman" w:eastAsia="Times New Roman" w:hAnsi="Times New Roman" w:cs="Times New Roman"/>
                                <w:kern w:val="0"/>
                                <w14:ligatures w14:val="none"/>
                              </w:rPr>
                            </w:pPr>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p>
                          <w:p w14:paraId="571EB262" w14:textId="77777777" w:rsidR="00405A6C" w:rsidRDefault="00405A6C"/>
                          <w:p w14:paraId="09FDD6CF" w14:textId="4FAE4AD1" w:rsidR="00C232CA" w:rsidRPr="00662E51" w:rsidRDefault="00405A6C" w:rsidP="009B2F76">
                            <w:pPr>
                              <w:pStyle w:val="Caption"/>
                              <w:rPr>
                                <w:rFonts w:cs="Arial"/>
                              </w:rPr>
                            </w:pPr>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r w:rsidR="00C232CA" w:rsidRPr="00662E51">
                              <w:t xml:space="preserve">Figure </w:t>
                            </w:r>
                            <w:r w:rsidR="00C232CA">
                              <w:fldChar w:fldCharType="begin"/>
                            </w:r>
                            <w:r w:rsidR="00C232CA">
                              <w:instrText>SEQ Figure \* ARABIC</w:instrText>
                            </w:r>
                            <w:r w:rsidR="00C232CA">
                              <w:fldChar w:fldCharType="separate"/>
                            </w:r>
                            <w:r w:rsidR="00C232CA" w:rsidRPr="00662E51">
                              <w:t>8</w:t>
                            </w:r>
                            <w:r w:rsidR="00C232CA">
                              <w:fldChar w:fldCharType="end"/>
                            </w:r>
                            <w:r w:rsidR="00C232CA" w:rsidRPr="00662E51">
                              <w:t xml:space="preserve"> - Northumberland Park Ward. Made by author using Open Streets Map.</w:t>
                            </w:r>
                            <w:bookmarkEnd w:id="2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280214" id="_x0000_s1034" type="#_x0000_t202" style="position:absolute;left:0;text-align:left;margin-left:.25pt;margin-top:672.3pt;width:453pt;height:.05pt;z-index:-251661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" stroked="f">
                <v:textbox style="mso-fit-shape-to-text:t" inset="0,0,0,0">
                  <w:txbxContent>
                    <w:p w14:paraId="203F5776" w14:textId="6F8484C9" w:rsidR="00C232CA" w:rsidRPr="00662E51" w:rsidRDefault="00C232CA" w:rsidP="009B2F76">
                      <w:pPr>
                        <w:pStyle w:val="Caption"/>
                        <w:rPr>
                          <w:rFonts w:cs="Arial"/>
                        </w:rPr>
                      </w:pPr>
                      <w:bookmarkStart w:id="251" w:name="_Toc216875900"/>
                      <w:r w:rsidRPr="00662E51">
                        <w:t xml:space="preserve">Figure </w:t>
                      </w:r>
                      <w:r>
                        <w:fldChar w:fldCharType="begin"/>
                      </w:r>
                      <w:r>
                        <w:instrText>SEQ Figure \* ARABIC</w:instrText>
                      </w:r>
                      <w:r>
                        <w:fldChar w:fldCharType="separate"/>
                      </w:r>
                      <w:r w:rsidRPr="00662E51">
                        <w:t>8</w:t>
                      </w:r>
                      <w:r>
                        <w:fldChar w:fldCharType="end"/>
                      </w:r>
                      <w:r w:rsidRPr="00662E51">
                        <w:t xml:space="preserve"> - Northumberland Park Ward. Made by author using Open Streets Map.</w:t>
                      </w:r>
                    </w:p>
                    <w:p w14:paraId="390B13AC" w14:textId="77777777" w:rsidR="00C232CA" w:rsidRDefault="00C232CA"/>
                    <w:p w14:paraId="78FE8419" w14:textId="77777777" w:rsidR="00405A6C" w:rsidRPr="00662E51" w:rsidRDefault="00405A6C" w:rsidP="00EE3125">
                      <w:pPr>
                        <w:pStyle w:val="Caption"/>
                        <w:ind w:left="720"/>
                        <w:rPr>
                          <w:rFonts w:ascii="Times New Roman" w:eastAsia="Times New Roman" w:hAnsi="Times New Roman" w:cs="Times New Roman"/>
                          <w:kern w:val="0"/>
                          <w14:ligatures w14:val="none"/>
                        </w:rPr>
                      </w:pPr>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p>
                    <w:p w14:paraId="571EB262" w14:textId="77777777" w:rsidR="00405A6C" w:rsidRDefault="00405A6C"/>
                    <w:p w14:paraId="09FDD6CF" w14:textId="4FAE4AD1" w:rsidR="00C232CA" w:rsidRPr="00662E51" w:rsidRDefault="00405A6C" w:rsidP="009B2F76">
                      <w:pPr>
                        <w:pStyle w:val="Caption"/>
                        <w:rPr>
                          <w:rFonts w:cs="Arial"/>
                        </w:rPr>
                      </w:pPr>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r w:rsidR="00C232CA" w:rsidRPr="00662E51">
                        <w:t xml:space="preserve">Figure </w:t>
                      </w:r>
                      <w:r w:rsidR="00C232CA">
                        <w:fldChar w:fldCharType="begin"/>
                      </w:r>
                      <w:r w:rsidR="00C232CA">
                        <w:instrText>SEQ Figure \* ARABIC</w:instrText>
                      </w:r>
                      <w:r w:rsidR="00C232CA">
                        <w:fldChar w:fldCharType="separate"/>
                      </w:r>
                      <w:r w:rsidR="00C232CA" w:rsidRPr="00662E51">
                        <w:t>8</w:t>
                      </w:r>
                      <w:r w:rsidR="00C232CA">
                        <w:fldChar w:fldCharType="end"/>
                      </w:r>
                      <w:r w:rsidR="00C232CA" w:rsidRPr="00662E51">
                        <w:t xml:space="preserve"> - Northumberland Park Ward. Made by author using Open Streets Map.</w:t>
                      </w:r>
                      <w:bookmarkEnd w:id="251"/>
                    </w:p>
                  </w:txbxContent>
                </v:textbox>
                <w10:wrap type="tight"/>
              </v:shape>
            </w:pict>
          </mc:Fallback>
        </mc:AlternateContent>
      </w:r>
      <w:r w:rsidR="00DD4E74" w:rsidRPr="00662E51">
        <w:rPr>
          <w:rFonts w:cs="Arial"/>
          <w:szCs w:val="24"/>
        </w:rPr>
        <w:t xml:space="preserve">Northumberland Park </w:t>
      </w:r>
      <w:r w:rsidR="00DE6BAD">
        <w:rPr>
          <w:rFonts w:cs="Arial"/>
          <w:szCs w:val="24"/>
        </w:rPr>
        <w:t>was</w:t>
      </w:r>
      <w:r w:rsidR="00DD4E74" w:rsidRPr="00662E51">
        <w:rPr>
          <w:rFonts w:cs="Arial"/>
          <w:szCs w:val="24"/>
        </w:rPr>
        <w:t xml:space="preserve"> one of the estates slated to be demolished under the Development Vehicle and is also the location of my weekly foodbank volunteering. While the ward (see Figure </w:t>
      </w:r>
      <w:r w:rsidR="009F170B" w:rsidRPr="00662E51">
        <w:rPr>
          <w:rFonts w:cs="Arial"/>
          <w:szCs w:val="24"/>
        </w:rPr>
        <w:t>8</w:t>
      </w:r>
      <w:r w:rsidR="00DD4E74" w:rsidRPr="00662E51">
        <w:rPr>
          <w:rFonts w:cs="Arial"/>
          <w:szCs w:val="24"/>
        </w:rPr>
        <w:t xml:space="preserve">) contains more than just council property, my walks almost entirely focused on the council estates within the ward, which comprises nearly 1,000 homes </w:t>
      </w:r>
      <w:r w:rsidR="00DD4E74" w:rsidRPr="00662E51">
        <w:rPr>
          <w:rFonts w:cs="Arial"/>
          <w:szCs w:val="24"/>
        </w:rPr>
        <w:fldChar w:fldCharType="begin"/>
      </w:r>
      <w:r w:rsidR="00ED54C7" w:rsidRPr="00662E51">
        <w:rPr>
          <w:rFonts w:cs="Arial"/>
          <w:szCs w:val="24"/>
        </w:rPr>
        <w:instrText xml:space="preserve"> ADDIN ZOTERO_ITEM CSL_CITATION {"citationID":"W8rzwnyJ","properties":{"formattedCitation":"(\\uc0\\u8216{}EstateWatch\\uc0\\u8217{}, n.d.)","plainCitation":"(‘EstateWatch’, n.d.)","noteIndex":0},"citationItems":[{"id":6901,"uris":["http://zotero.org/users/8977980/items/Q6CB82QM"],"itemData":{"id":6901,"type":"webpage","title":"EstateWatch","URL":"https://estatewatch.london/","accessed":{"date-parts":[["2025",9,10]]}}}],"schema":"https://github.com/citation-style-language/schema/raw/master/csl-citation.json"} </w:instrText>
      </w:r>
      <w:r w:rsidR="00DD4E74" w:rsidRPr="00662E51">
        <w:rPr>
          <w:rFonts w:cs="Arial"/>
          <w:szCs w:val="24"/>
        </w:rPr>
        <w:fldChar w:fldCharType="separate"/>
      </w:r>
      <w:r w:rsidR="0095662D" w:rsidRPr="00662E51">
        <w:rPr>
          <w:rFonts w:cs="Times New Roman"/>
          <w:kern w:val="0"/>
        </w:rPr>
        <w:t>(‘EstateWatch’, n.d.)</w:t>
      </w:r>
      <w:r w:rsidR="00DD4E74" w:rsidRPr="00662E51">
        <w:rPr>
          <w:rFonts w:cs="Arial"/>
          <w:szCs w:val="24"/>
        </w:rPr>
        <w:fldChar w:fldCharType="end"/>
      </w:r>
      <w:r w:rsidR="00DD4E74" w:rsidRPr="00662E51">
        <w:rPr>
          <w:rFonts w:cs="Arial"/>
          <w:szCs w:val="24"/>
        </w:rPr>
        <w:t xml:space="preserve">. As I was visiting NP weekly for months, no one route defined my walks. Although iteration is one sensible way to approach walking methods </w:t>
      </w:r>
      <w:r w:rsidR="00DD4E74" w:rsidRPr="00662E51">
        <w:rPr>
          <w:rFonts w:cs="Arial"/>
          <w:szCs w:val="24"/>
        </w:rPr>
        <w:fldChar w:fldCharType="begin"/>
      </w:r>
      <w:r w:rsidR="008835AB" w:rsidRPr="00662E51">
        <w:rPr>
          <w:rFonts w:cs="Arial"/>
          <w:szCs w:val="24"/>
        </w:rPr>
        <w:instrText xml:space="preserve"> ADDIN ZOTERO_ITEM CSL_CITATION {"citationID":"ckn7DQrZ","properties":{"formattedCitation":"(Pierce and Lawhon 2015)","plainCitation":"(Pierce and Lawhon 2015)","noteIndex":0},"citationItems":[{"id":6558,"uris":["http://zotero.org/users/8977980/items/QB37DFTG"],"itemData":{"id":6558,"type":"article-journal","abstract":"Qualitative urban geographical research should explicitly acknowledge insights gained from walking (the iterative exploration and observation of cities on foot), which enhances local literacy and enables researchers to compare methods more explicitly. Some urban geographers might use walking as a method, but it is rarely reported in published scholarship. This article argues for the explicit inclusion of walking in methodological reporting for urban research. We suggest that reporting the walking that researchers do adds rigor to research findings and should be distinguished from research where this practice is absent, we report on international experiences using walking in combination with other methods, and we conclude with a proposal for comparable urban geographic walking practices.","container-title":"The Professional Geographer","DOI":"10.1080/00330124.2015.1059401","ISSN":"0033-0124","issue":"4","note":"_eprint: https://doi.org/10.1080/00330124.2015.1059401","page":"655-662","publisher":"Routledge","source":"Taylor and Francis+NEJM","title":"Walking as Method: Toward Methodological Forthrightness and Comparability in Urban Geographical Research","title-short":"Walking as Method","volume":"67","author":[{"family":"Pierce","given":"Joseph"},{"family":"Lawhon","given":"Mary"}],"issued":{"date-parts":[["2015",10,2]]}}}],"schema":"https://github.com/citation-style-language/schema/raw/master/csl-citation.json"} </w:instrText>
      </w:r>
      <w:r w:rsidR="00DD4E74" w:rsidRPr="00662E51">
        <w:rPr>
          <w:rFonts w:cs="Arial"/>
          <w:szCs w:val="24"/>
        </w:rPr>
        <w:fldChar w:fldCharType="separate"/>
      </w:r>
      <w:r w:rsidR="0095662D" w:rsidRPr="00662E51">
        <w:t>(Pierce and Lawhon 2015)</w:t>
      </w:r>
      <w:r w:rsidR="00DD4E74" w:rsidRPr="00662E51">
        <w:rPr>
          <w:rFonts w:cs="Arial"/>
          <w:szCs w:val="24"/>
        </w:rPr>
        <w:fldChar w:fldCharType="end"/>
      </w:r>
      <w:r w:rsidR="00DD4E74" w:rsidRPr="00662E51">
        <w:rPr>
          <w:rFonts w:cs="Arial"/>
          <w:szCs w:val="24"/>
        </w:rPr>
        <w:t xml:space="preserve">, I struggled to repeat routes. Walks necessarily meander </w:t>
      </w:r>
      <w:r w:rsidR="00DD4E74" w:rsidRPr="00662E51">
        <w:rPr>
          <w:rFonts w:cs="Arial"/>
          <w:szCs w:val="24"/>
        </w:rPr>
        <w:fldChar w:fldCharType="begin"/>
      </w:r>
      <w:r w:rsidR="00DD4E74" w:rsidRPr="00662E51">
        <w:rPr>
          <w:rFonts w:cs="Arial"/>
          <w:szCs w:val="24"/>
        </w:rPr>
        <w:instrText xml:space="preserve"> ADDIN ZOTERO_ITEM CSL_CITATION {"citationID":"zqDvUJgI","properties":{"formattedCitation":"(Youatt 2022)","plainCitation":"(Youatt 2022)","noteIndex":0},"citationItems":[{"id":6554,"uris":["http://zotero.org/users/8977980/items/ZDQ2DK4L"],"itemData":{"id":6554,"type":"article-journal","abstract":"Walking is a nearly universal activity, even given the many contrivances invented to avoid it, yet it is widely absent from the sedentarist disciplines of politics and international relations. This absence is perhaps not surprising, given that so much political thought and practice are deeply tethered to the inventions of the boot and the chair that remove walking from our view, as Tim Ingold has observed. Yet, given the significance of events such as forced death marches as parts of war and genocide; formative collective walks such as Gandhi's march to the sea, the Long March in China, or the Selma to Montgomery marches; or the everyday politics of walking in global cities, such absence might be mistaken. This article suggests instead that walking be understood as integral to the operation of internationality. In particular, it argues that walking is part of a mobile field of power and agency that generates, stabilizes, and unsettles internationality in equal parts. The article diagrams some key conceptual nodes of walking and political power, and then traces their operation in the case of the Long Walk of the Navajo.","container-title":"International Political Sociology","DOI":"10.1093/ips/olac018","ISSN":"1749-5679","issue":"4","journalAbbreviation":"International Political Sociology","page":"olac018","source":"Silverchair","title":"Walking the International","volume":"16","author":[{"family":"Youatt","given":"Rafi"}],"issued":{"date-parts":[["2022",12,1]]}}}],"schema":"https://github.com/citation-style-language/schema/raw/master/csl-citation.json"} </w:instrText>
      </w:r>
      <w:r w:rsidR="00DD4E74" w:rsidRPr="00662E51">
        <w:rPr>
          <w:rFonts w:cs="Arial"/>
          <w:szCs w:val="24"/>
        </w:rPr>
        <w:fldChar w:fldCharType="separate"/>
      </w:r>
      <w:r w:rsidR="0095662D" w:rsidRPr="00662E51">
        <w:t>(Youatt 2022)</w:t>
      </w:r>
      <w:r w:rsidR="00DD4E74" w:rsidRPr="00662E51">
        <w:rPr>
          <w:rFonts w:cs="Arial"/>
          <w:szCs w:val="24"/>
        </w:rPr>
        <w:fldChar w:fldCharType="end"/>
      </w:r>
      <w:r w:rsidR="00DD4E74" w:rsidRPr="00662E51">
        <w:rPr>
          <w:rFonts w:cs="Arial"/>
          <w:szCs w:val="24"/>
        </w:rPr>
        <w:t xml:space="preserve"> but often I found myself unable to observe anything particularly ‘new’ throughout attempted iterations. My notes at NP were very detailed, though, taking up around 20 percent of the overall notes. </w:t>
      </w:r>
      <w:r w:rsidR="000F3E6B" w:rsidRPr="00662E51">
        <w:rPr>
          <w:rFonts w:cs="Arial"/>
          <w:szCs w:val="24"/>
        </w:rPr>
        <w:t>The High Road West order lands (</w:t>
      </w:r>
      <w:r w:rsidR="00CA5FF8" w:rsidRPr="00662E51">
        <w:rPr>
          <w:rFonts w:cs="Arial"/>
          <w:szCs w:val="24"/>
        </w:rPr>
        <w:t xml:space="preserve">Appendix </w:t>
      </w:r>
      <w:r w:rsidR="0040489C" w:rsidRPr="00662E51">
        <w:rPr>
          <w:rFonts w:cs="Arial"/>
          <w:szCs w:val="24"/>
        </w:rPr>
        <w:t>B</w:t>
      </w:r>
      <w:r w:rsidR="000F3E6B" w:rsidRPr="00662E51">
        <w:rPr>
          <w:rFonts w:cs="Arial"/>
          <w:szCs w:val="24"/>
        </w:rPr>
        <w:t xml:space="preserve">) refers to the area in Tottenham that is subject to the Council’s Compulsory Purchase Order (Chapter </w:t>
      </w:r>
      <w:r w:rsidR="00DD73E1" w:rsidRPr="00662E51">
        <w:rPr>
          <w:rFonts w:cs="Arial"/>
          <w:szCs w:val="24"/>
        </w:rPr>
        <w:t>7)</w:t>
      </w:r>
      <w:r w:rsidR="000F3E6B" w:rsidRPr="00662E51">
        <w:rPr>
          <w:rFonts w:cs="Arial"/>
          <w:szCs w:val="24"/>
        </w:rPr>
        <w:t xml:space="preserve">. It is a roughly 1-kilometre square region bounded by Brereton </w:t>
      </w:r>
      <w:r w:rsidR="000F3E6B" w:rsidRPr="00662E51">
        <w:rPr>
          <w:rFonts w:cs="Arial"/>
          <w:szCs w:val="24"/>
        </w:rPr>
        <w:lastRenderedPageBreak/>
        <w:t xml:space="preserve">Road, the rail line, White Hart Lane, and the High Road. Its significance lies in what it contains—the 300 homes of the Love Lane estate. I walked this region over one day in January 2024, taking three-to-four pages of </w:t>
      </w:r>
      <w:r w:rsidR="00C55AB4" w:rsidRPr="00662E51">
        <w:rPr>
          <w:rFonts w:cs="Arial"/>
          <w:szCs w:val="24"/>
        </w:rPr>
        <w:t xml:space="preserve">single-spaced </w:t>
      </w:r>
      <w:r w:rsidR="000F3E6B" w:rsidRPr="00662E51">
        <w:rPr>
          <w:rFonts w:cs="Arial"/>
          <w:szCs w:val="24"/>
        </w:rPr>
        <w:t xml:space="preserve">notes. </w:t>
      </w:r>
      <w:r w:rsidR="00C55AB4" w:rsidRPr="00662E51">
        <w:rPr>
          <w:rFonts w:cs="Arial"/>
          <w:szCs w:val="24"/>
        </w:rPr>
        <w:t>These notes mostly concentrated on the current aesthetics of the estate, its architecture, and what ‘signs of life’ there were. Two examples are below. The first is from the beginning of my order lands walk.</w:t>
      </w:r>
    </w:p>
    <w:p w14:paraId="5A1EC261" w14:textId="77777777" w:rsidR="00C55AB4" w:rsidRPr="00662E51" w:rsidRDefault="00C55AB4" w:rsidP="009B2F76">
      <w:pPr>
        <w:ind w:left="0" w:firstLine="720"/>
        <w:contextualSpacing/>
        <w:rPr>
          <w:rFonts w:cs="Arial"/>
          <w:szCs w:val="24"/>
        </w:rPr>
      </w:pPr>
    </w:p>
    <w:p w14:paraId="46AEED24" w14:textId="6C8A94DE" w:rsidR="00C55AB4" w:rsidRPr="00662E51" w:rsidRDefault="00C55AB4" w:rsidP="009B2F76">
      <w:pPr>
        <w:ind w:left="720"/>
        <w:contextualSpacing/>
        <w:rPr>
          <w:rFonts w:cs="Arial"/>
          <w:szCs w:val="24"/>
        </w:rPr>
      </w:pPr>
      <w:r w:rsidRPr="00662E51">
        <w:rPr>
          <w:rFonts w:cs="Arial"/>
          <w:szCs w:val="24"/>
        </w:rPr>
        <w:t>“I walk past some council buildings. There’s a bit of trash on the ground—someone left some bags—but otherwise everything looks as normal. Yes, it’s a bit outdated but it’s not aesthetically ugly or anything. As I’ve seen elsewhere, there are some doors with Ring bells on them. I saw two Lime bikes strewn on the floor but again this is just typical London. I’ll say, it’s a relatively well kept-up street considering what one normally hears.</w:t>
      </w:r>
      <w:r w:rsidR="007968CA" w:rsidRPr="00662E51">
        <w:rPr>
          <w:rFonts w:cs="Arial"/>
          <w:szCs w:val="24"/>
        </w:rPr>
        <w:t xml:space="preserve"> As I kept walking down, I noticed a large sign about ASB</w:t>
      </w:r>
      <w:r w:rsidR="00142A8B" w:rsidRPr="00BD17AF">
        <w:rPr>
          <w:rStyle w:val="FootnoteReference"/>
        </w:rPr>
        <w:footnoteReference w:id="44"/>
      </w:r>
      <w:r w:rsidR="007968CA" w:rsidRPr="00662E51">
        <w:rPr>
          <w:rFonts w:cs="Arial"/>
          <w:szCs w:val="24"/>
        </w:rPr>
        <w:t xml:space="preserve"> right before the street turns left—see picture. Some rubbish again, but again typical big city.</w:t>
      </w:r>
      <w:r w:rsidRPr="00662E51">
        <w:rPr>
          <w:rFonts w:cs="Arial"/>
          <w:szCs w:val="24"/>
        </w:rPr>
        <w:t>”</w:t>
      </w:r>
    </w:p>
    <w:p w14:paraId="3FCC4A0E" w14:textId="77777777" w:rsidR="00C55AB4" w:rsidRPr="00662E51" w:rsidRDefault="00C55AB4" w:rsidP="009B2F76">
      <w:pPr>
        <w:ind w:left="720"/>
        <w:contextualSpacing/>
        <w:rPr>
          <w:rFonts w:cs="Arial"/>
          <w:szCs w:val="24"/>
        </w:rPr>
      </w:pPr>
    </w:p>
    <w:p w14:paraId="1B41DBF9" w14:textId="77777777" w:rsidR="00C55AB4" w:rsidRPr="00662E51" w:rsidRDefault="00C55AB4" w:rsidP="00F56305">
      <w:pPr>
        <w:spacing w:line="360" w:lineRule="auto"/>
        <w:ind w:left="0"/>
        <w:contextualSpacing/>
        <w:rPr>
          <w:rFonts w:cs="Arial"/>
          <w:szCs w:val="24"/>
        </w:rPr>
      </w:pPr>
      <w:r w:rsidRPr="00662E51">
        <w:rPr>
          <w:rFonts w:cs="Arial"/>
          <w:szCs w:val="24"/>
        </w:rPr>
        <w:t>The next snippet is from about 30 minutes later:</w:t>
      </w:r>
    </w:p>
    <w:p w14:paraId="3D72D35F" w14:textId="77777777" w:rsidR="00C55AB4" w:rsidRPr="00662E51" w:rsidRDefault="00C55AB4" w:rsidP="009B2F76">
      <w:pPr>
        <w:ind w:left="0"/>
        <w:contextualSpacing/>
        <w:rPr>
          <w:rFonts w:cs="Arial"/>
          <w:szCs w:val="24"/>
        </w:rPr>
      </w:pPr>
    </w:p>
    <w:p w14:paraId="48A08D9D" w14:textId="42A4D716" w:rsidR="00C55AB4" w:rsidRPr="00662E51" w:rsidRDefault="00C55AB4" w:rsidP="009B2F76">
      <w:pPr>
        <w:ind w:left="720"/>
        <w:contextualSpacing/>
        <w:rPr>
          <w:rFonts w:cs="Arial"/>
          <w:szCs w:val="24"/>
        </w:rPr>
      </w:pPr>
      <w:r w:rsidRPr="00662E51">
        <w:rPr>
          <w:rFonts w:cs="Arial"/>
          <w:szCs w:val="24"/>
        </w:rPr>
        <w:t>“I go left back onto Whitehall Street to head towards</w:t>
      </w:r>
      <w:r w:rsidR="00247774" w:rsidRPr="00662E51">
        <w:rPr>
          <w:rFonts w:cs="Arial"/>
          <w:szCs w:val="24"/>
        </w:rPr>
        <w:t xml:space="preserve"> White Hart Lane</w:t>
      </w:r>
      <w:r w:rsidRPr="00662E51">
        <w:rPr>
          <w:rFonts w:cs="Arial"/>
          <w:szCs w:val="24"/>
        </w:rPr>
        <w:t xml:space="preserve"> station, passing by the Whitehall Mews site. They’ve put a temporary shelter there for construction workers and there are two </w:t>
      </w:r>
      <w:r w:rsidR="00247774" w:rsidRPr="00662E51">
        <w:rPr>
          <w:rFonts w:cs="Arial"/>
          <w:szCs w:val="24"/>
        </w:rPr>
        <w:t>vans</w:t>
      </w:r>
      <w:r w:rsidRPr="00662E51">
        <w:rPr>
          <w:rFonts w:cs="Arial"/>
          <w:szCs w:val="24"/>
        </w:rPr>
        <w:t xml:space="preserve"> parked in there with big stickers that say “K9 Security”, leading me to think the council are feeling nervous about something.  I walk the parcel of the old pub that used to be here. Looks ugly—trash everywhere, hasn’t been cleaned.</w:t>
      </w:r>
      <w:r w:rsidR="00F0250F" w:rsidRPr="00662E51">
        <w:rPr>
          <w:rFonts w:cs="Arial"/>
          <w:szCs w:val="24"/>
        </w:rPr>
        <w:t xml:space="preserve"> I see a third CPO</w:t>
      </w:r>
      <w:r w:rsidR="00247774" w:rsidRPr="00BD17AF">
        <w:rPr>
          <w:rStyle w:val="FootnoteReference"/>
        </w:rPr>
        <w:footnoteReference w:id="45"/>
      </w:r>
      <w:r w:rsidR="00F0250F" w:rsidRPr="00662E51">
        <w:rPr>
          <w:rFonts w:cs="Arial"/>
          <w:szCs w:val="24"/>
        </w:rPr>
        <w:t xml:space="preserve"> notice, again fixed to a lamp on the corner of Love Lane and Whitehall Street. I turn left on to Love Lane, to go past the Overground station. The pub site is still empty but has a</w:t>
      </w:r>
      <w:r w:rsidR="00BB3510">
        <w:rPr>
          <w:rFonts w:cs="Arial"/>
          <w:szCs w:val="24"/>
        </w:rPr>
        <w:t xml:space="preserve"> van </w:t>
      </w:r>
      <w:r w:rsidR="00F0250F" w:rsidRPr="00662E51">
        <w:rPr>
          <w:rFonts w:cs="Arial"/>
          <w:szCs w:val="24"/>
        </w:rPr>
        <w:t>like the Whitehall Mews site. I’m again curious—what are they worried about?</w:t>
      </w:r>
      <w:r w:rsidRPr="00662E51">
        <w:rPr>
          <w:rFonts w:cs="Arial"/>
          <w:szCs w:val="24"/>
        </w:rPr>
        <w:t>”</w:t>
      </w:r>
    </w:p>
    <w:p w14:paraId="75A55BF7" w14:textId="77777777" w:rsidR="00C55AB4" w:rsidRPr="00662E51" w:rsidRDefault="00C55AB4" w:rsidP="009B2F76">
      <w:pPr>
        <w:ind w:left="720"/>
        <w:contextualSpacing/>
        <w:rPr>
          <w:rFonts w:cs="Arial"/>
          <w:szCs w:val="24"/>
        </w:rPr>
      </w:pPr>
    </w:p>
    <w:p w14:paraId="526595AD" w14:textId="644A027B" w:rsidR="00C55AB4" w:rsidRPr="00662E51" w:rsidRDefault="00C55AB4" w:rsidP="00F56305">
      <w:pPr>
        <w:spacing w:line="360" w:lineRule="auto"/>
        <w:ind w:left="0"/>
        <w:contextualSpacing/>
        <w:rPr>
          <w:rFonts w:cs="Arial"/>
          <w:szCs w:val="24"/>
        </w:rPr>
      </w:pPr>
      <w:r w:rsidRPr="00662E51">
        <w:rPr>
          <w:rFonts w:cs="Arial"/>
          <w:szCs w:val="24"/>
        </w:rPr>
        <w:t xml:space="preserve">The particular emphasis here was both on generating new questions to ask in interviews and follow in document analysis but also to consider Love Lane’s flows, boundaries, and connections </w:t>
      </w:r>
      <w:r w:rsidRPr="00662E51">
        <w:rPr>
          <w:rFonts w:cs="Arial"/>
          <w:szCs w:val="24"/>
        </w:rPr>
        <w:fldChar w:fldCharType="begin"/>
      </w:r>
      <w:r w:rsidR="008835AB" w:rsidRPr="00662E51">
        <w:rPr>
          <w:rFonts w:cs="Arial"/>
          <w:szCs w:val="24"/>
        </w:rPr>
        <w:instrText xml:space="preserve"> ADDIN ZOTERO_ITEM CSL_CITATION {"citationID":"TqUvWsuA","properties":{"formattedCitation":"(Pierce and Lawhon 2015)","plainCitation":"(Pierce and Lawhon 2015)","noteIndex":0},"citationItems":[{"id":6558,"uris":["http://zotero.org/users/8977980/items/QB37DFTG"],"itemData":{"id":6558,"type":"article-journal","abstract":"Qualitative urban geographical research should explicitly acknowledge insights gained from walking (the iterative exploration and observation of cities on foot), which enhances local literacy and enables researchers to compare methods more explicitly. Some urban geographers might use walking as a method, but it is rarely reported in published scholarship. This article argues for the explicit inclusion of walking in methodological reporting for urban research. We suggest that reporting the walking that researchers do adds rigor to research findings and should be distinguished from research where this practice is absent, we report on international experiences using walking in combination with other methods, and we conclude with a proposal for comparable urban geographic walking practices.","container-title":"The Professional Geographer","DOI":"10.1080/00330124.2015.1059401","ISSN":"0033-0124","issue":"4","note":"_eprint: https://doi.org/10.1080/00330124.2015.1059401","page":"655-662","publisher":"Routledge","source":"Taylor and Francis+NEJM","title":"Walking as Method: Toward Methodological Forthrightness and Comparability in Urban Geographical Research","title-short":"Walking as Method","volume":"67","author":[{"family":"Pierce","given":"Joseph"},{"family":"Lawhon","given":"Mary"}],"issued":{"date-parts":[["2015",10,2]]}}}],"schema":"https://github.com/citation-style-language/schema/raw/master/csl-citation.json"} </w:instrText>
      </w:r>
      <w:r w:rsidRPr="00662E51">
        <w:rPr>
          <w:rFonts w:cs="Arial"/>
          <w:szCs w:val="24"/>
        </w:rPr>
        <w:fldChar w:fldCharType="separate"/>
      </w:r>
      <w:r w:rsidR="0095662D" w:rsidRPr="00662E51">
        <w:t>(Pierce and Lawhon 2015)</w:t>
      </w:r>
      <w:r w:rsidRPr="00662E51">
        <w:rPr>
          <w:rFonts w:cs="Arial"/>
          <w:szCs w:val="24"/>
        </w:rPr>
        <w:fldChar w:fldCharType="end"/>
      </w:r>
      <w:r w:rsidRPr="00662E51">
        <w:rPr>
          <w:rFonts w:cs="Arial"/>
          <w:szCs w:val="24"/>
        </w:rPr>
        <w:t>. For instance, I took note of where the order lands were clearly demarcated and where they were not:</w:t>
      </w:r>
    </w:p>
    <w:p w14:paraId="68A8E25F" w14:textId="77777777" w:rsidR="00C55AB4" w:rsidRPr="00662E51" w:rsidRDefault="00C55AB4" w:rsidP="009B2F76">
      <w:pPr>
        <w:ind w:left="0"/>
        <w:contextualSpacing/>
        <w:rPr>
          <w:rFonts w:cs="Arial"/>
          <w:szCs w:val="24"/>
        </w:rPr>
      </w:pPr>
    </w:p>
    <w:p w14:paraId="1E2BFF4B" w14:textId="2976E7E5" w:rsidR="00C55AB4" w:rsidRPr="00662E51" w:rsidRDefault="00C55AB4" w:rsidP="009B2F76">
      <w:pPr>
        <w:ind w:left="720"/>
        <w:contextualSpacing/>
        <w:rPr>
          <w:rFonts w:cs="Arial"/>
          <w:szCs w:val="24"/>
        </w:rPr>
      </w:pPr>
      <w:r w:rsidRPr="00662E51">
        <w:rPr>
          <w:rFonts w:cs="Arial"/>
          <w:szCs w:val="24"/>
        </w:rPr>
        <w:t xml:space="preserve">“I make a right onto Whitehall Street and quickly see another CPO notice. I’ve been here before as it’s adjacent to Whitehall Mews. I make a left onto Tenderton Road, and cut a right into the courtyard on my right. The left building is not CPO'd while the right one is. I don’t really get why one is getting CPO’d and the other isn’t especially because they don’t look all that </w:t>
      </w:r>
      <w:r w:rsidRPr="00662E51">
        <w:rPr>
          <w:rFonts w:cs="Arial"/>
          <w:szCs w:val="24"/>
        </w:rPr>
        <w:lastRenderedPageBreak/>
        <w:t xml:space="preserve">different in terms of aesthetics, quality, or </w:t>
      </w:r>
      <w:r w:rsidR="00777E8D">
        <w:rPr>
          <w:rFonts w:cs="Arial"/>
          <w:szCs w:val="24"/>
        </w:rPr>
        <w:t>anything interesting</w:t>
      </w:r>
      <w:r w:rsidRPr="00662E51">
        <w:rPr>
          <w:rFonts w:cs="Arial"/>
          <w:szCs w:val="24"/>
        </w:rPr>
        <w:t>. The three other sides of the courtyard are 100% not the same as the CPO’d side but I can’t make out the difference.</w:t>
      </w:r>
      <w:r w:rsidR="00C41486" w:rsidRPr="00662E51">
        <w:rPr>
          <w:rFonts w:cs="Arial"/>
          <w:szCs w:val="24"/>
        </w:rPr>
        <w:t xml:space="preserve"> Obviously, I feel bad for the people who are going to be living right next to construction site. I walk through the courtyard and then turn right to go towards Whitehall Mews, which I’m not going to discuss again here. I noticed that the CPO documents list a community centre here but I didn't really see one. Then I saw a guy smoking at its entrance and saw it was there just tucked in there.</w:t>
      </w:r>
      <w:r w:rsidRPr="00662E51">
        <w:rPr>
          <w:rFonts w:cs="Arial"/>
          <w:szCs w:val="24"/>
        </w:rPr>
        <w:t>”</w:t>
      </w:r>
    </w:p>
    <w:p w14:paraId="18ED93E0" w14:textId="77777777" w:rsidR="00C55AB4" w:rsidRPr="00662E51" w:rsidRDefault="00C55AB4" w:rsidP="009B2F76">
      <w:pPr>
        <w:ind w:left="720"/>
        <w:contextualSpacing/>
        <w:rPr>
          <w:rFonts w:cs="Arial"/>
          <w:szCs w:val="24"/>
        </w:rPr>
      </w:pPr>
    </w:p>
    <w:p w14:paraId="6D4EB19E" w14:textId="69EFF010" w:rsidR="00C55AB4" w:rsidRPr="00662E51" w:rsidRDefault="00C55AB4" w:rsidP="00F56305">
      <w:pPr>
        <w:spacing w:line="360" w:lineRule="auto"/>
        <w:ind w:left="0"/>
        <w:contextualSpacing/>
        <w:rPr>
          <w:rFonts w:cs="Arial"/>
          <w:szCs w:val="24"/>
        </w:rPr>
      </w:pPr>
      <w:r w:rsidRPr="00662E51">
        <w:rPr>
          <w:rFonts w:cs="Arial"/>
          <w:szCs w:val="24"/>
        </w:rPr>
        <w:t xml:space="preserve">An emphasis on borders, belonging, and populations ‘let die’ </w:t>
      </w:r>
      <w:r w:rsidR="00375C2F" w:rsidRPr="00662E51">
        <w:rPr>
          <w:rFonts w:cs="Arial"/>
          <w:szCs w:val="24"/>
        </w:rPr>
        <w:fldChar w:fldCharType="begin"/>
      </w:r>
      <w:r w:rsidR="001B2CAA">
        <w:rPr>
          <w:rFonts w:cs="Arial"/>
          <w:szCs w:val="24"/>
        </w:rPr>
        <w:instrText xml:space="preserve"> ADDIN ZOTERO_ITEM CSL_CITATION {"citationID":"vUsd0Ffw","properties":{"formattedCitation":"(Gillespie et al. 2021)","plainCitation":"(Gillespie et al. 2021)","noteIndex":0},"citationItems":[{"id":"n0Saldgp/Pfek5KeZ","uris":["http://zotero.org/users/8977980/items/LK7WKKQI"],"itemData":{"id":"eCLlSK7E/s3s7Ap7C","type":"article-journal","abstract":"Urban scholars have traditionally associated displacement in cities of the global North with gentriﬁcation, generally understood as a class-based process of neighbourhood change. This article expands this scalar focus and adopts the larger scale of the local authority district (in this case the London borough) as its epistemological starting point to study the displacement of homeless people by the local state. Participatory action research was undertaken with housing campaigners in the East London borough of Newham to explore who is being displaced, their experiences of displacement and the impacts of displacement on their lives. Empirically, the article argues that displacement in this case is a product of national welfare state restructuring – or ‘austerity urbanism’ – implemented through a localised regime of ‘welfare chauvinism’ in which some groups are framed as economically unproductive and therefore undeserving of access to social housing. Displacement has the effect of reinforcing the surplus status of these groups by separating them from employment, education and care networks and eroding their physical and mental health. The article draws on research on the biopolitics of surplus populations in the global South to develop an original theorisation of the relationship between welfare state restructuring and displacement. This theorisation reveals that displacement is the spatial expression of a biopolitical shift away from the logic of ‘making live’ associated with the post-war welfare state towards a logic of ‘letting die’ more traditionally associated with postcolonial contexts.","container-title":"Environment and Planning A: Economy and Space","DOI":"10.1177/0308518X211026323","ISSN":"0308-518X, 1472-3409","issue":"7","journalAbbreviation":"Environ Plan A","language":"en","page":"1713-1729","source":"DOI.org (Crossref)","title":"Surplus to the city: Austerity urbanism, displacement and ‘letting die’","title-short":"Surplus to the city","volume":"53","author":[{"family":"Gillespie","given":"Tom"},{"family":"Hardy","given":"Kate"},{"family":"Watt","given":"Paul"}],"issued":{"date-parts":[["2021",10]]}}}],"schema":"https://github.com/citation-style-language/schema/raw/master/csl-citation.json"} </w:instrText>
      </w:r>
      <w:r w:rsidR="00375C2F" w:rsidRPr="00662E51">
        <w:rPr>
          <w:rFonts w:cs="Arial"/>
          <w:szCs w:val="24"/>
        </w:rPr>
        <w:fldChar w:fldCharType="separate"/>
      </w:r>
      <w:r w:rsidR="00C83945" w:rsidRPr="00662E51">
        <w:t>(Gillespie et al. 2021)</w:t>
      </w:r>
      <w:r w:rsidR="00375C2F" w:rsidRPr="00662E51">
        <w:rPr>
          <w:rFonts w:cs="Arial"/>
          <w:szCs w:val="24"/>
        </w:rPr>
        <w:fldChar w:fldCharType="end"/>
      </w:r>
      <w:r w:rsidRPr="00662E51">
        <w:rPr>
          <w:rFonts w:cs="Arial"/>
          <w:szCs w:val="24"/>
        </w:rPr>
        <w:t xml:space="preserve"> came out in this particular walk </w:t>
      </w:r>
      <w:r w:rsidRPr="00662E51">
        <w:rPr>
          <w:rFonts w:cs="Arial"/>
          <w:szCs w:val="24"/>
        </w:rPr>
        <w:fldChar w:fldCharType="begin"/>
      </w:r>
      <w:r w:rsidR="00213B80">
        <w:rPr>
          <w:rFonts w:cs="Arial"/>
          <w:szCs w:val="24"/>
        </w:rPr>
        <w:instrText xml:space="preserve"> ADDIN ZOTERO_ITEM CSL_CITATION {"citationID":"EGyrNy30","properties":{"formattedCitation":"(O. Mason et al. 2023)","plainCitation":"(O. Mason et al. 2023)","noteIndex":0},"citationItems":[{"id":6297,"uris":["http://zotero.org/users/8977980/items/2MEHUSYX"],"itemData":{"id":6297,"type":"article-journal","container-title":"Political Geography","DOI":"10.1016/j.polgeo.2023.102937","ISSN":"0962-6298","journalAbbreviation":"Political Geography","page":"102937","source":"ScienceDirect","title":"Interventions in walking methods in political geography","volume":"106","author":[{"family":"Mason","given":"Olivia"},{"family":"Sarma","given":"Jasnea"},{"family":"Sidaway","given":"James D."},{"family":"Bonnett","given":"Alastair"},{"family":"Hubbard","given":"Phil"},{"family":"Jamil","given":"Ghazala"},{"family":"Middleton","given":"Jennie"},{"family":"O'Neill","given":"Maggie"},{"family":"Riding","given":"James"},{"family":"Rose","given":"Morag"}],"issued":{"date-parts":[["2023",10,1]]}}}],"schema":"https://github.com/citation-style-language/schema/raw/master/csl-citation.json"} </w:instrText>
      </w:r>
      <w:r w:rsidRPr="00662E51">
        <w:rPr>
          <w:rFonts w:cs="Arial"/>
          <w:szCs w:val="24"/>
        </w:rPr>
        <w:fldChar w:fldCharType="separate"/>
      </w:r>
      <w:r w:rsidR="00213B80" w:rsidRPr="00213B80">
        <w:t>(O. Mason et al. 2023)</w:t>
      </w:r>
      <w:r w:rsidRPr="00662E51">
        <w:rPr>
          <w:rFonts w:cs="Arial"/>
          <w:szCs w:val="24"/>
        </w:rPr>
        <w:fldChar w:fldCharType="end"/>
      </w:r>
      <w:r w:rsidRPr="00662E51">
        <w:rPr>
          <w:rFonts w:cs="Arial"/>
          <w:szCs w:val="24"/>
        </w:rPr>
        <w:t xml:space="preserve">. These focuses were inspired by the kinds of discourses present in Document Analysis, emphasising the multimethod nature of my project. Although using walking methods was often physically and mentally exhausting </w:t>
      </w:r>
      <w:r w:rsidRPr="00662E51">
        <w:rPr>
          <w:rFonts w:cs="Arial"/>
          <w:szCs w:val="24"/>
        </w:rPr>
        <w:fldChar w:fldCharType="begin"/>
      </w:r>
      <w:r w:rsidR="00213B80">
        <w:rPr>
          <w:rFonts w:cs="Arial"/>
          <w:szCs w:val="24"/>
        </w:rPr>
        <w:instrText xml:space="preserve"> ADDIN ZOTERO_ITEM CSL_CITATION {"citationID":"14NdyK62","properties":{"formattedCitation":"(O. Mason et al. 2023)","plainCitation":"(O. Mason et al. 2023)","noteIndex":0},"citationItems":[{"id":6297,"uris":["http://zotero.org/users/8977980/items/2MEHUSYX"],"itemData":{"id":6297,"type":"article-journal","container-title":"Political Geography","DOI":"10.1016/j.polgeo.2023.102937","ISSN":"0962-6298","journalAbbreviation":"Political Geography","page":"102937","source":"ScienceDirect","title":"Interventions in walking methods in political geography","volume":"106","author":[{"family":"Mason","given":"Olivia"},{"family":"Sarma","given":"Jasnea"},{"family":"Sidaway","given":"James D."},{"family":"Bonnett","given":"Alastair"},{"family":"Hubbard","given":"Phil"},{"family":"Jamil","given":"Ghazala"},{"family":"Middleton","given":"Jennie"},{"family":"O'Neill","given":"Maggie"},{"family":"Riding","given":"James"},{"family":"Rose","given":"Morag"}],"issued":{"date-parts":[["2023",10,1]]}}}],"schema":"https://github.com/citation-style-language/schema/raw/master/csl-citation.json"} </w:instrText>
      </w:r>
      <w:r w:rsidRPr="00662E51">
        <w:rPr>
          <w:rFonts w:cs="Arial"/>
          <w:szCs w:val="24"/>
        </w:rPr>
        <w:fldChar w:fldCharType="separate"/>
      </w:r>
      <w:r w:rsidR="00213B80" w:rsidRPr="00213B80">
        <w:t>(O. Mason et al. 2023)</w:t>
      </w:r>
      <w:r w:rsidRPr="00662E51">
        <w:rPr>
          <w:rFonts w:cs="Arial"/>
          <w:szCs w:val="24"/>
        </w:rPr>
        <w:fldChar w:fldCharType="end"/>
      </w:r>
      <w:r w:rsidRPr="00662E51">
        <w:rPr>
          <w:rFonts w:cs="Arial"/>
          <w:szCs w:val="24"/>
        </w:rPr>
        <w:t xml:space="preserve">, its value was in situating the built environment, the place and space. It provided a window into fully immersing myself in the “world-views and ways of life of actual people in the contexts of their everyday lived experiences” in </w:t>
      </w:r>
      <w:r w:rsidR="00D23DA8" w:rsidRPr="00662E51">
        <w:rPr>
          <w:rFonts w:cs="Arial"/>
          <w:szCs w:val="24"/>
        </w:rPr>
        <w:t xml:space="preserve">Tottenham and Haringey </w:t>
      </w:r>
      <w:r w:rsidRPr="00662E51">
        <w:rPr>
          <w:rFonts w:cs="Arial"/>
          <w:szCs w:val="24"/>
        </w:rPr>
        <w:fldChar w:fldCharType="begin"/>
      </w:r>
      <w:r w:rsidR="008835AB" w:rsidRPr="00662E51">
        <w:rPr>
          <w:rFonts w:cs="Arial"/>
          <w:szCs w:val="24"/>
        </w:rPr>
        <w:instrText xml:space="preserve"> ADDIN ZOTERO_ITEM CSL_CITATION {"citationID":"kHSBL2H3","properties":{"formattedCitation":"(Crang and Cook 2007, 37)","plainCitation":"(Crang and Cook 2007, 37)","noteIndex":0},"citationItems":[{"id":4039,"uris":["http://zotero.org/users/8977980/items/FA68N5RM"],"itemData":{"id":4039,"type":"book","abstract":"&lt;p&gt;Doing Ethnographies is an introductory and applied guide to ethnographic methods. It focuses on those methods - participant observation, interviewing, focus","DOI":"10.4135/9781849208949","ISBN":"978-1-84920-894-9","language":"en","publisher":"SAGE Publications Ltd","source":"methods.sagepub.com","title":"Doing Ethnographies","URL":"https://methods.sagepub.com/book/doing-ethnographies","author":[{"family":"Crang","given":"Mike"},{"family":"Cook","given":"Ian"}],"accessed":{"date-parts":[["2023",3,17]]},"issued":{"date-parts":[["2007"]]}},"locator":"37"}],"schema":"https://github.com/citation-style-language/schema/raw/master/csl-citation.json"} </w:instrText>
      </w:r>
      <w:r w:rsidRPr="00662E51">
        <w:rPr>
          <w:rFonts w:cs="Arial"/>
          <w:szCs w:val="24"/>
        </w:rPr>
        <w:fldChar w:fldCharType="separate"/>
      </w:r>
      <w:r w:rsidR="0095662D" w:rsidRPr="00662E51">
        <w:t>(Crang and Cook 2007, 37)</w:t>
      </w:r>
      <w:r w:rsidRPr="00662E51">
        <w:rPr>
          <w:rFonts w:cs="Arial"/>
          <w:szCs w:val="24"/>
        </w:rPr>
        <w:fldChar w:fldCharType="end"/>
      </w:r>
      <w:r w:rsidRPr="00662E51">
        <w:rPr>
          <w:rFonts w:cs="Arial"/>
          <w:szCs w:val="24"/>
        </w:rPr>
        <w:t xml:space="preserve">. </w:t>
      </w:r>
    </w:p>
    <w:p w14:paraId="4E820F2D" w14:textId="7F00F1E8" w:rsidR="000F3E6B" w:rsidRPr="00662E51" w:rsidRDefault="000F3E6B" w:rsidP="00F56305">
      <w:pPr>
        <w:spacing w:line="360" w:lineRule="auto"/>
        <w:ind w:left="0" w:firstLine="720"/>
        <w:contextualSpacing/>
        <w:rPr>
          <w:rFonts w:cs="Arial"/>
          <w:szCs w:val="24"/>
        </w:rPr>
      </w:pPr>
    </w:p>
    <w:p w14:paraId="6E8D19A5" w14:textId="196A8254" w:rsidR="000F3E6B" w:rsidRPr="00662E51" w:rsidRDefault="000F3E6B" w:rsidP="00F56305">
      <w:pPr>
        <w:pStyle w:val="Heading3"/>
      </w:pPr>
      <w:bookmarkStart w:id="252" w:name="_Toc208328788"/>
      <w:bookmarkStart w:id="253" w:name="_Toc213173947"/>
      <w:bookmarkStart w:id="254" w:name="_Toc221184336"/>
      <w:bookmarkStart w:id="255" w:name="_Toc231215254"/>
      <w:r w:rsidRPr="00662E51">
        <w:t>Mixing the Methods</w:t>
      </w:r>
      <w:bookmarkEnd w:id="252"/>
      <w:bookmarkEnd w:id="253"/>
      <w:bookmarkEnd w:id="254"/>
      <w:r w:rsidR="00BC44B5">
        <w:t>:</w:t>
      </w:r>
      <w:bookmarkEnd w:id="255"/>
      <w:r w:rsidRPr="00662E51">
        <w:t xml:space="preserve"> </w:t>
      </w:r>
    </w:p>
    <w:p w14:paraId="79401D86" w14:textId="620D956C" w:rsidR="00C1777F" w:rsidRPr="00662E51" w:rsidRDefault="00C1777F" w:rsidP="00F56305">
      <w:pPr>
        <w:spacing w:line="360" w:lineRule="auto"/>
        <w:ind w:left="0" w:firstLine="720"/>
        <w:contextualSpacing/>
        <w:rPr>
          <w:rFonts w:cs="Arial"/>
          <w:szCs w:val="24"/>
        </w:rPr>
      </w:pPr>
      <w:r w:rsidRPr="00662E51">
        <w:rPr>
          <w:rFonts w:cs="Arial"/>
          <w:szCs w:val="24"/>
        </w:rPr>
        <w:t xml:space="preserve">Scholars have long known that multi- and mixed-methods inquiry is a complicated endeavour, with many pitfalls. I utilised </w:t>
      </w:r>
      <w:r w:rsidR="00795162" w:rsidRPr="00662E51">
        <w:rPr>
          <w:rFonts w:cs="Arial"/>
          <w:szCs w:val="24"/>
        </w:rPr>
        <w:t xml:space="preserve">C. </w:t>
      </w:r>
      <w:r w:rsidRPr="00662E51">
        <w:rPr>
          <w:rFonts w:cs="Arial"/>
          <w:szCs w:val="24"/>
        </w:rPr>
        <w:t xml:space="preserve">Freeman’s </w:t>
      </w:r>
      <w:r w:rsidRPr="00662E51">
        <w:rPr>
          <w:rFonts w:cs="Arial"/>
          <w:szCs w:val="24"/>
        </w:rPr>
        <w:fldChar w:fldCharType="begin"/>
      </w:r>
      <w:r w:rsidR="008835AB" w:rsidRPr="00662E51">
        <w:rPr>
          <w:rFonts w:cs="Arial"/>
          <w:szCs w:val="24"/>
        </w:rPr>
        <w:instrText xml:space="preserve"> ADDIN ZOTERO_ITEM CSL_CITATION {"citationID":"tfmfRyP9","properties":{"formattedCitation":"(2020)","plainCitation":"(2020)","noteIndex":0},"citationItems":[{"id":6225,"uris":["http://zotero.org/users/8977980/items/3RFVPE2P"],"itemData":{"id":6225,"type":"article-journal","abstract":"Triangulation is increasingly being seen as a concept that has lost clarity and become too broad to be of use. A new language is required to explain how and why researchers bring together multiple perspectives to study phenomena. By drawing on my own research experiences I propose ‘collage’ as a framework for using multiple methods in geography. This framework differs from triangulation in two important ways: firstly, it brings multiple methods together to elucidate a broad research area rather than a precise one, and secondly, it allows for greater spontaneity and the shifting of the frame of research. This paper explains how multiple methods can be used to gather fragments of knowledge on a topic that, when pieced together, can create a more complex understanding of the wider research area. A focus on this process emphasizes the role of the researcher in putting the pieces together.","container-title":"Geografiska Annaler: Series B, Human Geography","DOI":"10.1080/04353684.2020.1807383","ISSN":"0435-3684","issue":"4","note":"_eprint: https://doi.org/10.1080/04353684.2020.1807383","page":"328-340","publisher":"Routledge","source":"Taylor and Francis+NEJM","title":"Multiple methods beyond triangulation: collage as a methodological framework in geography","title-short":"Multiple methods beyond triangulation","volume":"102","author":[{"family":"Freeman","given":"Cordelia"}],"issued":{"date-parts":[["2020",10,1]]}},"label":"page","suppress-author":true}],"schema":"https://github.com/citation-style-language/schema/raw/master/csl-citation.json"} </w:instrText>
      </w:r>
      <w:r w:rsidRPr="00662E51">
        <w:rPr>
          <w:rFonts w:cs="Arial"/>
          <w:szCs w:val="24"/>
        </w:rPr>
        <w:fldChar w:fldCharType="separate"/>
      </w:r>
      <w:r w:rsidR="0095662D" w:rsidRPr="00662E51">
        <w:t>(2020)</w:t>
      </w:r>
      <w:r w:rsidRPr="00662E51">
        <w:rPr>
          <w:rFonts w:cs="Arial"/>
          <w:szCs w:val="24"/>
        </w:rPr>
        <w:fldChar w:fldCharType="end"/>
      </w:r>
      <w:r w:rsidRPr="00662E51">
        <w:rPr>
          <w:rFonts w:cs="Arial"/>
          <w:szCs w:val="24"/>
        </w:rPr>
        <w:t xml:space="preserve"> framework of ‘collage’ and Watkins’s </w:t>
      </w:r>
      <w:r w:rsidRPr="00662E51">
        <w:rPr>
          <w:rFonts w:cs="Arial"/>
          <w:szCs w:val="24"/>
        </w:rPr>
        <w:fldChar w:fldCharType="begin"/>
      </w:r>
      <w:r w:rsidR="008835AB" w:rsidRPr="00662E51">
        <w:rPr>
          <w:rFonts w:cs="Arial"/>
          <w:szCs w:val="24"/>
        </w:rPr>
        <w:instrText xml:space="preserve"> ADDIN ZOTERO_ITEM CSL_CITATION {"citationID":"uB6nv7hA","properties":{"formattedCitation":"(2020)","plainCitation":"(2020)","noteIndex":0},"citationItems":[{"id":6228,"uris":["http://zotero.org/users/8977980/items/BE388CW9"],"itemData":{"id":6228,"type":"article-journal","abstract":"This paper outlines an adaptable concept of hybridity to frame and facilitate fieldwork, research, and writing. It combines geographical theories of place and methodology to propose a hybrid approach to mixed-method research. Hybrid field-work iterates and mixes multiple methods for imagining and co-conducting research in and with places. Reflections on the author’s fieldwork in Northeast Brazil illustrate the approach.","container-title":"Geographical Review","DOI":"10.1111/gere.12353","ISSN":"0016-7428","issue":"1-2","note":"_eprint: https://doi.org/10.1111/gere.12353","page":"8-22","publisher":"Routledge","source":"Taylor and Francis+NEJM","title":"The Field and the Work: Hybridity as Mantra and Method","title-short":"The Field and the Work","volume":"110","author":[{"family":"Watkins","given":"Case"}],"issued":{"date-parts":[["2020",1,2]]}},"label":"page","suppress-author":true}],"schema":"https://github.com/citation-style-language/schema/raw/master/csl-citation.json"} </w:instrText>
      </w:r>
      <w:r w:rsidRPr="00662E51">
        <w:rPr>
          <w:rFonts w:cs="Arial"/>
          <w:szCs w:val="24"/>
        </w:rPr>
        <w:fldChar w:fldCharType="separate"/>
      </w:r>
      <w:r w:rsidR="0095662D" w:rsidRPr="00662E51">
        <w:t>(2020)</w:t>
      </w:r>
      <w:r w:rsidRPr="00662E51">
        <w:rPr>
          <w:rFonts w:cs="Arial"/>
          <w:szCs w:val="24"/>
        </w:rPr>
        <w:fldChar w:fldCharType="end"/>
      </w:r>
      <w:r w:rsidRPr="00662E51">
        <w:rPr>
          <w:rFonts w:cs="Arial"/>
          <w:szCs w:val="24"/>
        </w:rPr>
        <w:t xml:space="preserve"> notion of hybrid fieldwork to help guide me through this process. Collage builds on triangulation, a long-standing multiple methods approach that suggests fixing one point and metaphorically rotating around it through the use of different data </w:t>
      </w:r>
      <w:r w:rsidRPr="00662E51">
        <w:rPr>
          <w:rFonts w:cs="Arial"/>
          <w:szCs w:val="24"/>
        </w:rPr>
        <w:fldChar w:fldCharType="begin"/>
      </w:r>
      <w:r w:rsidR="008835AB" w:rsidRPr="00662E51">
        <w:rPr>
          <w:rFonts w:cs="Arial"/>
          <w:szCs w:val="24"/>
        </w:rPr>
        <w:instrText xml:space="preserve"> ADDIN ZOTERO_ITEM CSL_CITATION {"citationID":"qJG4qfrP","properties":{"formattedCitation":"(Moran-Ellis et al. 2006)","plainCitation":"(Moran-Ellis et al. 2006)","noteIndex":0},"citationItems":[{"id":6530,"uris":["http://zotero.org/users/8977980/items/NNG7BIUE"],"itemData":{"id":6530,"type":"article-journal","abstract":"Researchers who advocate the use of multiple methods often write interchangeably about ‘integrating’, ‘combining’ and ‘mixing’ methods, sometimes eliding these descriptors with ‘triangulation’, which itself encompasses several meanings. In this article we argue that such an elision is problematic since it obscures the difference between (a) the processes by which methods (or data) are brought into relationship with each other (combined, integrated, mixed) and (b) the claims made for the epistemological status of the resulting knowledge. Drawing on the literature for examples, we set out different rationales for using more than one method, then we develop a definition of integration of methods as a specific kind of relationship among methods. We also discuss different places in the research process where integration can occur: for instance, data from different sources can be integrated in the analysis stage, or findings from different sources at the point of theorizing.","container-title":"Qualitative Research","DOI":"10.1177/1468794106058870","ISSN":"1468-7941","issue":"1","language":"EN","page":"45-59","publisher":"SAGE Publications","source":"SAGE Journals","title":"Triangulation and integration: processes, claims and implications","title-short":"Triangulation and integration","volume":"6","author":[{"family":"Moran-Ellis","given":"Jo"},{"family":"Alexander","given":"Victoria D."},{"family":"Cronin","given":"Ann"},{"family":"Dickinson","given":"Mary"},{"family":"Fielding","given":"Jane"},{"family":"Sleney","given":"Judith"},{"family":"Thomas","given":"Hilary"}],"issued":{"date-parts":[["2006",2,1]]}}}],"schema":"https://github.com/citation-style-language/schema/raw/master/csl-citation.json"} </w:instrText>
      </w:r>
      <w:r w:rsidRPr="00662E51">
        <w:rPr>
          <w:rFonts w:cs="Arial"/>
          <w:szCs w:val="24"/>
        </w:rPr>
        <w:fldChar w:fldCharType="separate"/>
      </w:r>
      <w:r w:rsidR="0095662D" w:rsidRPr="00662E51">
        <w:t>(Moran-Ellis et al. 2006)</w:t>
      </w:r>
      <w:r w:rsidRPr="00662E51">
        <w:rPr>
          <w:rFonts w:cs="Arial"/>
          <w:szCs w:val="24"/>
        </w:rPr>
        <w:fldChar w:fldCharType="end"/>
      </w:r>
      <w:r w:rsidRPr="00662E51">
        <w:rPr>
          <w:rFonts w:cs="Arial"/>
          <w:szCs w:val="24"/>
        </w:rPr>
        <w:t xml:space="preserve">. Collage differs from triangulation across two axes. First, collage uses a relatively expansive frame. Second, collage is open to spontaneity and a moving set of focuses. That is, collage means a diverse approach to data collection, rummaging around for relevant information across disparate sources. Each source illuminates successive parts of a wide area of interest, with sources potentially sparingly or never overlapping. Moreover, the relation(s) between each source provide a richer understanding than just through one method or narrow topic alone </w:t>
      </w:r>
      <w:r w:rsidRPr="00662E51">
        <w:rPr>
          <w:rFonts w:cs="Arial"/>
          <w:szCs w:val="24"/>
        </w:rPr>
        <w:fldChar w:fldCharType="begin"/>
      </w:r>
      <w:r w:rsidR="008835AB" w:rsidRPr="00662E51">
        <w:rPr>
          <w:rFonts w:cs="Arial"/>
          <w:szCs w:val="24"/>
        </w:rPr>
        <w:instrText xml:space="preserve"> ADDIN ZOTERO_ITEM CSL_CITATION {"citationID":"S8d4eRb4","properties":{"formattedCitation":"(C. Freeman 2020)","plainCitation":"(C. Freeman 2020)","noteIndex":0},"citationItems":[{"id":6225,"uris":["http://zotero.org/users/8977980/items/3RFVPE2P"],"itemData":{"id":6225,"type":"article-journal","abstract":"Triangulation is increasingly being seen as a concept that has lost clarity and become too broad to be of use. A new language is required to explain how and why researchers bring together multiple perspectives to study phenomena. By drawing on my own research experiences I propose ‘collage’ as a framework for using multiple methods in geography. This framework differs from triangulation in two important ways: firstly, it brings multiple methods together to elucidate a broad research area rather than a precise one, and secondly, it allows for greater spontaneity and the shifting of the frame of research. This paper explains how multiple methods can be used to gather fragments of knowledge on a topic that, when pieced together, can create a more complex understanding of the wider research area. A focus on this process emphasizes the role of the researcher in putting the pieces together.","container-title":"Geografiska Annaler: Series B, Human Geography","DOI":"10.1080/04353684.2020.1807383","ISSN":"0435-3684","issue":"4","note":"_eprint: https://doi.org/10.1080/04353684.2020.1807383","page":"328-340","publisher":"Routledge","source":"Taylor and Francis+NEJM","title":"Multiple methods beyond triangulation: collage as a methodological framework in geography","title-short":"Multiple methods beyond triangulation","volume":"102","author":[{"family":"Freeman","given":"Cordelia"}],"issued":{"date-parts":[["2020",10,1]]}}}],"schema":"https://github.com/citation-style-language/schema/raw/master/csl-citation.json"} </w:instrText>
      </w:r>
      <w:r w:rsidRPr="00662E51">
        <w:rPr>
          <w:rFonts w:cs="Arial"/>
          <w:szCs w:val="24"/>
        </w:rPr>
        <w:fldChar w:fldCharType="separate"/>
      </w:r>
      <w:r w:rsidR="0095662D" w:rsidRPr="00662E51">
        <w:t>(C. Freeman 2020)</w:t>
      </w:r>
      <w:r w:rsidRPr="00662E51">
        <w:rPr>
          <w:rFonts w:cs="Arial"/>
          <w:szCs w:val="24"/>
        </w:rPr>
        <w:fldChar w:fldCharType="end"/>
      </w:r>
      <w:r w:rsidRPr="00662E51">
        <w:rPr>
          <w:rFonts w:cs="Arial"/>
          <w:szCs w:val="24"/>
        </w:rPr>
        <w:t xml:space="preserve">. Such a fragmentary nature of collage is generative: different fragments of data are “potentials that can be put to different uses and given distinct meanings” </w:t>
      </w:r>
      <w:r w:rsidRPr="00662E51">
        <w:rPr>
          <w:rFonts w:cs="Arial"/>
          <w:szCs w:val="24"/>
        </w:rPr>
        <w:lastRenderedPageBreak/>
        <w:t xml:space="preserve">both by the researcher’s acts and the relations between each fragment that becomes the collage </w:t>
      </w:r>
      <w:r w:rsidRPr="00662E51">
        <w:rPr>
          <w:rFonts w:cs="Arial"/>
          <w:szCs w:val="24"/>
        </w:rPr>
        <w:fldChar w:fldCharType="begin"/>
      </w:r>
      <w:r w:rsidRPr="00662E51">
        <w:rPr>
          <w:rFonts w:cs="Arial"/>
          <w:szCs w:val="24"/>
        </w:rPr>
        <w:instrText xml:space="preserve"> ADDIN ZOTERO_ITEM CSL_CITATION {"citationID":"VbQTrGpu","properties":{"formattedCitation":"(McFarlane 2018, 1015)","plainCitation":"(McFarlane 2018, 1015)","noteIndex":0},"citationItems":[{"id":87,"uris":["http://zotero.org/users/8977980/items/AA327SLC"],"itemData":{"id":87,"type":"article-journal","abstract":"Fragmentation is a keyword in the history of critical urban thought. Yet the products of fragmentation – the fragments themselves – tend to receive less attention. In this paper, I develop a politics of urban fragments as a contribution to debates both in urban theory and in urban poverty and inequality. I examine inadequate and broken material fragments on the economic margins of the urban global South, and ask how they become differently politicized in cities. I develop a three-fold framework for understanding the politics of fragments: attending to, generative translation and surveying wholes. I build these arguments through a focus on a fundamental provision – urban sanitation – drawing on research in Mumbai in particular, as well as Cape Town, and connecting those instances to research on urban poverty, politics and fragmentation.","container-title":"Environment and Planning D: Society and Space","DOI":"10.1177/0263775818777496","ISSN":"0263-7758, 1472-3433","issue":"6","journalAbbreviation":"Environ Plan D","language":"en","page":"1007-1025","source":"DOI.org (Crossref)","title":"Fragment urbanism: Politics at the margins of the city","title-short":"Fragment urbanism","volume":"36","author":[{"family":"McFarlane","given":"Colin"}],"issued":{"date-parts":[["2018",12]]}},"locator":"1015"}],"schema":"https://github.com/citation-style-language/schema/raw/master/csl-citation.json"} </w:instrText>
      </w:r>
      <w:r w:rsidRPr="00662E51">
        <w:rPr>
          <w:rFonts w:cs="Arial"/>
          <w:szCs w:val="24"/>
        </w:rPr>
        <w:fldChar w:fldCharType="separate"/>
      </w:r>
      <w:r w:rsidR="0095662D" w:rsidRPr="00662E51">
        <w:t>(McFarlane 2018, 1015)</w:t>
      </w:r>
      <w:r w:rsidRPr="00662E51">
        <w:rPr>
          <w:rFonts w:cs="Arial"/>
          <w:szCs w:val="24"/>
        </w:rPr>
        <w:fldChar w:fldCharType="end"/>
      </w:r>
      <w:r w:rsidRPr="00662E51">
        <w:rPr>
          <w:rFonts w:cs="Arial"/>
          <w:szCs w:val="24"/>
        </w:rPr>
        <w:t xml:space="preserve">. But fragments are more than constituent elements of a collage; they themselves speak to a politics of becoming that helps trouble defined characterisations and categories. Recognising this potentiality enabled me to rethink the archive and the interview in the BFYA case—that is, to not just </w:t>
      </w:r>
      <w:r w:rsidRPr="00662E51">
        <w:rPr>
          <w:rFonts w:cs="Arial"/>
          <w:i/>
          <w:iCs/>
          <w:szCs w:val="24"/>
        </w:rPr>
        <w:t>compare</w:t>
      </w:r>
      <w:r w:rsidRPr="00662E51">
        <w:rPr>
          <w:rFonts w:cs="Arial"/>
          <w:szCs w:val="24"/>
        </w:rPr>
        <w:t xml:space="preserve"> the past and the present but</w:t>
      </w:r>
      <w:r w:rsidR="00BD7C5B">
        <w:rPr>
          <w:rFonts w:cs="Arial"/>
          <w:szCs w:val="24"/>
        </w:rPr>
        <w:t xml:space="preserve"> also</w:t>
      </w:r>
      <w:r w:rsidRPr="00662E51">
        <w:rPr>
          <w:rFonts w:cs="Arial"/>
          <w:szCs w:val="24"/>
        </w:rPr>
        <w:t xml:space="preserve"> to weave them together to emphasise the persistence of social problems and the inability of the liberal state to solve them </w:t>
      </w:r>
      <w:r w:rsidRPr="00662E51">
        <w:rPr>
          <w:rFonts w:cs="Arial"/>
          <w:szCs w:val="24"/>
        </w:rPr>
        <w:fldChar w:fldCharType="begin"/>
      </w:r>
      <w:r w:rsidR="00213B80">
        <w:rPr>
          <w:rFonts w:cs="Arial"/>
          <w:szCs w:val="24"/>
        </w:rPr>
        <w:instrText xml:space="preserve"> ADDIN ZOTERO_ITEM CSL_CITATION {"citationID":"YgDq9dVz","properties":{"formattedCitation":"(J. C. Scott 2020)","plainCitation":"(J. C. Scott 2020)","noteIndex":0},"citationItems":[{"id":6572,"uris":["http://zotero.org/groups/4816685/items/VTQZ5I9E"],"itemData":{"id":6572,"type":"book","collection-title":"Veritas Paperbacks Ser","ISBN":"978-0-300-24675-9","language":"eng","number-of-pages":"1","publisher":"Yale University Press","publisher-place":"New Haven","source":"K10plus ISBN","title":"Seeing like a state: how certain schemes to improve the human condition have failed","title-short":"Seeing like a state","author":[{"family":"Scott","given":"James C."}],"issued":{"date-parts":[["2020"]]}}}],"schema":"https://github.com/citation-style-language/schema/raw/master/csl-citation.json"} </w:instrText>
      </w:r>
      <w:r w:rsidRPr="00662E51">
        <w:rPr>
          <w:rFonts w:cs="Arial"/>
          <w:szCs w:val="24"/>
        </w:rPr>
        <w:fldChar w:fldCharType="separate"/>
      </w:r>
      <w:r w:rsidR="00213B80" w:rsidRPr="00213B80">
        <w:t>(J. C. Scott 2020)</w:t>
      </w:r>
      <w:r w:rsidRPr="00662E51">
        <w:rPr>
          <w:rFonts w:cs="Arial"/>
          <w:szCs w:val="24"/>
        </w:rPr>
        <w:fldChar w:fldCharType="end"/>
      </w:r>
      <w:r w:rsidRPr="00662E51">
        <w:rPr>
          <w:rFonts w:cs="Arial"/>
          <w:szCs w:val="24"/>
        </w:rPr>
        <w:t xml:space="preserve">. Collage follows in this lineage by allowing for a shifting research frame that both follows the available material and is informed by the scholar’s own self-reflection. Günel et al. </w:t>
      </w:r>
      <w:r w:rsidRPr="00662E51">
        <w:rPr>
          <w:rFonts w:cs="Arial"/>
          <w:szCs w:val="24"/>
        </w:rPr>
        <w:fldChar w:fldCharType="begin"/>
      </w:r>
      <w:r w:rsidRPr="00662E51">
        <w:rPr>
          <w:rFonts w:cs="Arial"/>
          <w:szCs w:val="24"/>
        </w:rPr>
        <w:instrText xml:space="preserve"> ADDIN ZOTERO_ITEM CSL_CITATION {"citationID":"SLJbXuUw","properties":{"formattedCitation":"(2020)","plainCitation":"(2020)","noteIndex":0},"citationItems":[{"id":6247,"uris":["http://zotero.org/users/8977980/items/34YEDPMH"],"itemData":{"id":6247,"type":"webpage","abstract":"Even prior to the arrival of the Covid-19 pandemic, “traditional” anthropological fieldwork was in trouble. For some time now, ethnographers have...","container-title":"Society for Cultural Anthropology","language":"en","title":"A Manifesto for Patchwork Ethnography","URL":"https://culanth.org/fieldsights/a-manifesto-for-patchwork-ethnography","author":[{"family":"Günel","given":"Gökçe"},{"family":"Varma","given":"Saiba"},{"family":"Watanabe","given":"Chika"}],"accessed":{"date-parts":[["2025",1,13]]},"issued":{"date-parts":[["2020",6,9]]}},"label":"page","suppress-author":true}],"schema":"https://github.com/citation-style-language/schema/raw/master/csl-citation.json"} </w:instrText>
      </w:r>
      <w:r w:rsidRPr="00662E51">
        <w:rPr>
          <w:rFonts w:cs="Arial"/>
          <w:szCs w:val="24"/>
        </w:rPr>
        <w:fldChar w:fldCharType="separate"/>
      </w:r>
      <w:r w:rsidR="0095662D" w:rsidRPr="00662E51">
        <w:t>(2020)</w:t>
      </w:r>
      <w:r w:rsidRPr="00662E51">
        <w:rPr>
          <w:rFonts w:cs="Arial"/>
          <w:szCs w:val="24"/>
        </w:rPr>
        <w:fldChar w:fldCharType="end"/>
      </w:r>
      <w:r w:rsidRPr="00662E51">
        <w:rPr>
          <w:rFonts w:cs="Arial"/>
          <w:szCs w:val="24"/>
        </w:rPr>
        <w:t>’s concept of “patchwork ethnography,” like collage, also draws attention to the gaps in data: hints at a bigger story; references to people who are unfindable, etc. For instance, many former Haringey councillors are unreachable: I struggled to get in contact with Liberal Democrat councillors or any of those who were on the more conservative, Kober-led wing of the party. While they are still alive, the furore over the HDV has meant that they seem reluctant to be interviewed. This meant acknowledging the gap</w:t>
      </w:r>
      <w:r w:rsidR="00624770" w:rsidRPr="00662E51">
        <w:rPr>
          <w:rFonts w:cs="Arial"/>
          <w:szCs w:val="24"/>
        </w:rPr>
        <w:t xml:space="preserve">, and still </w:t>
      </w:r>
      <w:r w:rsidRPr="00662E51">
        <w:rPr>
          <w:rFonts w:cs="Arial"/>
          <w:szCs w:val="24"/>
        </w:rPr>
        <w:t xml:space="preserve">substituting their narratives through use of newspaper articles and council documents. Former Broadwater Farm leaders have passed away or have moved back to their countries of birth. These absences are data that are of equal importance to the presences </w:t>
      </w:r>
      <w:r w:rsidRPr="00662E51">
        <w:rPr>
          <w:rFonts w:cs="Arial"/>
          <w:szCs w:val="24"/>
        </w:rPr>
        <w:fldChar w:fldCharType="begin"/>
      </w:r>
      <w:r w:rsidRPr="00662E51">
        <w:rPr>
          <w:rFonts w:cs="Arial"/>
          <w:szCs w:val="24"/>
        </w:rPr>
        <w:instrText xml:space="preserve"> ADDIN ZOTERO_ITEM CSL_CITATION {"citationID":"ffMmL3Vf","properties":{"formattedCitation":"(Hodder 2017)","plainCitation":"(Hodder 2017)","noteIndex":0},"citationItems":[{"id":6331,"uris":["http://zotero.org/users/8977980/items/4QVYJTSP"],"itemData":{"id":6331,"type":"article-journal","abstract":"Geographical scholarship has rightly problematised the act of archival research, showing how the practice of archiving is not only concerned with how a society collectively remembers, but also forgets. As such, the dominant motif for discussing historical methods in geography has been through the lens of absence: the archive is a space of ‘traces’, ‘fragments’ and ‘ghosts’. In this paper I suggest that the focus on incompleteness and partiality, while true, may also belie what many geographers working in archives find their greatest difficulty: an overwhelming volume of source materials. I reflect on my own research experiences in the pacifist archive to suggest that the growing scale and scope of many collections, along with the taxing research demands of transnational perspectives, pose immediate practical challenges for geographers characterised as much by abundance as by absence. In the second half of the paper, drawing on recent scholarship in history and geography, I argue that the method of biography offers one possible strategy for navigating archival abundance, allowing geographers to tell stories that are wider, deeper and more revealingly complex within the existing time and financial constraints of humanities research.","container-title":"Area","DOI":"10.1111/area.12329","ISSN":"1475-4762","issue":"4","language":"en","note":"_eprint: https://onlinelibrary.wiley.com/doi/pdf/10.1111/area.12329","page":"452-459","source":"Wiley Online Library","title":"On absence and abundance: biography as method in archival research","title-short":"On absence and abundance","volume":"49","author":[{"family":"Hodder","given":"Jake"}],"issued":{"date-parts":[["2017"]]}}}],"schema":"https://github.com/citation-style-language/schema/raw/master/csl-citation.json"} </w:instrText>
      </w:r>
      <w:r w:rsidRPr="00662E51">
        <w:rPr>
          <w:rFonts w:cs="Arial"/>
          <w:szCs w:val="24"/>
        </w:rPr>
        <w:fldChar w:fldCharType="separate"/>
      </w:r>
      <w:r w:rsidR="0095662D" w:rsidRPr="00662E51">
        <w:t>(Hodder 2017)</w:t>
      </w:r>
      <w:r w:rsidRPr="00662E51">
        <w:rPr>
          <w:rFonts w:cs="Arial"/>
          <w:szCs w:val="24"/>
        </w:rPr>
        <w:fldChar w:fldCharType="end"/>
      </w:r>
      <w:r w:rsidRPr="00662E51">
        <w:rPr>
          <w:rFonts w:cs="Arial"/>
          <w:szCs w:val="24"/>
        </w:rPr>
        <w:t>: as an illustration, I was told</w:t>
      </w:r>
      <w:r w:rsidR="00624770" w:rsidRPr="00662E51">
        <w:rPr>
          <w:rFonts w:cs="Arial"/>
          <w:szCs w:val="24"/>
        </w:rPr>
        <w:t xml:space="preserve"> by one interviewee</w:t>
      </w:r>
      <w:r w:rsidRPr="00662E51">
        <w:rPr>
          <w:rFonts w:cs="Arial"/>
          <w:szCs w:val="24"/>
        </w:rPr>
        <w:t xml:space="preserve"> that Mrs Dolly Kiffin had returned to Jamaica. This return raises questions about race, ethnicity, migration, and empire </w:t>
      </w:r>
      <w:r w:rsidRPr="00662E51">
        <w:rPr>
          <w:rFonts w:cs="Arial"/>
          <w:szCs w:val="24"/>
        </w:rPr>
        <w:fldChar w:fldCharType="begin"/>
      </w:r>
      <w:r w:rsidR="00213B80">
        <w:rPr>
          <w:rFonts w:cs="Arial"/>
          <w:szCs w:val="24"/>
        </w:rPr>
        <w:instrText xml:space="preserve"> ADDIN ZOTERO_ITEM CSL_CITATION {"citationID":"ka8AnSN2","properties":{"formattedCitation":"(Gilroy 2002; S. Hall 2021)","plainCitation":"(Gilroy 2002; S. Hall 2021)","noteIndex":0},"citationItems":[{"id":3194,"uris":["http://zotero.org/users/8977980/items/UCQZ5MBA"],"itemData":{"id":3194,"type":"book","call-number":"DA125.N4 G55 2002","collection-title":"Routledge classics","ISBN":"978-0-415-28980-1","note":"OCLC: ocm50100824","number-of-pages":"366","publisher":"Routledge","publisher-place":"London ; New York","source":"Library of Congress ISBN","title":"There ain't no black in the Union Jack: the cultural politics of race and nation","title-short":"There ain't no black in the Union Jack","author":[{"family":"Gilroy","given":"Paul"}],"issued":{"date-parts":[["2002"]]}}},{"id":4631,"uris":["http://zotero.org/users/8977980/items/D8EQ5GNU"],"itemData":{"id":4631,"type":"book","abstract":"\"Stuart Hall famously argued that \"race is the modality through which class is lived.\" This collection demonstrates the remarkable range in which a committed thinker constantly sharpened his understanding of contemporary challenges, and sought to articulate problems and opportunities across space and struggles. In a variety of formats, long and short, lecture and essay, scholarly and popular, Hall shows readers not what to think but rather how and why particular approaches might offer usable insights and models for further thought and action\"--","call-number":"HT1523","collection-title":"Stuart hall: selected writings","ISBN":"978-1-4780-2122-3","number-of-pages":"1","publisher":"Duke University Press","publisher-place":"Durham","source":"Library of Congress ISBN","title":"Selected writings on race and difference","author":[{"family":"Hall","given":"Stuart"}],"editor":[{"family":"Gilroy","given":"Paul"},{"family":"Gilmore","given":"Ruth Wilson"}],"issued":{"date-parts":[["2021"]]}}}],"schema":"https://github.com/citation-style-language/schema/raw/master/csl-citation.json"} </w:instrText>
      </w:r>
      <w:r w:rsidRPr="00662E51">
        <w:rPr>
          <w:rFonts w:cs="Arial"/>
          <w:szCs w:val="24"/>
        </w:rPr>
        <w:fldChar w:fldCharType="separate"/>
      </w:r>
      <w:r w:rsidR="00213B80" w:rsidRPr="00213B80">
        <w:t>(Gilroy 2002; S. Hall 2021)</w:t>
      </w:r>
      <w:r w:rsidRPr="00662E51">
        <w:rPr>
          <w:rFonts w:cs="Arial"/>
          <w:szCs w:val="24"/>
        </w:rPr>
        <w:fldChar w:fldCharType="end"/>
      </w:r>
      <w:r w:rsidRPr="00662E51">
        <w:rPr>
          <w:rFonts w:cs="Arial"/>
          <w:szCs w:val="24"/>
        </w:rPr>
        <w:t>. More materially, it meant I had to rely on the fragments that she left behind in the archive and her biography</w:t>
      </w:r>
      <w:r w:rsidR="00EA29E3">
        <w:rPr>
          <w:rFonts w:cs="Arial"/>
          <w:szCs w:val="24"/>
        </w:rPr>
        <w:t xml:space="preserve"> </w:t>
      </w:r>
      <w:r w:rsidR="00EA29E3">
        <w:rPr>
          <w:rFonts w:cs="Arial"/>
          <w:szCs w:val="24"/>
        </w:rPr>
        <w:fldChar w:fldCharType="begin"/>
      </w:r>
      <w:r w:rsidR="00EA29E3">
        <w:rPr>
          <w:rFonts w:cs="Arial"/>
          <w:szCs w:val="24"/>
        </w:rPr>
        <w:instrText xml:space="preserve"> ADDIN ZOTERO_ITEM CSL_CITATION {"citationID":"wHhhDPnT","properties":{"formattedCitation":"(Williams 1994)","plainCitation":"(Williams 1994)","noteIndex":0},"citationItems":[{"id":5315,"uris":["http://zotero.org/users/8977980/items/Q3WDKSWW"],"itemData":{"id":5315,"type":"book","abstract":"KEEPER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DREAM","author":[{"family":"Williams","given":"Paul"}],"accessed":{"date-parts":[["2023",10,12]]},"issued":{"date-parts":[["1994"]]}}}],"schema":"https://github.com/citation-style-language/schema/raw/master/csl-citation.json"} </w:instrText>
      </w:r>
      <w:r w:rsidR="00EA29E3">
        <w:rPr>
          <w:rFonts w:cs="Arial"/>
          <w:szCs w:val="24"/>
        </w:rPr>
        <w:fldChar w:fldCharType="separate"/>
      </w:r>
      <w:r w:rsidR="00EA29E3" w:rsidRPr="00EA29E3">
        <w:t>(Williams 1994)</w:t>
      </w:r>
      <w:r w:rsidR="00EA29E3">
        <w:rPr>
          <w:rFonts w:cs="Arial"/>
          <w:szCs w:val="24"/>
        </w:rPr>
        <w:fldChar w:fldCharType="end"/>
      </w:r>
      <w:r w:rsidRPr="00662E51">
        <w:rPr>
          <w:rFonts w:cs="Arial"/>
          <w:szCs w:val="24"/>
        </w:rPr>
        <w:t xml:space="preserve">. Finding the biography was its own difficult hunt: very </w:t>
      </w:r>
      <w:r w:rsidR="00B82E18" w:rsidRPr="00662E51">
        <w:rPr>
          <w:rFonts w:cs="Arial"/>
          <w:szCs w:val="24"/>
        </w:rPr>
        <w:t xml:space="preserve">few </w:t>
      </w:r>
      <w:r w:rsidRPr="00662E51">
        <w:rPr>
          <w:rFonts w:cs="Arial"/>
          <w:szCs w:val="24"/>
        </w:rPr>
        <w:t xml:space="preserve">printed copies exist, and I could not find any that were digitised. One is held by an </w:t>
      </w:r>
      <w:r w:rsidR="00AE1C18" w:rsidRPr="00662E51">
        <w:rPr>
          <w:rFonts w:cs="Arial"/>
          <w:szCs w:val="24"/>
        </w:rPr>
        <w:t>historian</w:t>
      </w:r>
      <w:r w:rsidRPr="00662E51">
        <w:rPr>
          <w:rFonts w:cs="Arial"/>
          <w:szCs w:val="24"/>
        </w:rPr>
        <w:t xml:space="preserve"> based </w:t>
      </w:r>
      <w:r w:rsidR="00AE1C18" w:rsidRPr="00662E51">
        <w:rPr>
          <w:rFonts w:cs="Arial"/>
          <w:szCs w:val="24"/>
        </w:rPr>
        <w:t xml:space="preserve">at the University of </w:t>
      </w:r>
      <w:r w:rsidRPr="00662E51">
        <w:rPr>
          <w:rFonts w:cs="Arial"/>
          <w:szCs w:val="24"/>
        </w:rPr>
        <w:t xml:space="preserve">Liverpool, who suggested I take a trip to the Haringey Borough archives </w:t>
      </w:r>
      <w:r w:rsidRPr="00662E51">
        <w:rPr>
          <w:rFonts w:cs="Arial"/>
          <w:szCs w:val="24"/>
        </w:rPr>
        <w:fldChar w:fldCharType="begin"/>
      </w:r>
      <w:r w:rsidR="008835AB" w:rsidRPr="00662E51">
        <w:rPr>
          <w:rFonts w:cs="Arial"/>
          <w:szCs w:val="24"/>
        </w:rPr>
        <w:instrText xml:space="preserve"> ADDIN ZOTERO_ITEM CSL_CITATION {"citationID":"spzDsSUC","properties":{"formattedCitation":"(Jessica White, \\uc0\\u8216{}Dolly Kiffin Book\\uc0\\u8217{})","plainCitation":"(Jessica White, ‘Dolly Kiffin Book’)","noteIndex":0},"citationItems":[{"id":7010,"uris":["http://zotero.org/users/8977980/items/74AJLGXS"],"itemData":{"id":7010,"type":"personal_communication","title":"Dolly Kiffin Book","author":[{"family":"White","given":"Jessica"}],"issued":{"date-parts":[["2023",10,11]]}}}],"schema":"https://github.com/citation-style-language/schema/raw/master/csl-citation.json"} </w:instrText>
      </w:r>
      <w:r w:rsidRPr="00662E51">
        <w:rPr>
          <w:rFonts w:cs="Arial"/>
          <w:szCs w:val="24"/>
        </w:rPr>
        <w:fldChar w:fldCharType="separate"/>
      </w:r>
      <w:r w:rsidR="008835AB" w:rsidRPr="00662E51">
        <w:rPr>
          <w:rFonts w:cs="Times New Roman"/>
          <w:kern w:val="0"/>
        </w:rPr>
        <w:t>(Jessica White, ‘Dolly Kiffin Book’)</w:t>
      </w:r>
      <w:r w:rsidRPr="00662E51">
        <w:rPr>
          <w:rFonts w:cs="Arial"/>
          <w:szCs w:val="24"/>
        </w:rPr>
        <w:fldChar w:fldCharType="end"/>
      </w:r>
      <w:r w:rsidRPr="00662E51">
        <w:rPr>
          <w:rFonts w:cs="Arial"/>
          <w:szCs w:val="24"/>
        </w:rPr>
        <w:t xml:space="preserve">. I was </w:t>
      </w:r>
      <w:r w:rsidR="00AE1C18" w:rsidRPr="00662E51">
        <w:rPr>
          <w:rFonts w:cs="Arial"/>
          <w:szCs w:val="24"/>
        </w:rPr>
        <w:t xml:space="preserve">luckily </w:t>
      </w:r>
      <w:r w:rsidRPr="00662E51">
        <w:rPr>
          <w:rFonts w:cs="Arial"/>
          <w:szCs w:val="24"/>
        </w:rPr>
        <w:t xml:space="preserve">able to scan a copy there. This search highlighted the collagic nature of my </w:t>
      </w:r>
      <w:r w:rsidR="00E67FC7" w:rsidRPr="00662E51">
        <w:rPr>
          <w:rFonts w:cs="Arial"/>
          <w:szCs w:val="24"/>
        </w:rPr>
        <w:t>investigation</w:t>
      </w:r>
      <w:r w:rsidRPr="00662E51">
        <w:rPr>
          <w:rFonts w:cs="Arial"/>
          <w:szCs w:val="24"/>
        </w:rPr>
        <w:t>—</w:t>
      </w:r>
      <w:r w:rsidR="00913A01" w:rsidRPr="00662E51">
        <w:rPr>
          <w:rFonts w:cs="Arial"/>
          <w:szCs w:val="24"/>
        </w:rPr>
        <w:t>rummaging around</w:t>
      </w:r>
      <w:r w:rsidRPr="00662E51">
        <w:rPr>
          <w:rFonts w:cs="Arial"/>
          <w:szCs w:val="24"/>
        </w:rPr>
        <w:t xml:space="preserve"> and using what was available, instead of being able to triangulate or rotate around a specific object of inquiry.  </w:t>
      </w:r>
    </w:p>
    <w:p w14:paraId="2BB9A60D" w14:textId="4DDEA416" w:rsidR="00C1777F" w:rsidRPr="00662E51" w:rsidRDefault="00C1777F" w:rsidP="00F56305">
      <w:pPr>
        <w:spacing w:line="360" w:lineRule="auto"/>
        <w:ind w:left="0" w:firstLine="720"/>
        <w:contextualSpacing/>
        <w:rPr>
          <w:rFonts w:cs="Arial"/>
          <w:szCs w:val="24"/>
        </w:rPr>
      </w:pPr>
      <w:r w:rsidRPr="00662E51">
        <w:rPr>
          <w:rFonts w:cs="Arial"/>
          <w:szCs w:val="24"/>
        </w:rPr>
        <w:lastRenderedPageBreak/>
        <w:t>Absences can often spark the reuse of existing methods to answer old problems in innovative ways.</w:t>
      </w:r>
      <w:r w:rsidRPr="00662E51">
        <w:rPr>
          <w:rFonts w:cs="Arial"/>
          <w:kern w:val="0"/>
          <w:szCs w:val="24"/>
        </w:rPr>
        <w:t xml:space="preserve"> </w:t>
      </w:r>
      <w:r w:rsidRPr="00662E51">
        <w:rPr>
          <w:rFonts w:cs="Arial"/>
          <w:szCs w:val="24"/>
        </w:rPr>
        <w:t xml:space="preserve">McFarlane </w:t>
      </w:r>
      <w:r w:rsidRPr="00662E51">
        <w:rPr>
          <w:rFonts w:cs="Arial"/>
          <w:szCs w:val="24"/>
        </w:rPr>
        <w:fldChar w:fldCharType="begin"/>
      </w:r>
      <w:r w:rsidRPr="00662E51">
        <w:rPr>
          <w:rFonts w:cs="Arial"/>
          <w:szCs w:val="24"/>
        </w:rPr>
        <w:instrText xml:space="preserve"> ADDIN ZOTERO_ITEM CSL_CITATION {"citationID":"oOcUPVXR","properties":{"formattedCitation":"(2018, 1011)","plainCitation":"(2018, 1011)","noteIndex":0},"citationItems":[{"id":87,"uris":["http://zotero.org/users/8977980/items/AA327SLC"],"itemData":{"id":87,"type":"article-journal","abstract":"Fragmentation is a keyword in the history of critical urban thought. Yet the products of fragmentation – the fragments themselves – tend to receive less attention. In this paper, I develop a politics of urban fragments as a contribution to debates both in urban theory and in urban poverty and inequality. I examine inadequate and broken material fragments on the economic margins of the urban global South, and ask how they become differently politicized in cities. I develop a three-fold framework for understanding the politics of fragments: attending to, generative translation and surveying wholes. I build these arguments through a focus on a fundamental provision – urban sanitation – drawing on research in Mumbai in particular, as well as Cape Town, and connecting those instances to research on urban poverty, politics and fragmentation.","container-title":"Environment and Planning D: Society and Space","DOI":"10.1177/0263775818777496","ISSN":"0263-7758, 1472-3433","issue":"6","journalAbbreviation":"Environ Plan D","language":"en","page":"1007-1025","source":"DOI.org (Crossref)","title":"Fragment urbanism: Politics at the margins of the city","title-short":"Fragment urbanism","volume":"36","author":[{"family":"McFarlane","given":"Colin"}],"issued":{"date-parts":[["2018",12]]}},"locator":"1011","label":"page","suppress-author":true}],"schema":"https://github.com/citation-style-language/schema/raw/master/csl-citation.json"} </w:instrText>
      </w:r>
      <w:r w:rsidRPr="00662E51">
        <w:rPr>
          <w:rFonts w:cs="Arial"/>
          <w:szCs w:val="24"/>
        </w:rPr>
        <w:fldChar w:fldCharType="separate"/>
      </w:r>
      <w:r w:rsidR="0095662D" w:rsidRPr="00662E51">
        <w:t>(2018, 1011)</w:t>
      </w:r>
      <w:r w:rsidRPr="00662E51">
        <w:rPr>
          <w:rFonts w:cs="Arial"/>
          <w:szCs w:val="24"/>
        </w:rPr>
        <w:fldChar w:fldCharType="end"/>
      </w:r>
      <w:r w:rsidRPr="00662E51">
        <w:rPr>
          <w:rFonts w:cs="Arial"/>
          <w:szCs w:val="24"/>
        </w:rPr>
        <w:t xml:space="preserve"> reminds us that fragments are “caught in a relation of presence and absence.” Even fragments </w:t>
      </w:r>
      <w:r w:rsidRPr="00662E51">
        <w:rPr>
          <w:rFonts w:cs="Arial"/>
          <w:i/>
          <w:iCs/>
          <w:szCs w:val="24"/>
        </w:rPr>
        <w:t xml:space="preserve">intended to be </w:t>
      </w:r>
      <w:r w:rsidRPr="00662E51">
        <w:rPr>
          <w:rFonts w:cs="Arial"/>
          <w:szCs w:val="24"/>
        </w:rPr>
        <w:t>fragments—here, various documents that refer to events</w:t>
      </w:r>
      <w:r w:rsidR="004B252E">
        <w:rPr>
          <w:rFonts w:cs="Arial"/>
          <w:szCs w:val="24"/>
        </w:rPr>
        <w:t xml:space="preserve"> in the past</w:t>
      </w:r>
      <w:r w:rsidRPr="00662E51">
        <w:rPr>
          <w:rFonts w:cs="Arial"/>
          <w:szCs w:val="24"/>
        </w:rPr>
        <w:t xml:space="preserve">—hint at a wider, imagined, whole of activism that cannot be fully understood. Finally, collage’s attentiveness to the social construction of knowledge emphasises the researcher’s positionality, thereby recognising their situatedness </w:t>
      </w:r>
      <w:r w:rsidRPr="00662E51">
        <w:rPr>
          <w:rFonts w:cs="Arial"/>
          <w:szCs w:val="24"/>
        </w:rPr>
        <w:fldChar w:fldCharType="begin"/>
      </w:r>
      <w:r w:rsidR="008835AB" w:rsidRPr="00662E51">
        <w:rPr>
          <w:rFonts w:cs="Arial"/>
          <w:szCs w:val="24"/>
        </w:rPr>
        <w:instrText xml:space="preserve"> ADDIN ZOTERO_ITEM CSL_CITATION {"citationID":"xcbtqIfZ","properties":{"formattedCitation":"(Haraway 1988)","plainCitation":"(Haraway 1988)","noteIndex":0},"citationItems":[{"id":6234,"uris":["http://zotero.org/users/8977980/items/GLXAL335"],"itemData":{"id":6234,"type":"article-journal","container-title":"Feminist Studies","DOI":"10.2307/3178066","ISSN":"0046-3663","issue":"3","page":"575-599","publisher":"Feminist Studies, Inc.","source":"JSTOR","title":"Situated Knowledges: The Science Question in Feminism and the Privilege of Partial Perspective","title-short":"Situated Knowledges","volume":"14","author":[{"family":"Haraway","given":"Donna"}],"issued":{"date-parts":[["1988"]]}}}],"schema":"https://github.com/citation-style-language/schema/raw/master/csl-citation.json"} </w:instrText>
      </w:r>
      <w:r w:rsidRPr="00662E51">
        <w:rPr>
          <w:rFonts w:cs="Arial"/>
          <w:szCs w:val="24"/>
        </w:rPr>
        <w:fldChar w:fldCharType="separate"/>
      </w:r>
      <w:r w:rsidR="0095662D" w:rsidRPr="00662E51">
        <w:t>(Haraway 1988)</w:t>
      </w:r>
      <w:r w:rsidRPr="00662E51">
        <w:rPr>
          <w:rFonts w:cs="Arial"/>
          <w:szCs w:val="24"/>
        </w:rPr>
        <w:fldChar w:fldCharType="end"/>
      </w:r>
      <w:r w:rsidRPr="00662E51">
        <w:rPr>
          <w:rFonts w:cs="Arial"/>
          <w:szCs w:val="24"/>
        </w:rPr>
        <w:t xml:space="preserve">. Collage thus remains open to the messiness of inquiry, the fumbling about during data collection, the cutting, pasting, and recutting of it during fieldwork. As a form of analysis, collage “forces us to think and work in a non-linear way” by requiring “juxtaposition and the interplay of fragments that may never have been pieced together” in the first instance </w:t>
      </w:r>
      <w:r w:rsidRPr="00662E51">
        <w:rPr>
          <w:rFonts w:cs="Arial"/>
          <w:szCs w:val="24"/>
        </w:rPr>
        <w:fldChar w:fldCharType="begin"/>
      </w:r>
      <w:r w:rsidR="008835AB" w:rsidRPr="00662E51">
        <w:rPr>
          <w:rFonts w:cs="Arial"/>
          <w:szCs w:val="24"/>
        </w:rPr>
        <w:instrText xml:space="preserve"> ADDIN ZOTERO_ITEM CSL_CITATION {"citationID":"HwJPSrUG","properties":{"formattedCitation":"(C. Freeman 2020, 336)","plainCitation":"(C. Freeman 2020, 336)","noteIndex":0},"citationItems":[{"id":6225,"uris":["http://zotero.org/users/8977980/items/3RFVPE2P"],"itemData":{"id":6225,"type":"article-journal","abstract":"Triangulation is increasingly being seen as a concept that has lost clarity and become too broad to be of use. A new language is required to explain how and why researchers bring together multiple perspectives to study phenomena. By drawing on my own research experiences I propose ‘collage’ as a framework for using multiple methods in geography. This framework differs from triangulation in two important ways: firstly, it brings multiple methods together to elucidate a broad research area rather than a precise one, and secondly, it allows for greater spontaneity and the shifting of the frame of research. This paper explains how multiple methods can be used to gather fragments of knowledge on a topic that, when pieced together, can create a more complex understanding of the wider research area. A focus on this process emphasizes the role of the researcher in putting the pieces together.","container-title":"Geografiska Annaler: Series B, Human Geography","DOI":"10.1080/04353684.2020.1807383","ISSN":"0435-3684","issue":"4","note":"_eprint: https://doi.org/10.1080/04353684.2020.1807383","page":"328-340","publisher":"Routledge","source":"Taylor and Francis+NEJM","title":"Multiple methods beyond triangulation: collage as a methodological framework in geography","title-short":"Multiple methods beyond triangulation","volume":"102","author":[{"family":"Freeman","given":"Cordelia"}],"issued":{"date-parts":[["2020",10,1]]}},"locator":"336"}],"schema":"https://github.com/citation-style-language/schema/raw/master/csl-citation.json"} </w:instrText>
      </w:r>
      <w:r w:rsidRPr="00662E51">
        <w:rPr>
          <w:rFonts w:cs="Arial"/>
          <w:szCs w:val="24"/>
        </w:rPr>
        <w:fldChar w:fldCharType="separate"/>
      </w:r>
      <w:r w:rsidR="0095662D" w:rsidRPr="00662E51">
        <w:t>(C. Freeman 2020, 336)</w:t>
      </w:r>
      <w:r w:rsidRPr="00662E51">
        <w:rPr>
          <w:rFonts w:cs="Arial"/>
          <w:szCs w:val="24"/>
        </w:rPr>
        <w:fldChar w:fldCharType="end"/>
      </w:r>
      <w:r w:rsidRPr="00662E51">
        <w:rPr>
          <w:rFonts w:cs="Arial"/>
          <w:szCs w:val="24"/>
        </w:rPr>
        <w:t>.</w:t>
      </w:r>
    </w:p>
    <w:p w14:paraId="0C240AAE" w14:textId="30434EB8" w:rsidR="00C1777F" w:rsidRPr="00662E51" w:rsidRDefault="00C1777F" w:rsidP="00F56305">
      <w:pPr>
        <w:spacing w:line="360" w:lineRule="auto"/>
        <w:ind w:left="0" w:firstLine="720"/>
        <w:contextualSpacing/>
        <w:rPr>
          <w:rFonts w:cs="Arial"/>
          <w:szCs w:val="24"/>
        </w:rPr>
      </w:pPr>
      <w:r w:rsidRPr="00662E51">
        <w:rPr>
          <w:rFonts w:cs="Arial"/>
          <w:szCs w:val="24"/>
        </w:rPr>
        <w:t xml:space="preserve">Collage was not the only methodological approach used here. Recognising the overlaps between research areas and the spatial nature of my inquiry—as evidenced by the geographically small area of interest—I turned to what Watkins </w:t>
      </w:r>
      <w:r w:rsidRPr="00662E51">
        <w:rPr>
          <w:rFonts w:cs="Arial"/>
          <w:szCs w:val="24"/>
        </w:rPr>
        <w:fldChar w:fldCharType="begin"/>
      </w:r>
      <w:r w:rsidR="008835AB" w:rsidRPr="00662E51">
        <w:rPr>
          <w:rFonts w:cs="Arial"/>
          <w:szCs w:val="24"/>
        </w:rPr>
        <w:instrText xml:space="preserve"> ADDIN ZOTERO_ITEM CSL_CITATION {"citationID":"Q2QLUByc","properties":{"formattedCitation":"(2020, 9)","plainCitation":"(2020, 9)","noteIndex":0},"citationItems":[{"id":6228,"uris":["http://zotero.org/users/8977980/items/BE388CW9"],"itemData":{"id":6228,"type":"article-journal","abstract":"This paper outlines an adaptable concept of hybridity to frame and facilitate fieldwork, research, and writing. It combines geographical theories of place and methodology to propose a hybrid approach to mixed-method research. Hybrid field-work iterates and mixes multiple methods for imagining and co-conducting research in and with places. Reflections on the author’s fieldwork in Northeast Brazil illustrate the approach.","container-title":"Geographical Review","DOI":"10.1111/gere.12353","ISSN":"0016-7428","issue":"1-2","note":"_eprint: https://doi.org/10.1111/gere.12353","page":"8-22","publisher":"Routledge","source":"Taylor and Francis+NEJM","title":"The Field and the Work: Hybridity as Mantra and Method","title-short":"The Field and the Work","volume":"110","author":[{"family":"Watkins","given":"Case"}],"issued":{"date-parts":[["2020",1,2]]}},"locator":"9","label":"page","suppress-author":true}],"schema":"https://github.com/citation-style-language/schema/raw/master/csl-citation.json"} </w:instrText>
      </w:r>
      <w:r w:rsidRPr="00662E51">
        <w:rPr>
          <w:rFonts w:cs="Arial"/>
          <w:szCs w:val="24"/>
        </w:rPr>
        <w:fldChar w:fldCharType="separate"/>
      </w:r>
      <w:r w:rsidR="0095662D" w:rsidRPr="00662E51">
        <w:t>(2020, 9)</w:t>
      </w:r>
      <w:r w:rsidRPr="00662E51">
        <w:rPr>
          <w:rFonts w:cs="Arial"/>
          <w:szCs w:val="24"/>
        </w:rPr>
        <w:fldChar w:fldCharType="end"/>
      </w:r>
      <w:r w:rsidRPr="00662E51">
        <w:rPr>
          <w:rFonts w:cs="Arial"/>
          <w:szCs w:val="24"/>
        </w:rPr>
        <w:t xml:space="preserve"> calls hybridity. It is a melding of “places (field) and methods (work).” Hybridity expands a long tradition of methodological pluralism </w:t>
      </w:r>
      <w:r w:rsidRPr="00662E51">
        <w:rPr>
          <w:rFonts w:cs="Arial"/>
          <w:szCs w:val="24"/>
        </w:rPr>
        <w:fldChar w:fldCharType="begin"/>
      </w:r>
      <w:r w:rsidR="008835AB" w:rsidRPr="00662E51">
        <w:rPr>
          <w:rFonts w:cs="Arial"/>
          <w:szCs w:val="24"/>
        </w:rPr>
        <w:instrText xml:space="preserve"> ADDIN ZOTERO_ITEM CSL_CITATION {"citationID":"1FNPQ2tI","properties":{"formattedCitation":"(DeLyser and Sui 2014)","plainCitation":"(DeLyser and Sui 2014)","noteIndex":0},"citationItems":[{"id":6249,"uris":["http://zotero.org/users/8977980/items/XYL9EAC5"],"itemData":{"id":6249,"type":"article-journal","abstract":"In our third and final report, we again prioritize the open embrace of methodological differences, seeking to span the qualitative-quantitative chasm in different ways. Amid broad focus on methodological newness, we review the importance of enduring methods such as interviewing and mapping. Amid efforts to make data and publications openly available, we review efforts to include communities in participatory research. Amid the emergence of data-extensive studies, which some call the fourth paradigm, we highlight the continuing importance of ‘small’ data and methodological pluralism.","container-title":"Progress in Human Geography","DOI":"10.1177/0309132513479291","ISSN":"0309-1325","issue":"2","language":"en","page":"294-307","publisher":"SAGE Publications Ltd","source":"SAGE Journals","title":"Crossing the qualitative-quantitative chasm III: Enduring methods, open geography, participatory research, and the fourth paradigm","title-short":"Crossing the qualitative-quantitative chasm III","volume":"38","author":[{"family":"DeLyser","given":"Dydia"},{"family":"Sui","given":"Daniel"}],"issued":{"date-parts":[["2014",4,1]]}}}],"schema":"https://github.com/citation-style-language/schema/raw/master/csl-citation.json"} </w:instrText>
      </w:r>
      <w:r w:rsidRPr="00662E51">
        <w:rPr>
          <w:rFonts w:cs="Arial"/>
          <w:szCs w:val="24"/>
        </w:rPr>
        <w:fldChar w:fldCharType="separate"/>
      </w:r>
      <w:r w:rsidR="0095662D" w:rsidRPr="00662E51">
        <w:t>(DeLyser and Sui 2014)</w:t>
      </w:r>
      <w:r w:rsidRPr="00662E51">
        <w:rPr>
          <w:rFonts w:cs="Arial"/>
          <w:szCs w:val="24"/>
        </w:rPr>
        <w:fldChar w:fldCharType="end"/>
      </w:r>
      <w:r w:rsidRPr="00662E51">
        <w:rPr>
          <w:rFonts w:cs="Arial"/>
          <w:szCs w:val="24"/>
        </w:rPr>
        <w:t xml:space="preserve"> and critical self-reflection by engaging the </w:t>
      </w:r>
      <w:r w:rsidRPr="00662E51">
        <w:rPr>
          <w:rFonts w:cs="Arial"/>
          <w:i/>
          <w:iCs/>
          <w:szCs w:val="24"/>
        </w:rPr>
        <w:t>place</w:t>
      </w:r>
      <w:r w:rsidRPr="00662E51">
        <w:rPr>
          <w:rFonts w:cs="Arial"/>
          <w:szCs w:val="24"/>
        </w:rPr>
        <w:t xml:space="preserve"> of the field as an “active participant” in inquiry </w:t>
      </w:r>
      <w:r w:rsidRPr="00662E51">
        <w:rPr>
          <w:rFonts w:cs="Arial"/>
          <w:szCs w:val="24"/>
        </w:rPr>
        <w:fldChar w:fldCharType="begin"/>
      </w:r>
      <w:r w:rsidR="008835AB" w:rsidRPr="00662E51">
        <w:rPr>
          <w:rFonts w:cs="Arial"/>
          <w:szCs w:val="24"/>
        </w:rPr>
        <w:instrText xml:space="preserve"> ADDIN ZOTERO_ITEM CSL_CITATION {"citationID":"HQqgcTj7","properties":{"formattedCitation":"(Watkins 2020, 10)","plainCitation":"(Watkins 2020, 10)","noteIndex":0},"citationItems":[{"id":6228,"uris":["http://zotero.org/users/8977980/items/BE388CW9"],"itemData":{"id":6228,"type":"article-journal","abstract":"This paper outlines an adaptable concept of hybridity to frame and facilitate fieldwork, research, and writing. It combines geographical theories of place and methodology to propose a hybrid approach to mixed-method research. Hybrid field-work iterates and mixes multiple methods for imagining and co-conducting research in and with places. Reflections on the author’s fieldwork in Northeast Brazil illustrate the approach.","container-title":"Geographical Review","DOI":"10.1111/gere.12353","ISSN":"0016-7428","issue":"1-2","note":"_eprint: https://doi.org/10.1111/gere.12353","page":"8-22","publisher":"Routledge","source":"Taylor and Francis+NEJM","title":"The Field and the Work: Hybridity as Mantra and Method","title-short":"The Field and the Work","volume":"110","author":[{"family":"Watkins","given":"Case"}],"issued":{"date-parts":[["2020",1,2]]}},"locator":"10","label":"page"}],"schema":"https://github.com/citation-style-language/schema/raw/master/csl-citation.json"} </w:instrText>
      </w:r>
      <w:r w:rsidRPr="00662E51">
        <w:rPr>
          <w:rFonts w:cs="Arial"/>
          <w:szCs w:val="24"/>
        </w:rPr>
        <w:fldChar w:fldCharType="separate"/>
      </w:r>
      <w:r w:rsidR="0095662D" w:rsidRPr="00662E51">
        <w:t>(Watkins 2020, 10)</w:t>
      </w:r>
      <w:r w:rsidRPr="00662E51">
        <w:rPr>
          <w:rFonts w:cs="Arial"/>
          <w:szCs w:val="24"/>
        </w:rPr>
        <w:fldChar w:fldCharType="end"/>
      </w:r>
      <w:r w:rsidRPr="00662E51">
        <w:rPr>
          <w:rFonts w:cs="Arial"/>
          <w:szCs w:val="24"/>
        </w:rPr>
        <w:t xml:space="preserve">. Engagement happens through an iterative piecing-together of a range of methods, a smooth shifting between different fields (archives, landscapes, etc.), and a distinctly non-linear analytical process. It also occurs by “following” where the threads go, “walking with” collaborators, and the blending place and method </w:t>
      </w:r>
      <w:r w:rsidRPr="00662E51">
        <w:rPr>
          <w:rFonts w:cs="Arial"/>
          <w:szCs w:val="24"/>
        </w:rPr>
        <w:fldChar w:fldCharType="begin"/>
      </w:r>
      <w:r w:rsidR="008835AB" w:rsidRPr="00662E51">
        <w:rPr>
          <w:rFonts w:cs="Arial"/>
          <w:szCs w:val="24"/>
        </w:rPr>
        <w:instrText xml:space="preserve"> ADDIN ZOTERO_ITEM CSL_CITATION {"citationID":"rGcK0E25","properties":{"formattedCitation":"(Watkins 2020)","plainCitation":"(Watkins 2020)","noteIndex":0},"citationItems":[{"id":6228,"uris":["http://zotero.org/users/8977980/items/BE388CW9"],"itemData":{"id":6228,"type":"article-journal","abstract":"This paper outlines an adaptable concept of hybridity to frame and facilitate fieldwork, research, and writing. It combines geographical theories of place and methodology to propose a hybrid approach to mixed-method research. Hybrid field-work iterates and mixes multiple methods for imagining and co-conducting research in and with places. Reflections on the author’s fieldwork in Northeast Brazil illustrate the approach.","container-title":"Geographical Review","DOI":"10.1111/gere.12353","ISSN":"0016-7428","issue":"1-2","note":"_eprint: https://doi.org/10.1111/gere.12353","page":"8-22","publisher":"Routledge","source":"Taylor and Francis+NEJM","title":"The Field and the Work: Hybridity as Mantra and Method","title-short":"The Field and the Work","volume":"110","author":[{"family":"Watkins","given":"Case"}],"issued":{"date-parts":[["2020",1,2]]}},"label":"page"}],"schema":"https://github.com/citation-style-language/schema/raw/master/csl-citation.json"} </w:instrText>
      </w:r>
      <w:r w:rsidRPr="00662E51">
        <w:rPr>
          <w:rFonts w:cs="Arial"/>
          <w:szCs w:val="24"/>
        </w:rPr>
        <w:fldChar w:fldCharType="separate"/>
      </w:r>
      <w:r w:rsidR="0095662D" w:rsidRPr="00662E51">
        <w:t>(Watkins 2020)</w:t>
      </w:r>
      <w:r w:rsidRPr="00662E51">
        <w:rPr>
          <w:rFonts w:cs="Arial"/>
          <w:szCs w:val="24"/>
        </w:rPr>
        <w:fldChar w:fldCharType="end"/>
      </w:r>
      <w:r w:rsidRPr="00662E51">
        <w:rPr>
          <w:rFonts w:cs="Arial"/>
          <w:szCs w:val="24"/>
        </w:rPr>
        <w:t xml:space="preserve">. In doing so, it (like collage) remains sensitive to “uncertainties, challenges, and opportunities to expedite self-reflexive, situated, and flexible research designs” that are both “liberating and messy” </w:t>
      </w:r>
      <w:r w:rsidRPr="00662E51">
        <w:rPr>
          <w:rFonts w:cs="Arial"/>
          <w:szCs w:val="24"/>
        </w:rPr>
        <w:fldChar w:fldCharType="begin"/>
      </w:r>
      <w:r w:rsidR="008835AB" w:rsidRPr="00662E51">
        <w:rPr>
          <w:rFonts w:cs="Arial"/>
          <w:szCs w:val="24"/>
        </w:rPr>
        <w:instrText xml:space="preserve"> ADDIN ZOTERO_ITEM CSL_CITATION {"citationID":"WouklUI2","properties":{"formattedCitation":"(Watkins 2020, 11)","plainCitation":"(Watkins 2020, 11)","noteIndex":0},"citationItems":[{"id":6228,"uris":["http://zotero.org/users/8977980/items/BE388CW9"],"itemData":{"id":6228,"type":"article-journal","abstract":"This paper outlines an adaptable concept of hybridity to frame and facilitate fieldwork, research, and writing. It combines geographical theories of place and methodology to propose a hybrid approach to mixed-method research. Hybrid field-work iterates and mixes multiple methods for imagining and co-conducting research in and with places. Reflections on the author’s fieldwork in Northeast Brazil illustrate the approach.","container-title":"Geographical Review","DOI":"10.1111/gere.12353","ISSN":"0016-7428","issue":"1-2","note":"_eprint: https://doi.org/10.1111/gere.12353","page":"8-22","publisher":"Routledge","source":"Taylor and Francis+NEJM","title":"The Field and the Work: Hybridity as Mantra and Method","title-short":"The Field and the Work","volume":"110","author":[{"family":"Watkins","given":"Case"}],"issued":{"date-parts":[["2020",1,2]]}},"locator":"11","label":"page"}],"schema":"https://github.com/citation-style-language/schema/raw/master/csl-citation.json"} </w:instrText>
      </w:r>
      <w:r w:rsidRPr="00662E51">
        <w:rPr>
          <w:rFonts w:cs="Arial"/>
          <w:szCs w:val="24"/>
        </w:rPr>
        <w:fldChar w:fldCharType="separate"/>
      </w:r>
      <w:r w:rsidR="0095662D" w:rsidRPr="00662E51">
        <w:t>(Watkins 2020, 11)</w:t>
      </w:r>
      <w:r w:rsidRPr="00662E51">
        <w:rPr>
          <w:rFonts w:cs="Arial"/>
          <w:szCs w:val="24"/>
        </w:rPr>
        <w:fldChar w:fldCharType="end"/>
      </w:r>
      <w:r w:rsidRPr="00662E51">
        <w:rPr>
          <w:rFonts w:cs="Arial"/>
          <w:szCs w:val="24"/>
        </w:rPr>
        <w:t xml:space="preserve">. Hybridity finally assists in re-imagining the category of “field” itself. DeLyser and Starrs’s </w:t>
      </w:r>
      <w:r w:rsidRPr="00662E51">
        <w:rPr>
          <w:rFonts w:cs="Arial"/>
          <w:szCs w:val="24"/>
        </w:rPr>
        <w:fldChar w:fldCharType="begin"/>
      </w:r>
      <w:r w:rsidR="008835AB" w:rsidRPr="00662E51">
        <w:rPr>
          <w:rFonts w:cs="Arial"/>
          <w:szCs w:val="24"/>
        </w:rPr>
        <w:instrText xml:space="preserve"> ADDIN ZOTERO_ITEM CSL_CITATION {"citationID":"RN6gtsM0","properties":{"formattedCitation":"(2001)","plainCitation":"(2001)","noteIndex":0},"citationItems":[{"id":6386,"uris":["http://zotero.org/users/8977980/items/RHNJ6WMT"],"itemData":{"id":6386,"type":"article-journal","container-title":"Geographical Review","DOI":"10.1111/j.1931-0846.2001.tb00450.x","ISSN":"0016-7428","issue":"1-2","note":"_eprint: https://www.tandfonline.com/doi/pdf/10.1111/j.1931-0846.2001.tb00450.x","page":"iv-viii","publisher":"Routledge","source":"Taylor and Francis+NEJM","title":"Doing Fieldwork: Editors’ Introduction","title-short":"Doing Fieldwork","volume":"91","author":[{"family":"DeLyser","given":"Dydia"},{"family":"Starrs","given":"Paul F."}],"issued":{"date-parts":[["2001",1,1]]}},"label":"page","suppress-author":true}],"schema":"https://github.com/citation-style-language/schema/raw/master/csl-citation.json"} </w:instrText>
      </w:r>
      <w:r w:rsidRPr="00662E51">
        <w:rPr>
          <w:rFonts w:cs="Arial"/>
          <w:szCs w:val="24"/>
        </w:rPr>
        <w:fldChar w:fldCharType="separate"/>
      </w:r>
      <w:r w:rsidR="0095662D" w:rsidRPr="00662E51">
        <w:t>(2001)</w:t>
      </w:r>
      <w:r w:rsidRPr="00662E51">
        <w:rPr>
          <w:rFonts w:cs="Arial"/>
          <w:szCs w:val="24"/>
        </w:rPr>
        <w:fldChar w:fldCharType="end"/>
      </w:r>
      <w:r w:rsidRPr="00662E51">
        <w:rPr>
          <w:rFonts w:cs="Arial"/>
          <w:szCs w:val="24"/>
        </w:rPr>
        <w:t xml:space="preserve"> edited special issue was the culmination of decades of postcolonial, feminist, and (non</w:t>
      </w:r>
      <w:r w:rsidR="00F06943">
        <w:rPr>
          <w:rFonts w:cs="Arial"/>
          <w:szCs w:val="24"/>
        </w:rPr>
        <w:t>-</w:t>
      </w:r>
      <w:r w:rsidRPr="00662E51">
        <w:rPr>
          <w:rFonts w:cs="Arial"/>
          <w:szCs w:val="24"/>
        </w:rPr>
        <w:t xml:space="preserve">)representational theorising of the assumed objective and detached nature of fieldwork. No longer should scholars understand the field as spectacular, externalised, disconnected, masculinist, and physical space. However, this work is still in progress </w:t>
      </w:r>
      <w:r w:rsidRPr="00662E51">
        <w:rPr>
          <w:rFonts w:cs="Arial"/>
          <w:szCs w:val="24"/>
        </w:rPr>
        <w:fldChar w:fldCharType="begin"/>
      </w:r>
      <w:r w:rsidR="008835AB" w:rsidRPr="00662E51">
        <w:rPr>
          <w:rFonts w:cs="Arial"/>
          <w:szCs w:val="24"/>
        </w:rPr>
        <w:instrText xml:space="preserve"> ADDIN ZOTERO_ITEM CSL_CITATION {"citationID":"BRW4F3Q8","properties":{"formattedCitation":"(McSweeney and WinklerPrins 2020)","plainCitation":"(McSweeney and WinklerPrins 2020)","noteIndex":0},"citationItems":[{"id":6266,"uris":["http://zotero.org/users/8977980/items/IHSEBFIU"],"itemData":{"id":6266,"type":"article-journal","abstract":"Published in Geographical Review (Vol. 110, No. 1-2, 2020)","archive_location":"world","container-title":"Geographical Review","ISSN":"0016-7428","language":"EN","license":"Copyright © 2019 by the American Geographical Society of New York","publisher":"Routledge","source":"www.tandfonline.com","title":"Introduction to the Special Issue: Fieldwork in the 21st Century","title-short":"Introduction to the Special Issue","URL":"https://www.tandfonline.com/doi/abs/10.1080/00167428.2019.1689361","author":[{"family":"McSweeney","given":"Kendra"},{"family":"WinklerPrins","given":"Antoinette"}],"accessed":{"date-parts":[["2025",1,15]]},"issued":{"date-parts":[["2020",1,2]]}}}],"schema":"https://github.com/citation-style-language/schema/raw/master/csl-citation.json"} </w:instrText>
      </w:r>
      <w:r w:rsidRPr="00662E51">
        <w:rPr>
          <w:rFonts w:cs="Arial"/>
          <w:szCs w:val="24"/>
        </w:rPr>
        <w:fldChar w:fldCharType="separate"/>
      </w:r>
      <w:r w:rsidR="0095662D" w:rsidRPr="00662E51">
        <w:t>(McSweeney and WinklerPrins 2020)</w:t>
      </w:r>
      <w:r w:rsidRPr="00662E51">
        <w:rPr>
          <w:rFonts w:cs="Arial"/>
          <w:szCs w:val="24"/>
        </w:rPr>
        <w:fldChar w:fldCharType="end"/>
      </w:r>
      <w:r w:rsidRPr="00662E51">
        <w:rPr>
          <w:rFonts w:cs="Arial"/>
          <w:szCs w:val="24"/>
        </w:rPr>
        <w:t xml:space="preserve">. As such, rethinking extant </w:t>
      </w:r>
      <w:r w:rsidRPr="00662E51">
        <w:rPr>
          <w:rFonts w:cs="Arial"/>
          <w:szCs w:val="24"/>
        </w:rPr>
        <w:lastRenderedPageBreak/>
        <w:t xml:space="preserve">notions of the field through hybridity is a necessity—it helps academics account for the varied spaces that constitute the field and acknowledge the field’s social construction </w:t>
      </w:r>
      <w:r w:rsidRPr="00662E51">
        <w:rPr>
          <w:rFonts w:cs="Arial"/>
          <w:szCs w:val="24"/>
        </w:rPr>
        <w:fldChar w:fldCharType="begin"/>
      </w:r>
      <w:r w:rsidR="008835AB" w:rsidRPr="00662E51">
        <w:rPr>
          <w:rFonts w:cs="Arial"/>
          <w:szCs w:val="24"/>
        </w:rPr>
        <w:instrText xml:space="preserve"> ADDIN ZOTERO_ITEM CSL_CITATION {"citationID":"D8zxWsiG","properties":{"formattedCitation":"(Yusoff 2007)","plainCitation":"(Yusoff 2007)","noteIndex":0},"citationItems":[{"id":6279,"uris":["http://zotero.org/users/8977980/items/I2849UEB"],"itemData":{"id":6279,"type":"article-journal","abstract":"This article examines attempts to capture and form knowledge about the Antarctic landscape through expeditionary photography and embodied practice. It begins with a visual piece. As an antidote to contemporary investment in heroic Antarctic narratives, Action Man, Antarctic Inertia takes the original 1970s special issue Antarctic Action Man on another kind of journey, restaging his adventures through the landscape. Concentrating on the excessive expenditure of explorers' accounts, as opposed to the heroic destinations of the original, this visual mapping considers non-productive landscape encounters in order to explore other possibilities of staging history and geography. The written essay that forms the second part of this article concentrates on the anxieties of representation that emerge from the interplay between mark making and being marked, and the marks that fall beyond this visual register. Using the metaphor of light, which includes both the light cast on a photographic plate and the dubious physical light of the Antarctic landscape, I examine how this marker both constitutes a trace of history and a fleeting form of knowledge production. As a mode of representation, landscape photography simultaneously illuminates and obscures the histories of encounter with landscape. The argument proceeds by looking at how the photographic frame both arrests landscape and points to a subtle beyond (Barthes). Using narratives from the Heroic era (1890s—1910s) expeditions, I then consider how landscape exposure collides with photographic exposure to present other inhabitations that are in excess of the photograph. In these other narratives, the landscape writes through the body to disrupt the heroic narrative of a contained and purposeful body in the landscape. This Antarctic `look back' ultimately points the way to new geographies of visual culture that expand understand ings of the Antarctic landscape. At the same time, by exceeding the visual, this approach provides the grounds for a renewed ethics of engagement with the ability of landscape to inscribe the explorer's body as he inscribes the surface of the continent through embodied journeys and representational practice. In conclusion, I argue for a reciprocal dialogue between landscape and vision, one that acknowledges that vision is entangled with pain, blindness and excess as much as with a clear sighting of encounter.","container-title":"cultural geographies","DOI":"10.1177/1474474007075355","ISSN":"1474-4740","issue":"2","language":"en","page":"211-233","publisher":"SAGE Publications Ltd","source":"SAGE Journals","title":"Antarctic exposure: archives of the feeling body","title-short":"Antarctic exposure","volume":"14","author":[{"family":"Yusoff","given":"Kathryn"}],"issued":{"date-parts":[["2007",4,1]]}}}],"schema":"https://github.com/citation-style-language/schema/raw/master/csl-citation.json"} </w:instrText>
      </w:r>
      <w:r w:rsidRPr="00662E51">
        <w:rPr>
          <w:rFonts w:cs="Arial"/>
          <w:szCs w:val="24"/>
        </w:rPr>
        <w:fldChar w:fldCharType="separate"/>
      </w:r>
      <w:r w:rsidR="0095662D" w:rsidRPr="00662E51">
        <w:t>(Yusoff 2007)</w:t>
      </w:r>
      <w:r w:rsidRPr="00662E51">
        <w:rPr>
          <w:rFonts w:cs="Arial"/>
          <w:szCs w:val="24"/>
        </w:rPr>
        <w:fldChar w:fldCharType="end"/>
      </w:r>
      <w:r w:rsidRPr="00662E51">
        <w:rPr>
          <w:rFonts w:cs="Arial"/>
          <w:szCs w:val="24"/>
        </w:rPr>
        <w:t xml:space="preserve">. </w:t>
      </w:r>
    </w:p>
    <w:p w14:paraId="5DBA7366" w14:textId="00197F4B" w:rsidR="00C1777F" w:rsidRPr="00662E51" w:rsidRDefault="00C1777F" w:rsidP="00F56305">
      <w:pPr>
        <w:spacing w:line="360" w:lineRule="auto"/>
        <w:ind w:left="0" w:firstLine="720"/>
        <w:contextualSpacing/>
        <w:rPr>
          <w:rFonts w:cs="Arial"/>
          <w:szCs w:val="24"/>
        </w:rPr>
      </w:pPr>
      <w:r w:rsidRPr="00662E51">
        <w:rPr>
          <w:rFonts w:cs="Arial"/>
          <w:szCs w:val="24"/>
        </w:rPr>
        <w:t xml:space="preserve">The implications for this thesis were many, especially as my inquiry was structured by institutional restrictions and timelines. For one, research ethics has historically been criticised as positivist and stringent, not allowing for the flexibility inherent in social science research </w:t>
      </w:r>
      <w:r w:rsidRPr="00662E51">
        <w:rPr>
          <w:rFonts w:cs="Arial"/>
          <w:szCs w:val="24"/>
        </w:rPr>
        <w:fldChar w:fldCharType="begin"/>
      </w:r>
      <w:r w:rsidRPr="00662E51">
        <w:rPr>
          <w:rFonts w:cs="Arial"/>
          <w:szCs w:val="24"/>
        </w:rPr>
        <w:instrText xml:space="preserve"> ADDIN ZOTERO_ITEM CSL_CITATION {"citationID":"Wtws7QFo","properties":{"formattedCitation":"(Haggerty 2004)","plainCitation":"(Haggerty 2004)","noteIndex":0},"citationItems":[{"id":6984,"uris":["http://zotero.org/users/8977980/items/JF6AKLZV"],"itemData":{"id":6984,"type":"article-journal","abstract":"This article presents an analysis of the Canadian ethics review process by a member of a Research Ethics Board. The author suggests that the new formal system for regulating the ethical conduct of scholarly research is experiencing a form of “ethics creep.” This is characterized by a dual process whereby the regulatory system is expanding outward to incorporate a host of new activities and institutions, while at the same time intensifying the regulation of activities deemed to fall within its ambit. These tendencies are demonstrated through an analysis of: 1) the scope of research ethics protocols, 2) the concept of “harm” employed by these boards, 3) the use of informed consent provisions, and 4) the presumption that research participants will remain anonymous. To accentuate the nature of this ethics creep, comparisons are made between the ways in which identical knowledge generation activities are governed within journalism and the academy. The conclusion suggests that one effect of the increasingly formalized research ethics structure is to rupture the relationship between following the rules and acting ethically. Some of the reasons for this “creep” are highlighted along with the risks that it poses for scholarship.","container-title":"Qualitative Sociology","DOI":"10.1023/B:QUAS.0000049239.15922.a3","ISSN":"1573-7837","issue":"4","journalAbbreviation":"Qualitative Sociology","language":"en","page":"391-414","source":"Springer Link","title":"Ethics Creep: Governing Social Science Research in the Name of Ethics","title-short":"Ethics Creep","volume":"27","author":[{"family":"Haggerty","given":"Kevin D."}],"issued":{"date-parts":[["2004",12,1]]}}}],"schema":"https://github.com/citation-style-language/schema/raw/master/csl-citation.json"} </w:instrText>
      </w:r>
      <w:r w:rsidRPr="00662E51">
        <w:rPr>
          <w:rFonts w:cs="Arial"/>
          <w:szCs w:val="24"/>
        </w:rPr>
        <w:fldChar w:fldCharType="separate"/>
      </w:r>
      <w:r w:rsidR="0095662D" w:rsidRPr="00662E51">
        <w:t>(Haggerty 2004)</w:t>
      </w:r>
      <w:r w:rsidRPr="00662E51">
        <w:rPr>
          <w:rFonts w:cs="Arial"/>
          <w:szCs w:val="24"/>
        </w:rPr>
        <w:fldChar w:fldCharType="end"/>
      </w:r>
      <w:r w:rsidRPr="00662E51">
        <w:rPr>
          <w:rFonts w:cs="Arial"/>
          <w:szCs w:val="24"/>
        </w:rPr>
        <w:t xml:space="preserve">. A holistic research approach might have </w:t>
      </w:r>
      <w:r w:rsidR="009C2D1F">
        <w:rPr>
          <w:rFonts w:cs="Arial"/>
          <w:szCs w:val="24"/>
        </w:rPr>
        <w:t>likewise</w:t>
      </w:r>
      <w:r w:rsidRPr="00662E51">
        <w:rPr>
          <w:rFonts w:cs="Arial"/>
          <w:szCs w:val="24"/>
        </w:rPr>
        <w:t xml:space="preserve"> allowed for more time to integrate myself into Tottenham—but my ability to do so was limited by the expectation of one year of fieldwork that is built into funding guidelines. Thus, my use of multiple methods through hybridity and collage were intended to compensate for some of these restrictions.</w:t>
      </w:r>
    </w:p>
    <w:p w14:paraId="0C8388FF" w14:textId="439FB6F1" w:rsidR="000F3E6B" w:rsidRPr="00662E51" w:rsidRDefault="00C1777F" w:rsidP="00AD0B2B">
      <w:pPr>
        <w:spacing w:line="360" w:lineRule="auto"/>
        <w:ind w:left="0" w:firstLine="720"/>
        <w:contextualSpacing/>
        <w:rPr>
          <w:rFonts w:cs="Arial"/>
          <w:szCs w:val="24"/>
        </w:rPr>
      </w:pPr>
      <w:r w:rsidRPr="00662E51">
        <w:rPr>
          <w:rFonts w:cs="Arial"/>
          <w:szCs w:val="24"/>
        </w:rPr>
        <w:t>Hybrid and collage have significant overlap. They both speak to qualitative inquiry’s inherent chaos, both in the mechanics of inquiry as well as ethics of researching with/on the human and more-than-human</w:t>
      </w:r>
      <w:r w:rsidR="00D3240A">
        <w:rPr>
          <w:rFonts w:cs="Arial"/>
          <w:szCs w:val="24"/>
        </w:rPr>
        <w:t xml:space="preserve">. </w:t>
      </w:r>
      <w:r w:rsidRPr="00662E51">
        <w:rPr>
          <w:rFonts w:cs="Arial"/>
          <w:szCs w:val="24"/>
        </w:rPr>
        <w:t>These two approaches work in tandem; indeed, they rely on each other. An open, reflexive, and methodologically flexible approach must treat its field as an active participant, both as an ethical imperative and as a technique of maintaining that openness. Simultaneously, melding method and place can only be done by recognising the multiplicity and thus the intractability of both. Only by remaining open to, and comfortable with, the gaps, overlaps, and fragments of research can this be done. This blending of hybrid and collage reflects the kinds of inquiry I engaged in during my research.</w:t>
      </w:r>
    </w:p>
    <w:p w14:paraId="7816A2A5" w14:textId="77777777" w:rsidR="005A5C06" w:rsidRPr="00662E51" w:rsidRDefault="005A5C06" w:rsidP="00AD0B2B">
      <w:pPr>
        <w:spacing w:line="360" w:lineRule="auto"/>
        <w:ind w:left="0" w:firstLine="720"/>
        <w:contextualSpacing/>
        <w:rPr>
          <w:rFonts w:cs="Arial"/>
          <w:szCs w:val="24"/>
        </w:rPr>
      </w:pPr>
    </w:p>
    <w:p w14:paraId="2D2B5197" w14:textId="3837EC30" w:rsidR="000F3E6B" w:rsidRPr="00662E51" w:rsidRDefault="000F3E6B" w:rsidP="00F56305">
      <w:pPr>
        <w:pStyle w:val="Heading2"/>
      </w:pPr>
      <w:bookmarkStart w:id="256" w:name="_Toc208328789"/>
      <w:bookmarkStart w:id="257" w:name="_Toc213173948"/>
      <w:bookmarkStart w:id="258" w:name="_Toc216096157"/>
      <w:bookmarkStart w:id="259" w:name="_Toc221184337"/>
      <w:bookmarkStart w:id="260" w:name="_Toc231215255"/>
      <w:r w:rsidRPr="00662E51">
        <w:t>Analysis</w:t>
      </w:r>
      <w:bookmarkEnd w:id="256"/>
      <w:bookmarkEnd w:id="257"/>
      <w:bookmarkEnd w:id="258"/>
      <w:bookmarkEnd w:id="259"/>
      <w:r w:rsidR="00BC44B5">
        <w:t>:</w:t>
      </w:r>
      <w:bookmarkEnd w:id="260"/>
    </w:p>
    <w:p w14:paraId="7C4BB0C6" w14:textId="61506D96" w:rsidR="00581AE2" w:rsidRPr="00662E51" w:rsidRDefault="00581AE2" w:rsidP="00F56305">
      <w:pPr>
        <w:spacing w:line="360" w:lineRule="auto"/>
        <w:ind w:left="0"/>
        <w:rPr>
          <w:rFonts w:cs="Arial"/>
          <w:szCs w:val="24"/>
        </w:rPr>
      </w:pPr>
      <w:r w:rsidRPr="00662E51">
        <w:rPr>
          <w:rFonts w:cs="Arial"/>
          <w:szCs w:val="24"/>
        </w:rPr>
        <w:t xml:space="preserve">In keeping with a flexible and open approach to data collection—and because of the variety of methods employed—I </w:t>
      </w:r>
      <w:r w:rsidR="00C42112" w:rsidRPr="00662E51">
        <w:rPr>
          <w:rFonts w:cs="Arial"/>
          <w:szCs w:val="24"/>
        </w:rPr>
        <w:t>used</w:t>
      </w:r>
      <w:r w:rsidRPr="00662E51">
        <w:rPr>
          <w:rFonts w:cs="Arial"/>
          <w:szCs w:val="24"/>
        </w:rPr>
        <w:t xml:space="preserve"> thematic analysis throughout the research process. Succinctly, Thematic Analysis (TA) is a method or tool for identifying and interpreting patterns of meaning that emerge across a dataset </w:t>
      </w:r>
      <w:r w:rsidRPr="00662E51">
        <w:rPr>
          <w:rFonts w:cs="Arial"/>
          <w:szCs w:val="24"/>
        </w:rPr>
        <w:fldChar w:fldCharType="begin"/>
      </w:r>
      <w:r w:rsidRPr="00662E51">
        <w:rPr>
          <w:rFonts w:cs="Arial"/>
          <w:szCs w:val="24"/>
        </w:rPr>
        <w:instrText xml:space="preserve"> ADDIN ZOTERO_ITEM CSL_CITATION {"citationID":"nYL5BILq","properties":{"formattedCitation":"(Clarke and Braun 2017)","plainCitation":"(Clarke and Braun 2017)","noteIndex":0},"citationItems":[{"id":6593,"uris":["http://zotero.org/users/8977980/items/VHSQJHRE"],"itemData":{"id":6593,"type":"article-journal","container-title":"The Journal of Positive Psychology","DOI":"10.1080/17439760.2016.1262613","ISSN":"1743-9760, 1743-9779","issue":"3","journalAbbreviation":"The Journal of Positive Psychology","language":"en","page":"297-298","source":"DOI.org (Crossref)","title":"Thematic analysis","volume":"12","author":[{"family":"Clarke","given":"Victoria"},{"family":"Braun","given":"Virginia"}],"issued":{"date-parts":[["2017",5,4]]}}}],"schema":"https://github.com/citation-style-language/schema/raw/master/csl-citation.json"} </w:instrText>
      </w:r>
      <w:r w:rsidRPr="00662E51">
        <w:rPr>
          <w:rFonts w:cs="Arial"/>
          <w:szCs w:val="24"/>
        </w:rPr>
        <w:fldChar w:fldCharType="separate"/>
      </w:r>
      <w:r w:rsidR="0095662D" w:rsidRPr="00662E51">
        <w:t>(Clarke and Braun 2017)</w:t>
      </w:r>
      <w:r w:rsidRPr="00662E51">
        <w:rPr>
          <w:rFonts w:cs="Arial"/>
          <w:szCs w:val="24"/>
        </w:rPr>
        <w:fldChar w:fldCharType="end"/>
      </w:r>
      <w:r w:rsidRPr="00662E51">
        <w:rPr>
          <w:rFonts w:cs="Arial"/>
          <w:szCs w:val="24"/>
        </w:rPr>
        <w:t xml:space="preserve">. My approach to TA broadly followed Attride-Stirling </w:t>
      </w:r>
      <w:r w:rsidRPr="00662E51">
        <w:rPr>
          <w:rFonts w:cs="Arial"/>
          <w:szCs w:val="24"/>
        </w:rPr>
        <w:fldChar w:fldCharType="begin"/>
      </w:r>
      <w:r w:rsidR="008835AB" w:rsidRPr="00662E51">
        <w:rPr>
          <w:rFonts w:cs="Arial"/>
          <w:szCs w:val="24"/>
        </w:rPr>
        <w:instrText xml:space="preserve"> ADDIN ZOTERO_ITEM CSL_CITATION {"citationID":"yGV9Oguy","properties":{"formattedCitation":"(2001)","plainCitation":"(2001)","noteIndex":0},"citationItems":[{"id":6598,"uris":["http://zotero.org/users/8977980/items/XXXLNK2M"],"itemData":{"id":6598,"type":"article-journal","abstract":"The growth in qualitative research is a well-noted and welcomed fact within the social sciences; however, there is a regrettable lack of tools available for the analysis of qualitative material. There is a need for greater disclosure in qualitative analysis, and for more sophisticated tools to facilitate such analyses. This article details a technique for conducting thematic analysis of qualitative material, presenting a step-by-step guide of the analytic process, with the aid of an empirical example. The analytic method presented employs established, well-known techniques; the article proposes that thematic analyses can be usefully aided by and presented as thematic networks. Thematic networks are web-like illustrations that summarize the main themes constituting a piece of text. The thematic networks technique is a robust and highly sensitive tool for the systematization and presentation of qualitative analyses.","container-title":"Qualitative Research","DOI":"10.1177/146879410100100307","ISSN":"1468-7941","issue":"3","language":"EN","page":"385-405","publisher":"SAGE Publications","source":"SAGE Journals","title":"Thematic networks: an analytic tool for qualitative research","title-short":"Thematic networks","volume":"1","author":[{"family":"Attride-Stirling","given":"Jennifer"}],"issued":{"date-parts":[["2001",12,1]]}},"label":"page","suppress-author":true}],"schema":"https://github.com/citation-style-language/schema/raw/master/csl-citation.json"} </w:instrText>
      </w:r>
      <w:r w:rsidRPr="00662E51">
        <w:rPr>
          <w:rFonts w:cs="Arial"/>
          <w:szCs w:val="24"/>
        </w:rPr>
        <w:fldChar w:fldCharType="separate"/>
      </w:r>
      <w:r w:rsidR="0095662D" w:rsidRPr="00662E51">
        <w:t>(2001)</w:t>
      </w:r>
      <w:r w:rsidRPr="00662E51">
        <w:rPr>
          <w:rFonts w:cs="Arial"/>
          <w:szCs w:val="24"/>
        </w:rPr>
        <w:fldChar w:fldCharType="end"/>
      </w:r>
      <w:r w:rsidRPr="00662E51">
        <w:rPr>
          <w:rFonts w:cs="Arial"/>
          <w:szCs w:val="24"/>
        </w:rPr>
        <w:t xml:space="preserve">’s recommendations to build upwards, fashioning a hierarchy of themes ranging from basic to global topics. Transcripts and documents were read and </w:t>
      </w:r>
      <w:r w:rsidRPr="00662E51">
        <w:rPr>
          <w:rFonts w:cs="Arial"/>
          <w:szCs w:val="24"/>
        </w:rPr>
        <w:lastRenderedPageBreak/>
        <w:t xml:space="preserve">coded twice, with some read a third time where I judged them to be of more importance. I used a combination of deductive and inductive coding. I began with commonalities across texts while paying attention to the minute differences between each, building towards a common set of hierarchical themes </w:t>
      </w:r>
      <w:r w:rsidRPr="00662E51">
        <w:rPr>
          <w:rFonts w:cs="Arial"/>
          <w:szCs w:val="24"/>
        </w:rPr>
        <w:fldChar w:fldCharType="begin"/>
      </w:r>
      <w:r w:rsidR="008835AB" w:rsidRPr="00662E51">
        <w:rPr>
          <w:rFonts w:cs="Arial"/>
          <w:szCs w:val="24"/>
        </w:rPr>
        <w:instrText xml:space="preserve"> ADDIN ZOTERO_ITEM CSL_CITATION {"citationID":"vmr4Za2h","properties":{"formattedCitation":"(Proudfoot 2023)","plainCitation":"(Proudfoot 2023)","noteIndex":0},"citationItems":[{"id":6595,"uris":["http://zotero.org/users/8977980/items/5343HAHE"],"itemData":{"id":6595,"type":"article-journal","abstract":"Inductive/deductive hybrid thematic analysis offers significant opportunities for researchers, but its application within integrative mixed methods research has yet to be fully explored. Firstly, this article contributes by demonstrating the compatibility of inductive/deductive hybrid thematic analysis with quantitative work in a mixed methods approach to research. Secondly, the article then innovates by highlighting the value of this approach within a critical realist meta-theoretical perspective. Here, the critical realist concepts of abduction and retroduction are crucial, both in terms of facilitating the convergence of methods and in the generation of new theory. This article will be of relevance to researchers interested in integrating inductive/deductive hybrid thematic analysis with quantitative methods within a coherent and enabling philosophical paradigm.","container-title":"Journal of Mixed Methods Research","DOI":"10.1177/15586898221126816","ISSN":"1558-6898","issue":"3","language":"EN","page":"308-326","publisher":"SAGE Publications","source":"SAGE Journals","title":"Inductive/Deductive Hybrid Thematic Analysis in Mixed Methods Research","volume":"17","author":[{"family":"Proudfoot","given":"Kevin"}],"issued":{"date-parts":[["2023",7,1]]}}}],"schema":"https://github.com/citation-style-language/schema/raw/master/csl-citation.json"} </w:instrText>
      </w:r>
      <w:r w:rsidRPr="00662E51">
        <w:rPr>
          <w:rFonts w:cs="Arial"/>
          <w:szCs w:val="24"/>
        </w:rPr>
        <w:fldChar w:fldCharType="separate"/>
      </w:r>
      <w:r w:rsidR="0095662D" w:rsidRPr="00662E51">
        <w:t>(Proudfoot 2023)</w:t>
      </w:r>
      <w:r w:rsidRPr="00662E51">
        <w:rPr>
          <w:rFonts w:cs="Arial"/>
          <w:szCs w:val="24"/>
        </w:rPr>
        <w:fldChar w:fldCharType="end"/>
      </w:r>
      <w:r w:rsidRPr="00662E51">
        <w:rPr>
          <w:rFonts w:cs="Arial"/>
          <w:szCs w:val="24"/>
        </w:rPr>
        <w:t xml:space="preserve">. Text fragments were not put in closed codes; instead, quotes were organised around wider themes. In this occasion, codes were fragments </w:t>
      </w:r>
      <w:r w:rsidRPr="00662E51">
        <w:rPr>
          <w:rFonts w:cs="Arial"/>
          <w:i/>
          <w:iCs/>
          <w:szCs w:val="24"/>
        </w:rPr>
        <w:t>qua</w:t>
      </w:r>
      <w:r w:rsidRPr="00662E51">
        <w:rPr>
          <w:rFonts w:cs="Arial"/>
          <w:szCs w:val="24"/>
        </w:rPr>
        <w:t xml:space="preserve"> fragments, meant to be generative in relation to a set of snippets of interviews. That is, they were worked together to </w:t>
      </w:r>
      <w:r w:rsidR="002F6809">
        <w:rPr>
          <w:rFonts w:cs="Arial"/>
          <w:szCs w:val="24"/>
        </w:rPr>
        <w:t xml:space="preserve">peer through the stories </w:t>
      </w:r>
      <w:r w:rsidRPr="00662E51">
        <w:rPr>
          <w:rFonts w:cs="Arial"/>
          <w:szCs w:val="24"/>
        </w:rPr>
        <w:t xml:space="preserve">told by interviewees to understand deeper layers of meaning </w:t>
      </w:r>
      <w:r w:rsidRPr="00662E51">
        <w:rPr>
          <w:rFonts w:cs="Arial"/>
          <w:szCs w:val="24"/>
        </w:rPr>
        <w:fldChar w:fldCharType="begin"/>
      </w:r>
      <w:r w:rsidRPr="00662E51">
        <w:rPr>
          <w:rFonts w:cs="Arial"/>
          <w:szCs w:val="24"/>
        </w:rPr>
        <w:instrText xml:space="preserve"> ADDIN ZOTERO_ITEM CSL_CITATION {"citationID":"A9B722nk","properties":{"formattedCitation":"(McFarlane 2018)","plainCitation":"(McFarlane 2018)","noteIndex":0},"citationItems":[{"id":87,"uris":["http://zotero.org/users/8977980/items/AA327SLC"],"itemData":{"id":87,"type":"article-journal","abstract":"Fragmentation is a keyword in the history of critical urban thought. Yet the products of fragmentation – the fragments themselves – tend to receive less attention. In this paper, I develop a politics of urban fragments as a contribution to debates both in urban theory and in urban poverty and inequality. I examine inadequate and broken material fragments on the economic margins of the urban global South, and ask how they become differently politicized in cities. I develop a three-fold framework for understanding the politics of fragments: attending to, generative translation and surveying wholes. I build these arguments through a focus on a fundamental provision – urban sanitation – drawing on research in Mumbai in particular, as well as Cape Town, and connecting those instances to research on urban poverty, politics and fragmentation.","container-title":"Environment and Planning D: Society and Space","DOI":"10.1177/0263775818777496","ISSN":"0263-7758, 1472-3433","issue":"6","journalAbbreviation":"Environ Plan D","language":"en","page":"1007-1025","source":"DOI.org (Crossref)","title":"Fragment urbanism: Politics at the margins of the city","title-short":"Fragment urbanism","volume":"36","author":[{"family":"McFarlane","given":"Colin"}],"issued":{"date-parts":[["2018",12]]}}}],"schema":"https://github.com/citation-style-language/schema/raw/master/csl-citation.json"} </w:instrText>
      </w:r>
      <w:r w:rsidRPr="00662E51">
        <w:rPr>
          <w:rFonts w:cs="Arial"/>
          <w:szCs w:val="24"/>
        </w:rPr>
        <w:fldChar w:fldCharType="separate"/>
      </w:r>
      <w:r w:rsidR="0095662D" w:rsidRPr="00662E51">
        <w:t>(McFarlane 2018)</w:t>
      </w:r>
      <w:r w:rsidRPr="00662E51">
        <w:rPr>
          <w:rFonts w:cs="Arial"/>
          <w:szCs w:val="24"/>
        </w:rPr>
        <w:fldChar w:fldCharType="end"/>
      </w:r>
      <w:r w:rsidRPr="00662E51">
        <w:rPr>
          <w:rFonts w:cs="Arial"/>
          <w:szCs w:val="24"/>
        </w:rPr>
        <w:t xml:space="preserve">. The set of themes necessarily grew throughout the research, especially because I iterated my analysis. Themes, instead of codes, allowed for a more holistic and flexible approach. It also meant I read the fragments in context, making sure to take in as much of the detail as possible. I coded text using NVivo, which was provided by Durham University. This software was chosen as I had existing familiarity with it. Computer assisted qualitative data analysis (CAQDAS) </w:t>
      </w:r>
      <w:r w:rsidR="00767C7C">
        <w:rPr>
          <w:rFonts w:cs="Arial"/>
          <w:szCs w:val="24"/>
        </w:rPr>
        <w:t xml:space="preserve">software </w:t>
      </w:r>
      <w:r w:rsidRPr="00662E51">
        <w:rPr>
          <w:rFonts w:cs="Arial"/>
          <w:szCs w:val="24"/>
        </w:rPr>
        <w:t xml:space="preserve">like NVivo, which allowed for easier review of the data for a few reasons </w:t>
      </w:r>
      <w:r w:rsidRPr="00662E51">
        <w:rPr>
          <w:rFonts w:cs="Arial"/>
          <w:szCs w:val="24"/>
        </w:rPr>
        <w:fldChar w:fldCharType="begin"/>
      </w:r>
      <w:r w:rsidRPr="00662E51">
        <w:rPr>
          <w:rFonts w:cs="Arial"/>
          <w:szCs w:val="24"/>
        </w:rPr>
        <w:instrText xml:space="preserve"> ADDIN ZOTERO_ITEM CSL_CITATION {"citationID":"jICvbwOZ","properties":{"formattedCitation":"(Welsh 2002)","plainCitation":"(Welsh 2002)","noteIndex":0},"citationItems":[{"id":6600,"uris":["http://zotero.org/users/8977980/items/TSH56AYC"],"itemData":{"id":6600,"type":"article-journal","abstract":"Dieser Aufsatz behandelt die Art und Weise, wie eine QDA-Software – hier Nvivo – im qualitativen Analyseprozess eingesetzt werden kann. Computerunterstützte qualitative Datenanalysesoftware (CAQDAS) wird als ein Werkzeug beschrieben, das Forschende in ihrer Suche nach einer akkuraten und transparenten Repräsentation der Daten unterstützt, während zur gleichen Zeit ein Audit des Analyseprozess als Ganzes ermöglicht wird – etwas, was oft in Darstellungen des qualitativen Datenanalyseprozesses fehlt. In diesem Beitrag vergleiche ich manuelle Methoden der qualitativen Datenanalyse von Interviewtranskripten mit der Anwendung von Nvivo für den Auswertungsprozess. Im besonderen untersuche ich die Schwierigkeiten, die im Zusammenhang mit der detaillierten Analyse von Interviewtranskripten auftreten können, und befasse mich mit der Frage der Reliabilität und Validität des Analyseprozesses und seiner Ergebnisse. Die zeitlichen Investitionen, die erforderlich sind, um das gesamte Potential von NVivo auszuschöpfen, werden ebenfalls diskutiert. Es wird gezeigt, dass eine Kombination von manuellen und computerunterstützten Verfahren am sinnvollsten zu sein scheint.\nURN: urn:nbn:de:0114-fqs0202260","container-title":"Forum Qualitative Sozialforschung / Forum: Qualitative Social Research","DOI":"10.17169/fqs-3.2.865","ISSN":"1438-5627","issue":"2","language":"en","license":"Copyright (c) 2002 Elaine Welsh","note":"number: 2","source":"www.qualitative-research.net","title":"Dealing with Data: Using NVivo in the Qualitative Data Analysis Process","title-short":"Dealing with Data","URL":"https://www.qualitative-research.net/index.php/fqs/article/view/865","volume":"3","author":[{"family":"Welsh","given":"Elaine"}],"accessed":{"date-parts":[["2025",6,26]]},"issued":{"date-parts":[["2002",5,31]]}}}],"schema":"https://github.com/citation-style-language/schema/raw/master/csl-citation.json"} </w:instrText>
      </w:r>
      <w:r w:rsidRPr="00662E51">
        <w:rPr>
          <w:rFonts w:cs="Arial"/>
          <w:szCs w:val="24"/>
        </w:rPr>
        <w:fldChar w:fldCharType="separate"/>
      </w:r>
      <w:r w:rsidR="0095662D" w:rsidRPr="00662E51">
        <w:t>(Welsh 2002)</w:t>
      </w:r>
      <w:r w:rsidRPr="00662E51">
        <w:rPr>
          <w:rFonts w:cs="Arial"/>
          <w:szCs w:val="24"/>
        </w:rPr>
        <w:fldChar w:fldCharType="end"/>
      </w:r>
      <w:r w:rsidRPr="00662E51">
        <w:rPr>
          <w:rFonts w:cs="Arial"/>
          <w:szCs w:val="24"/>
        </w:rPr>
        <w:t xml:space="preserve">. First, it made data management simpler. Second, CAQDAS allows for search across multiple documents, making comparison easier. Finally, building a hierarchy of themes was made easier using software—allowing for more comprehensive and quick analysis. </w:t>
      </w:r>
    </w:p>
    <w:p w14:paraId="7EC98653" w14:textId="61169935" w:rsidR="00581AE2" w:rsidRPr="00662E51" w:rsidRDefault="00581AE2" w:rsidP="00F56305">
      <w:pPr>
        <w:spacing w:line="360" w:lineRule="auto"/>
        <w:ind w:left="0"/>
        <w:rPr>
          <w:rFonts w:cs="Arial"/>
          <w:szCs w:val="24"/>
        </w:rPr>
      </w:pPr>
      <w:r w:rsidRPr="00662E51">
        <w:rPr>
          <w:rFonts w:cs="Arial"/>
          <w:szCs w:val="24"/>
        </w:rPr>
        <w:tab/>
        <w:t xml:space="preserve">For archival </w:t>
      </w:r>
      <w:r w:rsidR="00040D95" w:rsidRPr="00662E51">
        <w:rPr>
          <w:rFonts w:cs="Arial"/>
          <w:szCs w:val="24"/>
        </w:rPr>
        <w:t>documents</w:t>
      </w:r>
      <w:r w:rsidRPr="00662E51">
        <w:rPr>
          <w:rFonts w:cs="Arial"/>
          <w:szCs w:val="24"/>
        </w:rPr>
        <w:t xml:space="preserve">, I took photos with my mobile phone and transcribed useful documents with the assistance of NVivo’s open optical character recognition (OCR) software. As documents were all uploaded online and downloadable, analysis was much easier. When some documents were not searchable, I again used NVivo OCR. In-person interviews were recorded on my mobile phone and then transcribed using Microsoft Word’s internal transcription service. Online interviews were recorded, and the software (either Zoom or Teams) provided its own transcription service, which I used. Outputs across all three data sources were then checked for grammar and spelling errors when necessary. I treated each class of text as one group: that is, I did not generate separate codebooks for classes of documents but rather one larger codebook in which codes had various densities depending on the type of document. Initial codes were open: </w:t>
      </w:r>
      <w:r w:rsidRPr="00662E51">
        <w:rPr>
          <w:rFonts w:cs="Arial"/>
          <w:szCs w:val="24"/>
        </w:rPr>
        <w:lastRenderedPageBreak/>
        <w:t xml:space="preserve">the focus was on starting to find patterns of meaning. Later iterations had wider and wider themes before several global themes emerged. Simultaneously, I had a few key themes to start with, which mostly concentrated on acts of citizenship (and their reception), illiberal practices, and social housing stigma, among others. Coding was done until I reached saturation, following Braun and Clarke’s </w:t>
      </w:r>
      <w:r w:rsidRPr="00662E51">
        <w:rPr>
          <w:rFonts w:cs="Arial"/>
          <w:szCs w:val="24"/>
        </w:rPr>
        <w:fldChar w:fldCharType="begin"/>
      </w:r>
      <w:r w:rsidR="008835AB" w:rsidRPr="00662E51">
        <w:rPr>
          <w:rFonts w:cs="Arial"/>
          <w:szCs w:val="24"/>
        </w:rPr>
        <w:instrText xml:space="preserve"> ADDIN ZOTERO_ITEM CSL_CITATION {"citationID":"PEqo3qG8","properties":{"formattedCitation":"(2021)","plainCitation":"(2021)","noteIndex":0},"citationItems":[{"id":6599,"uris":["http://zotero.org/users/8977980/items/36SLGL9A"],"itemData":{"id":6599,"type":"article-journal","abstract":"The concept of data saturation, defined as ‘information redundancy’ or the point at which no new themes or codes ‘emerge’ from data, is widely referenced in thematic analysis (TA) research in sport and exercise, and beyond. Several researchers have sought to ‘operationalise’ data saturation and provide concrete guidance on how many interviews, or focus groups, are enough to achieve some degree of data saturation in TA research. Our disagreement with such attempts to ‘capture’ data saturation for TA led us to this commentary. Here, we contribute to critical discussions of the saturation concept in qualitative research by interrogating the assumptions around the practice and procedures of TA that inform these data saturation ‘experiments’, and the conceptualisation of saturation as information redundancy. We argue that although the concepts of data-, thematic- or code-saturation, and even meaning-saturation, are coherent with the neo-positivist, discovery-oriented, meaning excavation project of coding reliability types of TA, they are not consistent with the values and assumptions of reflexive TA. We encourage sport and exercise and other researchers using reflexive TA to dwell with uncertainty and recognise that meaning is generated through interpretation of, not excavated from, data, and therefore judgements about ‘how many’ data items, and when to stop data collection, are inescapably situated and subjective, and cannot be determined (wholly) in advance of analysis.","container-title":"Qualitative Research in Sport, Exercise and Health","DOI":"10.1080/2159676X.2019.1704846","ISSN":"2159-676X","issue":"2","note":"_eprint: https://doi.org/10.1080/2159676X.2019.1704846","page":"201-216","publisher":"Routledge","source":"Taylor and Francis+NEJM","title":"To saturate or not to saturate? Questioning data saturation as a useful concept for thematic analysis and sample-size rationales","title-short":"To saturate or not to saturate?","volume":"13","author":[{"family":"Braun","given":"Virginia"},{"family":"Clarke","given":"Victoria"}],"issued":{"date-parts":[["2021",3,4]]}},"label":"page","suppress-author":true}],"schema":"https://github.com/citation-style-language/schema/raw/master/csl-citation.json"} </w:instrText>
      </w:r>
      <w:r w:rsidRPr="00662E51">
        <w:rPr>
          <w:rFonts w:cs="Arial"/>
          <w:szCs w:val="24"/>
        </w:rPr>
        <w:fldChar w:fldCharType="separate"/>
      </w:r>
      <w:r w:rsidR="0095662D" w:rsidRPr="00662E51">
        <w:t>(2021)</w:t>
      </w:r>
      <w:r w:rsidRPr="00662E51">
        <w:rPr>
          <w:rFonts w:cs="Arial"/>
          <w:szCs w:val="24"/>
        </w:rPr>
        <w:fldChar w:fldCharType="end"/>
      </w:r>
      <w:r w:rsidRPr="00662E51">
        <w:rPr>
          <w:rFonts w:cs="Arial"/>
          <w:szCs w:val="24"/>
        </w:rPr>
        <w:t xml:space="preserve"> suggestion of not aiming for a specific target but rather staying in tune with the constructivist nature of knowledge generation (instead of empiricist-oriented notions of data ‘discovery’). </w:t>
      </w:r>
    </w:p>
    <w:p w14:paraId="14331BA9" w14:textId="5DFDEE0C" w:rsidR="00581AE2" w:rsidRDefault="00581AE2" w:rsidP="00F56305">
      <w:pPr>
        <w:spacing w:line="360" w:lineRule="auto"/>
        <w:ind w:left="0"/>
        <w:rPr>
          <w:rFonts w:cs="Arial"/>
          <w:szCs w:val="24"/>
        </w:rPr>
      </w:pPr>
      <w:r w:rsidRPr="00662E51">
        <w:rPr>
          <w:rFonts w:cs="Arial"/>
          <w:szCs w:val="24"/>
        </w:rPr>
        <w:tab/>
        <w:t xml:space="preserve">In keeping with my aforementioned approaches of collage and hybridity, analysis proceeded in </w:t>
      </w:r>
      <w:r w:rsidRPr="00662E51">
        <w:rPr>
          <w:rFonts w:cs="Arial"/>
          <w:i/>
          <w:iCs/>
          <w:szCs w:val="24"/>
        </w:rPr>
        <w:t>dialogue with</w:t>
      </w:r>
      <w:r w:rsidRPr="00662E51">
        <w:rPr>
          <w:rFonts w:cs="Arial"/>
          <w:szCs w:val="24"/>
        </w:rPr>
        <w:t xml:space="preserve"> the data as opposed </w:t>
      </w:r>
      <w:r w:rsidRPr="00662E51">
        <w:rPr>
          <w:rFonts w:cs="Arial"/>
          <w:i/>
          <w:iCs/>
          <w:szCs w:val="24"/>
        </w:rPr>
        <w:t>on</w:t>
      </w:r>
      <w:r w:rsidRPr="00662E51">
        <w:rPr>
          <w:rFonts w:cs="Arial"/>
          <w:szCs w:val="24"/>
        </w:rPr>
        <w:t xml:space="preserve"> the data. The best way of explaining this difference is through an example from my paper on temporality in researching Broadwater Farm</w:t>
      </w:r>
      <w:r w:rsidR="006A01C3">
        <w:rPr>
          <w:rFonts w:cs="Arial"/>
          <w:szCs w:val="24"/>
        </w:rPr>
        <w:t xml:space="preserve">. </w:t>
      </w:r>
      <w:r w:rsidRPr="00662E51">
        <w:rPr>
          <w:rFonts w:cs="Arial"/>
          <w:szCs w:val="24"/>
        </w:rPr>
        <w:t>This excerpt considered overhead walkways between buildings on the estate</w:t>
      </w:r>
      <w:r w:rsidR="00E34C7F">
        <w:rPr>
          <w:rFonts w:cs="Arial"/>
          <w:szCs w:val="24"/>
        </w:rPr>
        <w:t>, as discussed in Chapter 5</w:t>
      </w:r>
      <w:r w:rsidRPr="00662E51">
        <w:rPr>
          <w:rFonts w:cs="Arial"/>
          <w:szCs w:val="24"/>
        </w:rPr>
        <w:t xml:space="preserve">: </w:t>
      </w:r>
    </w:p>
    <w:p w14:paraId="20CA587C" w14:textId="77777777" w:rsidR="00E34C7F" w:rsidRPr="00662E51" w:rsidRDefault="00E34C7F" w:rsidP="00E34C7F">
      <w:pPr>
        <w:ind w:left="0"/>
        <w:rPr>
          <w:rFonts w:cs="Arial"/>
          <w:szCs w:val="24"/>
        </w:rPr>
      </w:pPr>
    </w:p>
    <w:p w14:paraId="07B8DF77" w14:textId="1239054E" w:rsidR="00581AE2" w:rsidRDefault="00581AE2" w:rsidP="00E34C7F">
      <w:pPr>
        <w:ind w:left="720"/>
        <w:rPr>
          <w:rFonts w:cs="Arial"/>
          <w:szCs w:val="24"/>
        </w:rPr>
      </w:pPr>
      <w:r w:rsidRPr="00662E51">
        <w:rPr>
          <w:rFonts w:cs="Arial"/>
          <w:szCs w:val="24"/>
        </w:rPr>
        <w:t>As aforementioned, BYFA walkways surfaced in multiple, overlapping data sources. Interpreting its significance was only possible through the bouncing between those different sources, not as an exercise in triangulation but in collage. The site time of the walkways (see Sect</w:t>
      </w:r>
      <w:r w:rsidR="00F90455" w:rsidRPr="00662E51">
        <w:rPr>
          <w:rFonts w:cs="Arial"/>
          <w:szCs w:val="24"/>
        </w:rPr>
        <w:t xml:space="preserve">ion 4.1.5, </w:t>
      </w:r>
      <w:r w:rsidRPr="00662E51">
        <w:rPr>
          <w:rFonts w:cs="Arial"/>
          <w:szCs w:val="24"/>
        </w:rPr>
        <w:t xml:space="preserve">City Walking and Walking Methods; Chiles, 2021) extended out in many different archives, parts of the estate, and moments in my interviews. The BYFA’s destruction of the walkways as part of an authoritarian crackdown to a Black uprising evoked contradictions and queries around the nature of political activism, radical politics, and the nature of racial oppression in Britain </w:t>
      </w:r>
      <w:r w:rsidRPr="00662E51">
        <w:rPr>
          <w:rFonts w:cs="Arial"/>
          <w:szCs w:val="24"/>
        </w:rPr>
        <w:fldChar w:fldCharType="begin"/>
      </w:r>
      <w:r w:rsidR="008835AB" w:rsidRPr="00662E51">
        <w:rPr>
          <w:rFonts w:cs="Arial"/>
          <w:szCs w:val="24"/>
        </w:rPr>
        <w:instrText xml:space="preserve"> ADDIN ZOTERO_ITEM CSL_CITATION {"citationID":"9GmXL2LL","properties":{"formattedCitation":"(Elliott-Cooper 2021)","plainCitation":"(Elliott-Cooper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schema":"https://github.com/citation-style-language/schema/raw/master/csl-citation.json"} </w:instrText>
      </w:r>
      <w:r w:rsidRPr="00662E51">
        <w:rPr>
          <w:rFonts w:cs="Arial"/>
          <w:szCs w:val="24"/>
        </w:rPr>
        <w:fldChar w:fldCharType="separate"/>
      </w:r>
      <w:r w:rsidR="0095662D" w:rsidRPr="00662E51">
        <w:t>(Elliott-Cooper 2021)</w:t>
      </w:r>
      <w:r w:rsidRPr="00662E51">
        <w:rPr>
          <w:rFonts w:cs="Arial"/>
          <w:szCs w:val="24"/>
        </w:rPr>
        <w:fldChar w:fldCharType="end"/>
      </w:r>
      <w:r w:rsidRPr="00662E51">
        <w:rPr>
          <w:rFonts w:cs="Arial"/>
          <w:szCs w:val="24"/>
        </w:rPr>
        <w:t>. Considering the nested-time of Broadwater Farm thus tuned my analysis to the variegated experiences embedded in my field’s physical landscape and the temporal contractions that comprise the field</w:t>
      </w:r>
      <w:r w:rsidR="006A01C3">
        <w:rPr>
          <w:rFonts w:cs="Arial"/>
          <w:szCs w:val="24"/>
        </w:rPr>
        <w:t xml:space="preserve"> </w:t>
      </w:r>
      <w:r w:rsidR="006A01C3" w:rsidRPr="00662E51">
        <w:rPr>
          <w:rFonts w:cs="Arial"/>
          <w:szCs w:val="24"/>
        </w:rPr>
        <w:fldChar w:fldCharType="begin"/>
      </w:r>
      <w:r w:rsidR="006A01C3">
        <w:rPr>
          <w:rFonts w:cs="Arial"/>
          <w:szCs w:val="24"/>
        </w:rPr>
        <w:instrText xml:space="preserve"> ADDIN ZOTERO_ITEM CSL_CITATION {"citationID":"733ZOFIc","properties":{"formattedCitation":"(Sindhwani 2025c, 16)","plainCitation":"(Sindhwani 2025c, 16)","noteIndex":0},"citationItems":[{"id":6603,"uris":["http://zotero.org/users/8977980/items/HQJ2M53X"],"itemData":{"id":6603,"type":"manuscript","genre":"Manuscript under review","title":"Time in the Collage of Field and Work","author":[{"family":"Sindhwani","given":"Anil"}],"issued":{"date-parts":[["2025"]]}},"locator":"16","label":"page"}],"schema":"https://github.com/citation-style-language/schema/raw/master/csl-citation.json"} </w:instrText>
      </w:r>
      <w:r w:rsidR="006A01C3" w:rsidRPr="00662E51">
        <w:rPr>
          <w:rFonts w:cs="Arial"/>
          <w:szCs w:val="24"/>
        </w:rPr>
        <w:fldChar w:fldCharType="separate"/>
      </w:r>
      <w:r w:rsidR="006A01C3" w:rsidRPr="00A10C26">
        <w:t>(Sindhwani 2025c, 16)</w:t>
      </w:r>
      <w:r w:rsidR="006A01C3" w:rsidRPr="00662E51">
        <w:rPr>
          <w:rFonts w:cs="Arial"/>
          <w:szCs w:val="24"/>
        </w:rPr>
        <w:fldChar w:fldCharType="end"/>
      </w:r>
      <w:r w:rsidR="006A01C3" w:rsidRPr="00662E51">
        <w:rPr>
          <w:rFonts w:cs="Arial"/>
          <w:szCs w:val="24"/>
        </w:rPr>
        <w:t>.</w:t>
      </w:r>
    </w:p>
    <w:p w14:paraId="6741011B" w14:textId="77777777" w:rsidR="00E34C7F" w:rsidRPr="00662E51" w:rsidRDefault="00E34C7F" w:rsidP="00E34C7F">
      <w:pPr>
        <w:ind w:left="720"/>
        <w:rPr>
          <w:rFonts w:cs="Arial"/>
          <w:szCs w:val="24"/>
        </w:rPr>
      </w:pPr>
    </w:p>
    <w:p w14:paraId="5A618D21" w14:textId="7AEFEB1C" w:rsidR="00581AE2" w:rsidRPr="00662E51" w:rsidRDefault="00581AE2" w:rsidP="00F56305">
      <w:pPr>
        <w:spacing w:line="360" w:lineRule="auto"/>
        <w:ind w:left="0"/>
        <w:rPr>
          <w:rFonts w:cs="Arial"/>
          <w:szCs w:val="24"/>
        </w:rPr>
      </w:pPr>
      <w:r w:rsidRPr="00662E51">
        <w:rPr>
          <w:rFonts w:cs="Arial"/>
          <w:szCs w:val="24"/>
        </w:rPr>
        <w:t xml:space="preserve">This sort of open analysis was present throughout the research process and across the three empirical examples. Even when iterating through codes, I ensured to keep the global themes in mind, with the aim of building a wide </w:t>
      </w:r>
      <w:r w:rsidR="000C091A">
        <w:rPr>
          <w:rFonts w:cs="Arial"/>
          <w:szCs w:val="24"/>
        </w:rPr>
        <w:t xml:space="preserve">research </w:t>
      </w:r>
      <w:r w:rsidRPr="00662E51">
        <w:rPr>
          <w:rFonts w:cs="Arial"/>
          <w:szCs w:val="24"/>
        </w:rPr>
        <w:t>fram</w:t>
      </w:r>
      <w:r w:rsidR="000C091A">
        <w:rPr>
          <w:rFonts w:cs="Arial"/>
          <w:szCs w:val="24"/>
        </w:rPr>
        <w:t>e.</w:t>
      </w:r>
      <w:r w:rsidRPr="00662E51">
        <w:rPr>
          <w:rFonts w:cs="Arial"/>
          <w:szCs w:val="24"/>
        </w:rPr>
        <w:t xml:space="preserve"> </w:t>
      </w:r>
    </w:p>
    <w:p w14:paraId="35DE1368" w14:textId="77777777" w:rsidR="000F3E6B" w:rsidRPr="00662E51" w:rsidRDefault="000F3E6B" w:rsidP="00F56305">
      <w:pPr>
        <w:spacing w:line="360" w:lineRule="auto"/>
        <w:ind w:left="0"/>
        <w:rPr>
          <w:rFonts w:cs="Arial"/>
          <w:szCs w:val="24"/>
        </w:rPr>
      </w:pPr>
    </w:p>
    <w:p w14:paraId="239B495C" w14:textId="77777777" w:rsidR="000F3E6B" w:rsidRPr="00662E51" w:rsidRDefault="000F3E6B" w:rsidP="00F56305">
      <w:pPr>
        <w:pStyle w:val="Heading2"/>
      </w:pPr>
      <w:bookmarkStart w:id="261" w:name="_Toc208328790"/>
      <w:bookmarkStart w:id="262" w:name="_Toc213173949"/>
      <w:bookmarkStart w:id="263" w:name="_Toc216096158"/>
      <w:bookmarkStart w:id="264" w:name="_Toc221184338"/>
      <w:bookmarkStart w:id="265" w:name="_Toc231215256"/>
      <w:r w:rsidRPr="00662E51">
        <w:t>Research Ethics</w:t>
      </w:r>
      <w:bookmarkEnd w:id="261"/>
      <w:bookmarkEnd w:id="262"/>
      <w:bookmarkEnd w:id="263"/>
      <w:bookmarkEnd w:id="264"/>
      <w:bookmarkEnd w:id="265"/>
    </w:p>
    <w:p w14:paraId="435C75C2" w14:textId="6BD9DE04" w:rsidR="0088231B" w:rsidRPr="00662E51" w:rsidRDefault="0088231B" w:rsidP="00F56305">
      <w:pPr>
        <w:spacing w:line="360" w:lineRule="auto"/>
        <w:ind w:left="0"/>
        <w:rPr>
          <w:rFonts w:cs="Arial"/>
          <w:szCs w:val="24"/>
        </w:rPr>
      </w:pPr>
      <w:r w:rsidRPr="00662E51">
        <w:rPr>
          <w:rFonts w:cs="Arial"/>
          <w:szCs w:val="24"/>
        </w:rPr>
        <w:t xml:space="preserve">The research followed the Economic Social and Research Council’s code of ethics and went through ethical review at Durham University’s Department of Geography. Participants signed a consent form, which laid out their consent to be interviewed, their data (interview recording and transcripts) to be stored securely, </w:t>
      </w:r>
      <w:r w:rsidRPr="00662E51">
        <w:rPr>
          <w:rFonts w:cs="Arial"/>
          <w:szCs w:val="24"/>
        </w:rPr>
        <w:lastRenderedPageBreak/>
        <w:t xml:space="preserve">and their right to withdraw from the research at any time </w:t>
      </w:r>
      <w:r w:rsidRPr="00662E51">
        <w:rPr>
          <w:rFonts w:cs="Arial"/>
          <w:szCs w:val="24"/>
        </w:rPr>
        <w:fldChar w:fldCharType="begin"/>
      </w:r>
      <w:r w:rsidR="008835AB" w:rsidRPr="00662E51">
        <w:rPr>
          <w:rFonts w:cs="Arial"/>
          <w:szCs w:val="24"/>
        </w:rPr>
        <w:instrText xml:space="preserve"> ADDIN ZOTERO_ITEM CSL_CITATION {"citationID":"zbSy7ICz","properties":{"formattedCitation":"(Philo and Laurier 2021)","plainCitation":"(Philo and Laurier 2021)","noteIndex":0},"citationItems":[{"id":6564,"uris":["http://zotero.org/users/8977980/items/G3ZNRKYG"],"itemData":{"id":6564,"type":"chapter","container-title":"Research Ethics for Human Geography: A Handbook for Students","ISBN":"978-1-5264-1662-9","publisher":"SAGE Publications, Limited","publisher-place":"London, UNITED KINGDOM","source":"ProQuest Ebook Central","title":"Consent","URL":"http://ebookcentral.proquest.com/lib/durham/detail.action?docID=6383656","container-author":[{"family":"Wilson","given":"Helen F."},{"family":"Darling","given":"Jonathan"}],"author":[{"family":"Philo","given":"Chris"},{"family":"Laurier","given":"Eric"}],"accessed":{"date-parts":[["2025",6,19]]},"issued":{"date-parts":[["2021"]]}}}],"schema":"https://github.com/citation-style-language/schema/raw/master/csl-citation.json"} </w:instrText>
      </w:r>
      <w:r w:rsidRPr="00662E51">
        <w:rPr>
          <w:rFonts w:cs="Arial"/>
          <w:szCs w:val="24"/>
        </w:rPr>
        <w:fldChar w:fldCharType="separate"/>
      </w:r>
      <w:r w:rsidR="0095662D" w:rsidRPr="00662E51">
        <w:t>(Philo and Laurier 2021)</w:t>
      </w:r>
      <w:r w:rsidRPr="00662E51">
        <w:rPr>
          <w:rFonts w:cs="Arial"/>
          <w:szCs w:val="24"/>
        </w:rPr>
        <w:fldChar w:fldCharType="end"/>
      </w:r>
      <w:r w:rsidRPr="00662E51">
        <w:rPr>
          <w:rFonts w:cs="Arial"/>
          <w:szCs w:val="24"/>
        </w:rPr>
        <w:t>. While noting that confidentiality can never be absolutely guaranteed, the following measures were taken to ensure as much confidentiality for respondents as possible: I ensured that all participants were anonymised to their title.</w:t>
      </w:r>
      <w:r w:rsidRPr="00BD17AF">
        <w:rPr>
          <w:rStyle w:val="FootnoteReference"/>
        </w:rPr>
        <w:footnoteReference w:id="46"/>
      </w:r>
      <w:r w:rsidRPr="00662E51">
        <w:rPr>
          <w:rFonts w:cs="Arial"/>
          <w:szCs w:val="24"/>
        </w:rPr>
        <w:t xml:space="preserve"> Where necessary, I refer indirectly to interviewees’ titles as some participants hold positions in relevant committees. Anonymity was an important element of this research given the political sensitivities of both High Road West and the Haringey Development Vehicle. Some of the richest findings were also some of the more politically confidential, so anonymity was a necessity. In Chapter  6 on the HDV, I deployed composite characters to further preserve anonymity </w:t>
      </w:r>
      <w:r w:rsidRPr="00662E51">
        <w:rPr>
          <w:rFonts w:cs="Arial"/>
          <w:szCs w:val="24"/>
        </w:rPr>
        <w:fldChar w:fldCharType="begin"/>
      </w:r>
      <w:r w:rsidR="008835AB" w:rsidRPr="00662E51">
        <w:rPr>
          <w:rFonts w:cs="Arial"/>
          <w:szCs w:val="24"/>
        </w:rPr>
        <w:instrText xml:space="preserve"> ADDIN ZOTERO_ITEM CSL_CITATION {"citationID":"b00Uoquq","properties":{"formattedCitation":"(Willis 2019)","plainCitation":"(Willis 2019)","noteIndex":0},"citationItems":[{"id":5823,"uris":["http://zotero.org/users/8977980/items/HTG2NIT4"],"itemData":{"id":5823,"type":"article-journal","abstract":"This research note describes the use of composite narratives to present interview data. A composite narrative uses data from several individual interviews to tell a single story. In the research discussed here, investigating how politicians consider climate change, four composites were created from fourteen interviews with Members of the UK Parliament. A method for creating composite narratives is described. Three, linked, benefits of the technique are discussed. First, they allow researchers to present complex, situated accounts from individuals, rather than breaking data down into categories. Second, they confer anonymity, vital when reporting on private deliberations, particularly if interviewees are public figures. Third, they can contribute to ‘future-forming’ research, by presenting findings in ways that are useful and accessible to those outside academia. The main limitation of composite narratives is the burden of responsibility upon the researcher, to convey accurate, yet anonymized, portrayals of the accounts of a group of individuals.","container-title":"Qualitative Research","DOI":"10.1177/1468794118787711","ISSN":"1468-7941","issue":"4","language":"en","page":"471-480","publisher":"SAGE Publications","source":"SAGE Journals","title":"The use of composite narratives to present interview findings","volume":"19","author":[{"family":"Willis","given":"Rebecca"}],"issued":{"date-parts":[["2019",8,1]]}}}],"schema":"https://github.com/citation-style-language/schema/raw/master/csl-citation.json"} </w:instrText>
      </w:r>
      <w:r w:rsidRPr="00662E51">
        <w:rPr>
          <w:rFonts w:cs="Arial"/>
          <w:szCs w:val="24"/>
        </w:rPr>
        <w:fldChar w:fldCharType="separate"/>
      </w:r>
      <w:r w:rsidR="0095662D" w:rsidRPr="00662E51">
        <w:t>(Willis 2019)</w:t>
      </w:r>
      <w:r w:rsidRPr="00662E51">
        <w:rPr>
          <w:rFonts w:cs="Arial"/>
          <w:szCs w:val="24"/>
        </w:rPr>
        <w:fldChar w:fldCharType="end"/>
      </w:r>
      <w:r w:rsidRPr="00662E51">
        <w:rPr>
          <w:rFonts w:cs="Arial"/>
          <w:szCs w:val="24"/>
        </w:rPr>
        <w:t xml:space="preserve">. By combining interviewees into composite characters, I was able to discuss delicate topics </w:t>
      </w:r>
      <w:r w:rsidR="003C5C76" w:rsidRPr="003C5C76">
        <w:rPr>
          <w:rFonts w:cs="Arial"/>
          <w:szCs w:val="24"/>
        </w:rPr>
        <w:t>while minimising the risks to</w:t>
      </w:r>
      <w:r w:rsidRPr="00662E51">
        <w:rPr>
          <w:rFonts w:cs="Arial"/>
          <w:szCs w:val="24"/>
        </w:rPr>
        <w:t xml:space="preserve"> any of my participants. By mixing different perspectives and backgrounds, composite narratives provide a careful balance of detail and anonymity. As many of my participants were familiar with each other—and because councillors are public figures—simply suppressing personal details and changing names was unlikely to ensure anonymity </w:t>
      </w:r>
      <w:r w:rsidRPr="00662E51">
        <w:rPr>
          <w:rFonts w:cs="Arial"/>
          <w:szCs w:val="24"/>
        </w:rPr>
        <w:fldChar w:fldCharType="begin"/>
      </w:r>
      <w:r w:rsidR="00213B80">
        <w:rPr>
          <w:rFonts w:cs="Arial"/>
          <w:szCs w:val="24"/>
        </w:rPr>
        <w:instrText xml:space="preserve"> ADDIN ZOTERO_ITEM CSL_CITATION {"citationID":"X1zgPzU8","properties":{"formattedCitation":"(O. Johnston 2024)","plainCitation":"(O. Johnston 2024)","noteIndex":0},"citationItems":[{"id":6844,"uris":["http://zotero.org/users/8977980/items/A8ZSH6LM"],"itemData":{"id":6844,"type":"book","abstract":"This book provides the first instructional guide to composite narrative research methods. Composite narratives are short vignettes that weave together quotes from multiple participants. The effect is to convey meaning to both academics and end-users, disseminating research findings succinctly and effectively. Readers interested in writing composite narratives will find a complete guide in this book.\nMore and more researchers are using composite narratives to present their research findings, with support for the effectiveness of composite narratives as a research method growing. Inside this book, there is a rationale for why to use composite narratives and a complete guide for how to write them. Many examples from the author are provided, complete with audit trails that evidence how the composite narratives were written from the raw qualitative research data.\nSocial science researchers at all career stages will be able to use this book to justify and construct composite narratives. Beginning with a discussion of this background, the proposed book will offer research students, supervisors, and experienced academics a manual for how and why to use composite narratives in social sciences research. The intended audience includes qualitative researchers in the social sciences.\nChapter 4 of this book is freely available as a downloadable Open Access PDF at https://www.taylorfrancis.com under a Creative Commons Attribution (CC-BY) 4.0 license.","DOI":"10.4324/9781003424475","ISBN":"978-1-003-42447-5","number-of-pages":"106","publisher":"Routledge","publisher-place":"London","title":"Constructing Composite Narratives: A Step-By-Step Guide for Researchers in the Social Sciences","title-short":"Constructing Composite Narratives","author":[{"family":"Johnston","given":"Olivia"}],"issued":{"date-parts":[["2024",4,2]]}}}],"schema":"https://github.com/citation-style-language/schema/raw/master/csl-citation.json"} </w:instrText>
      </w:r>
      <w:r w:rsidRPr="00662E51">
        <w:rPr>
          <w:rFonts w:cs="Arial"/>
          <w:szCs w:val="24"/>
        </w:rPr>
        <w:fldChar w:fldCharType="separate"/>
      </w:r>
      <w:r w:rsidR="00213B80" w:rsidRPr="00213B80">
        <w:t>(O. Johnston 2024)</w:t>
      </w:r>
      <w:r w:rsidRPr="00662E51">
        <w:rPr>
          <w:rFonts w:cs="Arial"/>
          <w:szCs w:val="24"/>
        </w:rPr>
        <w:fldChar w:fldCharType="end"/>
      </w:r>
      <w:r w:rsidRPr="00662E51">
        <w:rPr>
          <w:rFonts w:cs="Arial"/>
          <w:szCs w:val="24"/>
        </w:rPr>
        <w:t>. Elite interviews have unique risks because of both the particular perspectives of the interviewees and the responsibilities of the researcher in ensuring anonymity</w:t>
      </w:r>
      <w:r w:rsidR="006227B8">
        <w:rPr>
          <w:rFonts w:cs="Arial"/>
          <w:szCs w:val="24"/>
        </w:rPr>
        <w:t xml:space="preserve">. </w:t>
      </w:r>
      <w:r w:rsidRPr="00662E51">
        <w:rPr>
          <w:rFonts w:cs="Arial"/>
          <w:szCs w:val="24"/>
        </w:rPr>
        <w:t>At best, an anonymity breach would be awkward and embarrassing; at worst, a councillor could be compromised</w:t>
      </w:r>
      <w:r w:rsidR="006227B8">
        <w:rPr>
          <w:rFonts w:cs="Arial"/>
          <w:szCs w:val="24"/>
        </w:rPr>
        <w:t xml:space="preserve"> </w:t>
      </w:r>
      <w:r w:rsidR="006227B8">
        <w:rPr>
          <w:rFonts w:cs="Arial"/>
          <w:szCs w:val="24"/>
        </w:rPr>
        <w:fldChar w:fldCharType="begin"/>
      </w:r>
      <w:r w:rsidR="006227B8">
        <w:rPr>
          <w:rFonts w:cs="Arial"/>
          <w:szCs w:val="24"/>
        </w:rPr>
        <w:instrText xml:space="preserve"> ADDIN ZOTERO_ITEM CSL_CITATION {"citationID":"4NLqunXM","properties":{"formattedCitation":"(Kuus 2021)","plainCitation":"(Kuus 2021)","noteIndex":0},"citationItems":[{"id":7205,"uris":["http://zotero.org/users/8977980/items/VB9SX3GQ"],"itemData":{"id":7205,"type":"chapter","container-title":"Research Ethics for Human Geography: A Handbook for Students","ISBN":"978-1-5264-1662-9","publisher":"SAGE Publications, Limited","publisher-place":"London, UNITED KINGDOM","source":"ProQuest Ebook Central","title":"Powerful and Elite Subjects","URL":"http://ebookcentral.proquest.com/lib/durham/detail.action?docID=6383656","editor":[{"family":"Wilson","given":"Helen F."},{"family":"Darling","given":"Jonathan"}],"author":[{"family":"Kuus","given":"Merje"}],"accessed":{"date-parts":[["2025",6,19]]},"issued":{"date-parts":[["2021"]]}}}],"schema":"https://github.com/citation-style-language/schema/raw/master/csl-citation.json"} </w:instrText>
      </w:r>
      <w:r w:rsidR="006227B8">
        <w:rPr>
          <w:rFonts w:cs="Arial"/>
          <w:szCs w:val="24"/>
        </w:rPr>
        <w:fldChar w:fldCharType="separate"/>
      </w:r>
      <w:r w:rsidR="006227B8" w:rsidRPr="00F729E0">
        <w:t>(Kuus 2021)</w:t>
      </w:r>
      <w:r w:rsidR="006227B8">
        <w:rPr>
          <w:rFonts w:cs="Arial"/>
          <w:szCs w:val="24"/>
        </w:rPr>
        <w:fldChar w:fldCharType="end"/>
      </w:r>
      <w:r w:rsidR="006227B8" w:rsidRPr="00662E51">
        <w:rPr>
          <w:rFonts w:cs="Arial"/>
          <w:szCs w:val="24"/>
        </w:rPr>
        <w:t>.</w:t>
      </w:r>
      <w:r w:rsidR="006227B8">
        <w:rPr>
          <w:rFonts w:cs="Arial"/>
          <w:szCs w:val="24"/>
        </w:rPr>
        <w:t xml:space="preserve"> </w:t>
      </w:r>
      <w:r w:rsidRPr="00662E51">
        <w:rPr>
          <w:rFonts w:cs="Arial"/>
          <w:szCs w:val="24"/>
        </w:rPr>
        <w:t xml:space="preserve">Additional benefits drew me to this approach. Composite characters better situate the experiences of interviewees within the contexts of their work. In some uses of composite narratives, scholars demonstrate the commonalities between disparate groups; others reveal how pathways can, over time, change the outcomes in given context </w:t>
      </w:r>
      <w:r w:rsidRPr="00662E51">
        <w:rPr>
          <w:rFonts w:cs="Arial"/>
          <w:szCs w:val="24"/>
        </w:rPr>
        <w:fldChar w:fldCharType="begin"/>
      </w:r>
      <w:r w:rsidR="00213B80">
        <w:rPr>
          <w:rFonts w:cs="Arial"/>
          <w:szCs w:val="24"/>
        </w:rPr>
        <w:instrText xml:space="preserve"> ADDIN ZOTERO_ITEM CSL_CITATION {"citationID":"rBogZXwU","properties":{"formattedCitation":"(O. Johnston 2024)","plainCitation":"(O. Johnston 2024)","noteIndex":0},"citationItems":[{"id":6844,"uris":["http://zotero.org/users/8977980/items/A8ZSH6LM"],"itemData":{"id":6844,"type":"book","abstract":"This book provides the first instructional guide to composite narrative research methods. Composite narratives are short vignettes that weave together quotes from multiple participants. The effect is to convey meaning to both academics and end-users, disseminating research findings succinctly and effectively. Readers interested in writing composite narratives will find a complete guide in this book.\nMore and more researchers are using composite narratives to present their research findings, with support for the effectiveness of composite narratives as a research method growing. Inside this book, there is a rationale for why to use composite narratives and a complete guide for how to write them. Many examples from the author are provided, complete with audit trails that evidence how the composite narratives were written from the raw qualitative research data.\nSocial science researchers at all career stages will be able to use this book to justify and construct composite narratives. Beginning with a discussion of this background, the proposed book will offer research students, supervisors, and experienced academics a manual for how and why to use composite narratives in social sciences research. The intended audience includes qualitative researchers in the social sciences.\nChapter 4 of this book is freely available as a downloadable Open Access PDF at https://www.taylorfrancis.com under a Creative Commons Attribution (CC-BY) 4.0 license.","DOI":"10.4324/9781003424475","ISBN":"978-1-003-42447-5","number-of-pages":"106","publisher":"Routledge","publisher-place":"London","title":"Constructing Composite Narratives: A Step-By-Step Guide for Researchers in the Social Sciences","title-short":"Constructing Composite Narratives","author":[{"family":"Johnston","given":"Olivia"}],"issued":{"date-parts":[["2024",4,2]]}}}],"schema":"https://github.com/citation-style-language/schema/raw/master/csl-citation.json"} </w:instrText>
      </w:r>
      <w:r w:rsidRPr="00662E51">
        <w:rPr>
          <w:rFonts w:cs="Arial"/>
          <w:szCs w:val="24"/>
        </w:rPr>
        <w:fldChar w:fldCharType="separate"/>
      </w:r>
      <w:r w:rsidR="00213B80" w:rsidRPr="00213B80">
        <w:t>(O. Johnston 2024)</w:t>
      </w:r>
      <w:r w:rsidRPr="00662E51">
        <w:rPr>
          <w:rFonts w:cs="Arial"/>
          <w:szCs w:val="24"/>
        </w:rPr>
        <w:fldChar w:fldCharType="end"/>
      </w:r>
      <w:r w:rsidRPr="00662E51">
        <w:rPr>
          <w:rFonts w:cs="Arial"/>
          <w:szCs w:val="24"/>
        </w:rPr>
        <w:t xml:space="preserve">. </w:t>
      </w:r>
    </w:p>
    <w:p w14:paraId="4D1E75A2" w14:textId="48904D23" w:rsidR="0088231B" w:rsidRPr="00662E51" w:rsidRDefault="0088231B" w:rsidP="00F56305">
      <w:pPr>
        <w:spacing w:line="360" w:lineRule="auto"/>
        <w:ind w:left="0" w:firstLine="720"/>
        <w:rPr>
          <w:rFonts w:cs="Arial"/>
          <w:szCs w:val="24"/>
        </w:rPr>
      </w:pPr>
      <w:r w:rsidRPr="00662E51">
        <w:rPr>
          <w:rFonts w:cs="Arial"/>
          <w:szCs w:val="24"/>
        </w:rPr>
        <w:t xml:space="preserve">However, Arjomand </w:t>
      </w:r>
      <w:r w:rsidRPr="00662E51">
        <w:rPr>
          <w:rFonts w:cs="Arial"/>
          <w:szCs w:val="24"/>
        </w:rPr>
        <w:fldChar w:fldCharType="begin"/>
      </w:r>
      <w:r w:rsidRPr="00662E51">
        <w:rPr>
          <w:rFonts w:cs="Arial"/>
          <w:szCs w:val="24"/>
        </w:rPr>
        <w:instrText xml:space="preserve"> ADDIN ZOTERO_ITEM CSL_CITATION {"citationID":"wANL4CVN","properties":{"formattedCitation":"(2022)","plainCitation":"(2022)","noteIndex":0},"citationItems":[{"id":5825,"uris":["http://zotero.org/users/8977980/items/QB3QWCS7"],"itemData":{"id":5825,"type":"article-journal","abstract":"This paper discusses methods for using narratives of composite characters in qualitative social scientific writing. When anonymization is required, authors can use composite narratives to better protect participants, to compress data into intelligible sequences, and to avoid problematic claims to scientific authority. However, to date, authors of composite texts have failed to adequately explain how they deal with problems of sampling, selection, and sequence from an analytical perspective.","container-title":"The American Sociologist","DOI":"10.1007/s12108-022-09546-z","ISSN":"1936-4784","journalAbbreviation":"Am Soc","language":"en","source":"Springer Link","title":"Empirical Fiction: Composite Character Narratives in Analytical Sociology","title-short":"Empirical Fiction","URL":"https://doi.org/10.1007/s12108-022-09546-z","author":[{"family":"Arjomand","given":"Noah Amir"}],"accessed":{"date-parts":[["2024",9,9]]},"issued":{"date-parts":[["2022",9,23]]}},"label":"page","suppress-author":true}],"schema":"https://github.com/citation-style-language/schema/raw/master/csl-citation.json"} </w:instrText>
      </w:r>
      <w:r w:rsidRPr="00662E51">
        <w:rPr>
          <w:rFonts w:cs="Arial"/>
          <w:szCs w:val="24"/>
        </w:rPr>
        <w:fldChar w:fldCharType="separate"/>
      </w:r>
      <w:r w:rsidR="0095662D" w:rsidRPr="00662E51">
        <w:t>(2022)</w:t>
      </w:r>
      <w:r w:rsidRPr="00662E51">
        <w:rPr>
          <w:rFonts w:cs="Arial"/>
          <w:szCs w:val="24"/>
        </w:rPr>
        <w:fldChar w:fldCharType="end"/>
      </w:r>
      <w:r w:rsidRPr="00662E51">
        <w:rPr>
          <w:rFonts w:cs="Arial"/>
          <w:szCs w:val="24"/>
        </w:rPr>
        <w:t xml:space="preserve"> problematises this approach, noting that composites ultimately amount to fiction, and so require clearly demonstrated adherence to the tenets of good research. For example, Arjomand </w:t>
      </w:r>
      <w:r w:rsidRPr="00662E51">
        <w:rPr>
          <w:rFonts w:cs="Arial"/>
          <w:szCs w:val="24"/>
        </w:rPr>
        <w:fldChar w:fldCharType="begin"/>
      </w:r>
      <w:r w:rsidRPr="00662E51">
        <w:rPr>
          <w:rFonts w:cs="Arial"/>
          <w:szCs w:val="24"/>
        </w:rPr>
        <w:instrText xml:space="preserve"> ADDIN ZOTERO_ITEM CSL_CITATION {"citationID":"dEYgwz0F","properties":{"formattedCitation":"(2022, 448)","plainCitation":"(2022, 448)","noteIndex":0},"citationItems":[{"id":5825,"uris":["http://zotero.org/users/8977980/items/QB3QWCS7"],"itemData":{"id":5825,"type":"article-journal","abstract":"This paper discusses methods for using narratives of composite characters in qualitative social scientific writing. When anonymization is required, authors can use composite narratives to better protect participants, to compress data into intelligible sequences, and to avoid problematic claims to scientific authority. However, to date, authors of composite texts have failed to adequately explain how they deal with problems of sampling, selection, and sequence from an analytical perspective.","container-title":"The American Sociologist","DOI":"10.1007/s12108-022-09546-z","ISSN":"1936-4784","journalAbbreviation":"Am Soc","language":"en","source":"Springer Link","title":"Empirical Fiction: Composite Character Narratives in Analytical Sociology","title-short":"Empirical Fiction","URL":"https://doi.org/10.1007/s12108-022-09546-z","author":[{"family":"Arjomand","given":"Noah Amir"}],"accessed":{"date-parts":[["2024",9,9]]},"issued":{"date-parts":[["2022",9,23]]}},"locator":"448","label":"page","suppress-author":true}],"schema":"https://github.com/citation-style-language/schema/raw/master/csl-citation.json"} </w:instrText>
      </w:r>
      <w:r w:rsidRPr="00662E51">
        <w:rPr>
          <w:rFonts w:cs="Arial"/>
          <w:szCs w:val="24"/>
        </w:rPr>
        <w:fldChar w:fldCharType="separate"/>
      </w:r>
      <w:r w:rsidR="0095662D" w:rsidRPr="00662E51">
        <w:t>(2022, 448)</w:t>
      </w:r>
      <w:r w:rsidRPr="00662E51">
        <w:rPr>
          <w:rFonts w:cs="Arial"/>
          <w:szCs w:val="24"/>
        </w:rPr>
        <w:fldChar w:fldCharType="end"/>
      </w:r>
      <w:r w:rsidRPr="00662E51">
        <w:rPr>
          <w:rFonts w:cs="Arial"/>
          <w:szCs w:val="24"/>
        </w:rPr>
        <w:t xml:space="preserve"> contends many works that </w:t>
      </w:r>
      <w:r w:rsidR="00C42112" w:rsidRPr="00662E51">
        <w:rPr>
          <w:rFonts w:cs="Arial"/>
          <w:szCs w:val="24"/>
        </w:rPr>
        <w:t>use</w:t>
      </w:r>
      <w:r w:rsidRPr="00662E51">
        <w:rPr>
          <w:rFonts w:cs="Arial"/>
          <w:szCs w:val="24"/>
        </w:rPr>
        <w:t xml:space="preserve"> composite narratives or characters tend to appear to use the “positivist armor of the Expert” without acknowledging the inherent subjectivity of fashioning a composite—these works argue that the author “can </w:t>
      </w:r>
      <w:r w:rsidRPr="00662E51">
        <w:rPr>
          <w:rFonts w:cs="Arial"/>
          <w:szCs w:val="24"/>
        </w:rPr>
        <w:lastRenderedPageBreak/>
        <w:t xml:space="preserve">responsibly shoulder the burden of complex data analysis and avoid misrepresentation because of their deep understanding of the subject matter.” While there are other positivist critiques of composite narratives, proponents of the approach indicate that a programmatic approach to establishing composite characters and a clear audit trail are necessary for research reliability </w:t>
      </w:r>
      <w:r w:rsidRPr="00662E51">
        <w:rPr>
          <w:rFonts w:cs="Arial"/>
          <w:szCs w:val="24"/>
        </w:rPr>
        <w:fldChar w:fldCharType="begin"/>
      </w:r>
      <w:r w:rsidR="00213B80">
        <w:rPr>
          <w:rFonts w:cs="Arial"/>
          <w:szCs w:val="24"/>
        </w:rPr>
        <w:instrText xml:space="preserve"> ADDIN ZOTERO_ITEM CSL_CITATION {"citationID":"XChQBuro","properties":{"formattedCitation":"(O. Johnston 2024; Willis 2019)","plainCitation":"(O. Johnston 2024; Willis 2019)","noteIndex":0},"citationItems":[{"id":6844,"uris":["http://zotero.org/users/8977980/items/A8ZSH6LM"],"itemData":{"id":6844,"type":"book","abstract":"This book provides the first instructional guide to composite narrative research methods. Composite narratives are short vignettes that weave together quotes from multiple participants. The effect is to convey meaning to both academics and end-users, disseminating research findings succinctly and effectively. Readers interested in writing composite narratives will find a complete guide in this book.\nMore and more researchers are using composite narratives to present their research findings, with support for the effectiveness of composite narratives as a research method growing. Inside this book, there is a rationale for why to use composite narratives and a complete guide for how to write them. Many examples from the author are provided, complete with audit trails that evidence how the composite narratives were written from the raw qualitative research data.\nSocial science researchers at all career stages will be able to use this book to justify and construct composite narratives. Beginning with a discussion of this background, the proposed book will offer research students, supervisors, and experienced academics a manual for how and why to use composite narratives in social sciences research. The intended audience includes qualitative researchers in the social sciences.\nChapter 4 of this book is freely available as a downloadable Open Access PDF at https://www.taylorfrancis.com under a Creative Commons Attribution (CC-BY) 4.0 license.","DOI":"10.4324/9781003424475","ISBN":"978-1-003-42447-5","number-of-pages":"106","publisher":"Routledge","publisher-place":"London","title":"Constructing Composite Narratives: A Step-By-Step Guide for Researchers in the Social Sciences","title-short":"Constructing Composite Narratives","author":[{"family":"Johnston","given":"Olivia"}],"issued":{"date-parts":[["2024",4,2]]}}},{"id":5823,"uris":["http://zotero.org/users/8977980/items/HTG2NIT4"],"itemData":{"id":5823,"type":"article-journal","abstract":"This research note describes the use of composite narratives to present interview data. A composite narrative uses data from several individual interviews to tell a single story. In the research discussed here, investigating how politicians consider climate change, four composites were created from fourteen interviews with Members of the UK Parliament. A method for creating composite narratives is described. Three, linked, benefits of the technique are discussed. First, they allow researchers to present complex, situated accounts from individuals, rather than breaking data down into categories. Second, they confer anonymity, vital when reporting on private deliberations, particularly if interviewees are public figures. Third, they can contribute to ‘future-forming’ research, by presenting findings in ways that are useful and accessible to those outside academia. The main limitation of composite narratives is the burden of responsibility upon the researcher, to convey accurate, yet anonymized, portrayals of the accounts of a group of individuals.","container-title":"Qualitative Research","DOI":"10.1177/1468794118787711","ISSN":"1468-7941","issue":"4","language":"en","page":"471-480","publisher":"SAGE Publications","source":"SAGE Journals","title":"The use of composite narratives to present interview findings","volume":"19","author":[{"family":"Willis","given":"Rebecca"}],"issued":{"date-parts":[["2019",8,1]]}}}],"schema":"https://github.com/citation-style-language/schema/raw/master/csl-citation.json"} </w:instrText>
      </w:r>
      <w:r w:rsidRPr="00662E51">
        <w:rPr>
          <w:rFonts w:cs="Arial"/>
          <w:szCs w:val="24"/>
        </w:rPr>
        <w:fldChar w:fldCharType="separate"/>
      </w:r>
      <w:r w:rsidR="00213B80" w:rsidRPr="00213B80">
        <w:t>(O. Johnston 2024; Willis 2019)</w:t>
      </w:r>
      <w:r w:rsidRPr="00662E51">
        <w:rPr>
          <w:rFonts w:cs="Arial"/>
          <w:szCs w:val="24"/>
        </w:rPr>
        <w:fldChar w:fldCharType="end"/>
      </w:r>
      <w:r w:rsidRPr="00662E51">
        <w:rPr>
          <w:rFonts w:cs="Arial"/>
          <w:szCs w:val="24"/>
        </w:rPr>
        <w:t xml:space="preserve">. </w:t>
      </w:r>
      <w:r w:rsidR="00776015">
        <w:rPr>
          <w:rFonts w:cs="Arial"/>
          <w:szCs w:val="24"/>
        </w:rPr>
        <w:t xml:space="preserve">Section 6.3 </w:t>
      </w:r>
      <w:r w:rsidRPr="00662E51">
        <w:rPr>
          <w:rFonts w:cs="Arial"/>
          <w:szCs w:val="24"/>
        </w:rPr>
        <w:t xml:space="preserve">explicates the specific approach in more detail. </w:t>
      </w:r>
    </w:p>
    <w:p w14:paraId="24939FBF" w14:textId="2C56E6CD" w:rsidR="0088231B" w:rsidRPr="00662E51" w:rsidRDefault="0088231B" w:rsidP="00F56305">
      <w:pPr>
        <w:spacing w:line="360" w:lineRule="auto"/>
        <w:ind w:left="0" w:firstLine="720"/>
        <w:rPr>
          <w:rFonts w:cs="Arial"/>
          <w:szCs w:val="24"/>
        </w:rPr>
      </w:pPr>
      <w:r w:rsidRPr="00662E51">
        <w:rPr>
          <w:rFonts w:cs="Arial"/>
          <w:szCs w:val="24"/>
        </w:rPr>
        <w:t xml:space="preserve">I explained my positionality as a researcher to interviewees and other volunteers I met at the foodbank. I also maintained contact with all participants during the writing stage so that they remained familiar with the research. Interviews generally had a debriefing period, in which participants could vent or sound off about their personal experiences in a private manner </w:t>
      </w:r>
      <w:r w:rsidRPr="00662E51">
        <w:rPr>
          <w:rFonts w:cs="Arial"/>
          <w:szCs w:val="24"/>
        </w:rPr>
        <w:fldChar w:fldCharType="begin"/>
      </w:r>
      <w:r w:rsidR="00213B80">
        <w:rPr>
          <w:rFonts w:cs="Arial"/>
          <w:szCs w:val="24"/>
        </w:rPr>
        <w:instrText xml:space="preserve"> ADDIN ZOTERO_ITEM CSL_CITATION {"citationID":"dMK09u58","properties":{"formattedCitation":"(H. F. Wilson and Darling 2021)","plainCitation":"(H. F. Wilson and Darling 2021)","noteIndex":0},"citationItems":[{"id":6562,"uris":["http://zotero.org/users/8977980/items/67MMJ8N7"],"itemData":{"id":6562,"type":"book","abstract":"Research Ethics for Human Geography is a lively and engaging introduction to key ethical issues in geographical research by leading figures in the discipline. It addresses the wide range of ethical issues involved in collecting, analysing and writing up research across the social sciences, and explores and explains the more specific ethical issues associated with different forms of geographical inquiry. Each chapter comprises detailed summaries and definitions, real-life case studies, student check-lists and annotated recommendations for reading, making the book a valuable toolkit for students undertaking all forms of geographical research, from local and overseas fieldwork, through to dissertation research, methods-training, and further research.","ISBN":"978-1-5264-1662-9","publisher":"SAGE Publications, Limited","publisher-place":"London, UNITED KINGDOM","source":"ProQuest Ebook Central","title":"Research Ethics for Human Geography: A Handbook for Students","title-short":"Research Ethics for Human Geography","URL":"http://ebookcentral.proquest.com/lib/durham/detail.action?docID=6383656","author":[{"family":"Wilson","given":"Helen F."},{"family":"Darling","given":"Jonathan"}],"accessed":{"date-parts":[["2025",6,19]]},"issued":{"date-parts":[["2021"]]}}}],"schema":"https://github.com/citation-style-language/schema/raw/master/csl-citation.json"} </w:instrText>
      </w:r>
      <w:r w:rsidRPr="00662E51">
        <w:rPr>
          <w:rFonts w:cs="Arial"/>
          <w:szCs w:val="24"/>
        </w:rPr>
        <w:fldChar w:fldCharType="separate"/>
      </w:r>
      <w:r w:rsidR="00213B80" w:rsidRPr="00213B80">
        <w:t>(H. F. Wilson and Darling 2021)</w:t>
      </w:r>
      <w:r w:rsidRPr="00662E51">
        <w:rPr>
          <w:rFonts w:cs="Arial"/>
          <w:szCs w:val="24"/>
        </w:rPr>
        <w:fldChar w:fldCharType="end"/>
      </w:r>
      <w:r w:rsidRPr="00662E51">
        <w:rPr>
          <w:rFonts w:cs="Arial"/>
          <w:szCs w:val="24"/>
        </w:rPr>
        <w:t xml:space="preserve">. One participant explicitly expressed relief in having this space, stating they felt ostracised at the council because of their own marginalised positionality. Finally, I sent interviewees a draft of relevant outcomes before submission to journals for comments—both to allow for edits of their quotes and to ensure that they would not be identifiable by their peers. </w:t>
      </w:r>
    </w:p>
    <w:p w14:paraId="71066CB0" w14:textId="204D3CE9" w:rsidR="0088231B" w:rsidRPr="00662E51" w:rsidRDefault="0088231B" w:rsidP="00F56305">
      <w:pPr>
        <w:spacing w:line="360" w:lineRule="auto"/>
        <w:ind w:left="0" w:firstLine="720"/>
        <w:rPr>
          <w:rFonts w:cs="Arial"/>
          <w:szCs w:val="24"/>
        </w:rPr>
      </w:pPr>
      <w:r w:rsidRPr="00662E51">
        <w:rPr>
          <w:rFonts w:cs="Arial"/>
          <w:szCs w:val="24"/>
        </w:rPr>
        <w:t xml:space="preserve">Wary of repeating damage-centred frameworks—and the role of the researcher in (re)producing these frameworks—I endeavoured to maintain an openness and honesty about my intentions </w:t>
      </w:r>
      <w:r w:rsidRPr="00662E51">
        <w:rPr>
          <w:rFonts w:cs="Arial"/>
          <w:szCs w:val="24"/>
        </w:rPr>
        <w:fldChar w:fldCharType="begin"/>
      </w:r>
      <w:r w:rsidRPr="00662E51">
        <w:rPr>
          <w:rFonts w:cs="Arial"/>
          <w:szCs w:val="24"/>
        </w:rPr>
        <w:instrText xml:space="preserve"> ADDIN ZOTERO_ITEM CSL_CITATION {"citationID":"ggVOkCId","properties":{"formattedCitation":"(Tuck 2009)","plainCitation":"(Tuck 2009)","noteIndex":0},"citationItems":[{"id":6552,"uris":["http://zotero.org/users/8977980/items/XHKKNMQ6"],"itemData":{"id":6552,"type":"article-journal","abstract":"In this open letter, Eve Tuck calls on communities, researchers, and educators to reconsider the long-term impact of \"damage-centered\" research—research that intends to document peoples' pain and brokenness to hold those in power accountable for their oppression. This kind of research operates with a flawed theory of change: it is often used to leverage reparations or resources for marginalized communities yet simultaneously reinforces and reinscribes a one-dimensional notion of these people as depleted,ruined, and hopeless. Tuck urges communities to institute a moratorium on damage-centered research to reformulate the ways research is framed and conducted and to reimagine how findings might be used by, for, and with communities.","container-title":"Harvard Educational Review","DOI":"10.17763/haer.79.3.n0016675661t3n15","ISSN":"0017-8055","issue":"3","journalAbbreviation":"Harvard Educational Review","page":"409-428","source":"Silverchair","title":"Suspending Damage: A Letter to Communities","title-short":"Suspending Damage","volume":"79","author":[{"family":"Tuck","given":"Eve"}],"issued":{"date-parts":[["2009",10,6]]}}}],"schema":"https://github.com/citation-style-language/schema/raw/master/csl-citation.json"} </w:instrText>
      </w:r>
      <w:r w:rsidRPr="00662E51">
        <w:rPr>
          <w:rFonts w:cs="Arial"/>
          <w:szCs w:val="24"/>
        </w:rPr>
        <w:fldChar w:fldCharType="separate"/>
      </w:r>
      <w:r w:rsidR="0095662D" w:rsidRPr="00662E51">
        <w:t>(Tuck 2009)</w:t>
      </w:r>
      <w:r w:rsidRPr="00662E51">
        <w:rPr>
          <w:rFonts w:cs="Arial"/>
          <w:szCs w:val="24"/>
        </w:rPr>
        <w:fldChar w:fldCharType="end"/>
      </w:r>
      <w:r w:rsidRPr="00662E51">
        <w:rPr>
          <w:rFonts w:cs="Arial"/>
          <w:szCs w:val="24"/>
        </w:rPr>
        <w:t xml:space="preserve">. Tied with this was an emphasis on my positionality (considered more below) and reflexivity </w:t>
      </w:r>
      <w:r w:rsidRPr="00662E51">
        <w:rPr>
          <w:rFonts w:cs="Arial"/>
          <w:szCs w:val="24"/>
        </w:rPr>
        <w:fldChar w:fldCharType="begin"/>
      </w:r>
      <w:r w:rsidR="008835AB" w:rsidRPr="00662E51">
        <w:rPr>
          <w:rFonts w:cs="Arial"/>
          <w:szCs w:val="24"/>
        </w:rPr>
        <w:instrText xml:space="preserve"> ADDIN ZOTERO_ITEM CSL_CITATION {"citationID":"nasWS6cy","properties":{"formattedCitation":"(Rose 1997)","plainCitation":"(Rose 1997)","noteIndex":0},"citationItems":[{"id":6567,"uris":["http://zotero.org/users/8977980/items/J76F36KR"],"itemData":{"id":6567,"type":"article-journal","abstract":"This article addresses the discussion, particularly prominent among feminist geographers, of reflexivity as a strategy for marking geographical knowledges as situated. It argues that, if the aim of feminist and other critical geographies is to acknowledge their partiality, then the particular form of reflexivity advocated needs careful consideration. Feminist geographers most often recommend a kind of reflexivity that aims, even if only ideally, at a full understanding of the researcher, the researched and the research context. The article begins with the author's failure at that kind of reflexivity, and that particular reflexivity is then discussed and described as ‘transparent’ in its ambitious claims to comprehensive knowledge. The article then goes on to explore critiques of transparent reflexivity, many of which have been made by feminist geographers themselves. The article concludes by suggesting that some recent discussions of the uncertainties of research practice offer another model of feminist reflexivity that may succeed more effectively in questioning the researcher's practice of knowledge production.","container-title":"Progress in Human Geography","DOI":"10.1191/030913297673302122","ISSN":"0309-1325","issue":"3","language":"EN","page":"305-320","publisher":"SAGE Publications Ltd","source":"SAGE Journals","title":"Situating knowledges: positionality, reflexivities and other tactics","title-short":"Situating knowledges","volume":"21","author":[{"family":"Rose","given":"Gillian"}],"issued":{"date-parts":[["1997",6,1]]}}}],"schema":"https://github.com/citation-style-language/schema/raw/master/csl-citation.json"} </w:instrText>
      </w:r>
      <w:r w:rsidRPr="00662E51">
        <w:rPr>
          <w:rFonts w:cs="Arial"/>
          <w:szCs w:val="24"/>
        </w:rPr>
        <w:fldChar w:fldCharType="separate"/>
      </w:r>
      <w:r w:rsidR="0095662D" w:rsidRPr="00662E51">
        <w:t>(Rose 1997)</w:t>
      </w:r>
      <w:r w:rsidRPr="00662E51">
        <w:rPr>
          <w:rFonts w:cs="Arial"/>
          <w:szCs w:val="24"/>
        </w:rPr>
        <w:fldChar w:fldCharType="end"/>
      </w:r>
      <w:r w:rsidRPr="00662E51">
        <w:rPr>
          <w:rFonts w:cs="Arial"/>
          <w:szCs w:val="24"/>
        </w:rPr>
        <w:t xml:space="preserve">. Reflexivity is a core part of ethical research in that it “examine[s] how one embodies particular identities that may shift and change over time and space” </w:t>
      </w:r>
      <w:r w:rsidRPr="00662E51">
        <w:rPr>
          <w:rFonts w:cs="Arial"/>
          <w:szCs w:val="24"/>
        </w:rPr>
        <w:fldChar w:fldCharType="begin"/>
      </w:r>
      <w:r w:rsidR="008835AB" w:rsidRPr="00662E51">
        <w:rPr>
          <w:rFonts w:cs="Arial"/>
          <w:szCs w:val="24"/>
        </w:rPr>
        <w:instrText xml:space="preserve"> ADDIN ZOTERO_ITEM CSL_CITATION {"citationID":"1GR3FC8x","properties":{"formattedCitation":"(Sanyal 2021, 63)","plainCitation":"(Sanyal 2021, 63)","noteIndex":0},"citationItems":[{"id":6569,"uris":["http://zotero.org/users/8977980/items/HNE2VA8V"],"itemData":{"id":6569,"type":"chapter","container-title":"Research Ethics for Human Geography: A Handbook for Students","ISBN":"978-1-5264-1662-9","publisher":"SAGE Publications, Limited","publisher-place":"London, UNITED KINGDOM","source":"ProQuest Ebook Central","title":"Positionality","URL":"http://ebookcentral.proquest.com/lib/durham/detail.action?docID=6383656","container-author":[{"family":"Wilson","given":"Helen F."},{"family":"Darling","given":"Jonathan"}],"author":[{"family":"Sanyal","given":"Romola"}],"accessed":{"date-parts":[["2025",6,19]]},"issued":{"date-parts":[["2021"]]}},"locator":"63"}],"schema":"https://github.com/citation-style-language/schema/raw/master/csl-citation.json"} </w:instrText>
      </w:r>
      <w:r w:rsidRPr="00662E51">
        <w:rPr>
          <w:rFonts w:cs="Arial"/>
          <w:szCs w:val="24"/>
        </w:rPr>
        <w:fldChar w:fldCharType="separate"/>
      </w:r>
      <w:r w:rsidR="0095662D" w:rsidRPr="00662E51">
        <w:t>(Sanyal 2021, 63)</w:t>
      </w:r>
      <w:r w:rsidRPr="00662E51">
        <w:rPr>
          <w:rFonts w:cs="Arial"/>
          <w:szCs w:val="24"/>
        </w:rPr>
        <w:fldChar w:fldCharType="end"/>
      </w:r>
      <w:r w:rsidRPr="00662E51">
        <w:rPr>
          <w:rFonts w:cs="Arial"/>
          <w:szCs w:val="24"/>
        </w:rPr>
        <w:t xml:space="preserve">. That is, it is a process of reflecting on how my knowledge is and has been situated by the background(s) I have existed in. It is also a call to be continuously aware of the ethical problems in research. As such—and in line with field hybridity—I committed to activists that I would ‘give back’ in some way in addition to the ongoing volunteering at a foodbank </w:t>
      </w:r>
      <w:r w:rsidRPr="00662E51">
        <w:rPr>
          <w:rFonts w:cs="Arial"/>
          <w:szCs w:val="24"/>
        </w:rPr>
        <w:fldChar w:fldCharType="begin"/>
      </w:r>
      <w:r w:rsidRPr="00662E51">
        <w:rPr>
          <w:rFonts w:cs="Arial"/>
          <w:szCs w:val="24"/>
        </w:rPr>
        <w:instrText xml:space="preserve"> ADDIN ZOTERO_ITEM CSL_CITATION {"citationID":"NshlkbkX","properties":{"formattedCitation":"(Swartz 2011)","plainCitation":"(Swartz 2011)","noteIndex":0},"citationItems":[{"id":6566,"uris":["http://zotero.org/users/8977980/items/QM7KAX2N"],"itemData":{"id":6566,"type":"article-journal","abstract":"This article interrogates how research amongst vulnerable populations, especially youth, may be designed and implemented to exceed the usual standards of research ethics. It describes the dual aims of ethical research within an emancipatory framework as ‘going deep’ through utilizing ‘an ethics of parallax perspectives’; and ‘giving back’ by employing an ‘intentional ethics of reciprocation’. It offers a package of six additional ethical strategies, which may be combined in various permutations in order to achieve these ends. These strategies include choosing appropriate research activities; deliberately building relationships with research participants; conveying researcher subjectivity; developing mutuality and flattening the power gradient; considering how language is used and representations are made; and planning ‘research-as-intervention’. Drawing on a multi-layered ethnographic study of the moral understandings of a group of impoverished South African township youth, the article offers insight into how these ethical strategies address vulnerability and emancipation in practice, including the multiple ethical dilemmas they raise.","container-title":"Qualitative Research","DOI":"10.1177/1468794110385885","ISSN":"1468-7941, 1741-3109","issue":"1","journalAbbreviation":"Qualitative Research","language":"en","page":"47-68","source":"DOI.org (Crossref)","title":"‘Going deep’ and ‘giving back’: strategies for exceeding ethical expectations when researching amongst vulnerable youth","title-short":"‘Going deep’ and ‘giving back’","volume":"11","author":[{"family":"Swartz","given":"Sharlene"}],"issued":{"date-parts":[["2011",2]]}}}],"schema":"https://github.com/citation-style-language/schema/raw/master/csl-citation.json"} </w:instrText>
      </w:r>
      <w:r w:rsidRPr="00662E51">
        <w:rPr>
          <w:rFonts w:cs="Arial"/>
          <w:szCs w:val="24"/>
        </w:rPr>
        <w:fldChar w:fldCharType="separate"/>
      </w:r>
      <w:r w:rsidR="0095662D" w:rsidRPr="00662E51">
        <w:t>(Swartz 2011)</w:t>
      </w:r>
      <w:r w:rsidRPr="00662E51">
        <w:rPr>
          <w:rFonts w:cs="Arial"/>
          <w:szCs w:val="24"/>
        </w:rPr>
        <w:fldChar w:fldCharType="end"/>
      </w:r>
      <w:r w:rsidRPr="00662E51">
        <w:rPr>
          <w:rFonts w:cs="Arial"/>
          <w:szCs w:val="24"/>
        </w:rPr>
        <w:t xml:space="preserve">. Volunteering was also a good way reciprocating and giving back. Given the foodbank’s emphasis on mutual aid, volunteering in that context meant “providing independent, grassroots aid with compassion, empathy, and a radical sociality” that countered the bureaucratised and impersonal services provided by the state </w:t>
      </w:r>
      <w:r w:rsidRPr="00662E51">
        <w:rPr>
          <w:rFonts w:cs="Arial"/>
          <w:szCs w:val="24"/>
        </w:rPr>
        <w:fldChar w:fldCharType="begin"/>
      </w:r>
      <w:r w:rsidRPr="00662E51">
        <w:rPr>
          <w:rFonts w:cs="Arial"/>
          <w:szCs w:val="24"/>
        </w:rPr>
        <w:instrText xml:space="preserve"> ADDIN ZOTERO_ITEM CSL_CITATION {"citationID":"DO4DNtPy","properties":{"formattedCitation":"(Jordan and Moser 2020, 570)","plainCitation":"(Jordan and Moser 2020, 570)","noteIndex":0},"citationItems":[{"id":6982,"uris":["http://zotero.org/users/8977980/items/AQKVH956"],"itemData":{"id":6982,"type":"article-journal","abstract":"The changing geographies of irregular migration require new methodological approaches and modes of researcher engagement. In and around Europe, migrants are increasingly residing in unconventional, dynamic, and diverse spaces such as informal transit camps. Along the Balkan Route, these temporary, makeshift encampments are emerging as a result of the EU’s crackdown on border controls, tightening restrictions on asylum legislation and aid provision, and increasingly long, difficult, and fragmented migratory journeys. Across cities, border-zones, and at strategic transit hubs, immobilised migrants have established informal transit camps where they may temporarily reside and access services, information, and smugglers before their next clandestine attempt to cross into the EU. Due to transit state policies that effectively ignore these transit camps and ban larger NGOs from operating there, the majority of services and humanitarian aid is provided by small, grassroots organisations and unpaid volunteers. The proliferation of informal transit camps, and the particular social constellations of actors who reside and operate in these spaces, call for further scholarly attention. In this paper, we reflect on the challenges and opportunities of taking on a role as a volunteer while conducting research among migrants in informal transit camps. By considering the acute conditions of informality, vulnerability, and precariousness, this paper illustrates how volunteering in this context is a way of gaining access to the site, establishing rapport and legitimacy, and fostering reciprocity among migrant subjects. Drawing from fieldwork along the Balkan Route as a volunteer-researcher, this paper examines methodology, best practices, positionality, and the ethical benefits and limitations of highly participatory, engagement-driven research in informal transit camps at Europe's periphery.","container-title":"Area","DOI":"10.1111/area.12614","ISSN":"1475-4762","issue":"3","language":"en","note":"_eprint: https://rgs-ibg.onlinelibrary.wiley.com/doi/pdf/10.1111/area.12614","page":"566-574","source":"Wiley Online Library","title":"Researching migrants in informal transit camps along the Balkan Route: Reflections on volunteer activism, access, and reciprocity","title-short":"Researching migrants in informal transit camps along the Balkan Route","volume":"52","author":[{"family":"Jordan","given":"Joanna"},{"family":"Moser","given":"Sarah"}],"issued":{"date-parts":[["2020"]]}},"locator":"570"}],"schema":"https://github.com/citation-style-language/schema/raw/master/csl-citation.json"} </w:instrText>
      </w:r>
      <w:r w:rsidRPr="00662E51">
        <w:rPr>
          <w:rFonts w:cs="Arial"/>
          <w:szCs w:val="24"/>
        </w:rPr>
        <w:fldChar w:fldCharType="separate"/>
      </w:r>
      <w:r w:rsidR="0095662D" w:rsidRPr="00662E51">
        <w:t xml:space="preserve">(Jordan and </w:t>
      </w:r>
      <w:r w:rsidR="0095662D" w:rsidRPr="00662E51">
        <w:lastRenderedPageBreak/>
        <w:t>Moser 2020, 570)</w:t>
      </w:r>
      <w:r w:rsidRPr="00662E51">
        <w:rPr>
          <w:rFonts w:cs="Arial"/>
          <w:szCs w:val="24"/>
        </w:rPr>
        <w:fldChar w:fldCharType="end"/>
      </w:r>
      <w:r w:rsidRPr="00662E51">
        <w:rPr>
          <w:rFonts w:cs="Arial"/>
          <w:szCs w:val="24"/>
        </w:rPr>
        <w:t xml:space="preserve">. Volunteering, however, is not an ethically neutral act. As Goerisch </w:t>
      </w:r>
      <w:r w:rsidRPr="00662E51">
        <w:rPr>
          <w:rFonts w:cs="Arial"/>
          <w:szCs w:val="24"/>
        </w:rPr>
        <w:fldChar w:fldCharType="begin"/>
      </w:r>
      <w:r w:rsidR="008835AB" w:rsidRPr="00662E51">
        <w:rPr>
          <w:rFonts w:cs="Arial"/>
          <w:szCs w:val="24"/>
        </w:rPr>
        <w:instrText xml:space="preserve"> ADDIN ZOTERO_ITEM CSL_CITATION {"citationID":"F0QzAoEJ","properties":{"formattedCitation":"(2017)","plainCitation":"(2017)","noteIndex":0},"citationItems":[{"id":7009,"uris":["http://zotero.org/users/8977980/items/CK53NVDE"],"itemData":{"id":7009,"type":"article-journal","abstract":"In this article, I argue that there is a need to examine the feminist ethics of volunteering in the field, specifically as it relates to issues of positionality, power and reciprocity, and participatory methods. Reflecting on dilemmas I experienced as a volunteer with the Girl Scouts of San Diego while conducting research on their annual Girl Scout cookie sale, I debate the relationship between volunteerism and fieldwork more broadly and question the effectiveness of volunteerism within a feminist geographic methodological framework. In light of the dilemmas that arose in the field as a volunteer and researcher, I question whether we can consider volunteering as “good work.”","container-title":"The Professional Geographer","DOI":"10.1080/00330124.2016.1208511","ISSN":"0033-0124","issue":"2","note":"_eprint: https://doi.org/10.1080/00330124.2016.1208511","page":"307-313","publisher":"Routledge","source":"Taylor and Francis+NEJM","title":"“Doing Good Work”: Feminist Dilemmas of Volunteering in the Field","title-short":"“Doing Good Work”","volume":"69","author":[{"family":"Goerisch","given":"Denise"}],"issued":{"date-parts":[["2017",4,3]]}},"suppress-author":true}],"schema":"https://github.com/citation-style-language/schema/raw/master/csl-citation.json"} </w:instrText>
      </w:r>
      <w:r w:rsidRPr="00662E51">
        <w:rPr>
          <w:rFonts w:cs="Arial"/>
          <w:szCs w:val="24"/>
        </w:rPr>
        <w:fldChar w:fldCharType="separate"/>
      </w:r>
      <w:r w:rsidR="0095662D" w:rsidRPr="00662E51">
        <w:t>(2017)</w:t>
      </w:r>
      <w:r w:rsidRPr="00662E51">
        <w:rPr>
          <w:rFonts w:cs="Arial"/>
          <w:szCs w:val="24"/>
        </w:rPr>
        <w:fldChar w:fldCharType="end"/>
      </w:r>
      <w:r w:rsidRPr="00662E51">
        <w:rPr>
          <w:rFonts w:cs="Arial"/>
          <w:szCs w:val="24"/>
        </w:rPr>
        <w:t xml:space="preserve"> explains, it can often conflict with the very ethic of reciprocity that underpins the impulse to volunteer in the first place. However, as I was welcomed and indeed encouraged by other activists, I felt volunteering was a good way to ethically ‘give back.’ As decided by my participants, this meant leafletting with activists to raise awareness of fire safety, offering to help build a website and repository for archival data, and spending more time at different foodbanks in Tottenham. These attempts did not always succeed but the experience of ‘giving back’ was a core part of “an ethics of power” that “demands that researchers seek ways to ‘give back’ to the precarious populations they study” </w:t>
      </w:r>
      <w:r w:rsidRPr="00662E51">
        <w:rPr>
          <w:rFonts w:cs="Arial"/>
          <w:szCs w:val="24"/>
        </w:rPr>
        <w:fldChar w:fldCharType="begin"/>
      </w:r>
      <w:r w:rsidR="008835AB" w:rsidRPr="00662E51">
        <w:rPr>
          <w:rFonts w:cs="Arial"/>
          <w:szCs w:val="24"/>
        </w:rPr>
        <w:instrText xml:space="preserve"> ADDIN ZOTERO_ITEM CSL_CITATION {"citationID":"CaME5bTN","properties":{"formattedCitation":"(Swerts 2021, 103)","plainCitation":"(Swerts 2021, 103)","noteIndex":0},"citationItems":[{"id":6565,"uris":["http://zotero.org/users/8977980/items/46F7TFAJ"],"itemData":{"id":6565,"type":"chapter","container-title":"Research Ethics for Human Geography: A Handbook for Students","ISBN":"978-1-5264-1662-9","publisher":"SAGE Publications, Limited","publisher-place":"London, UNITED KINGDOM","source":"ProQuest Ebook Central","title":"Power and Empowerent","URL":"http://ebookcentral.proquest.com/lib/durham/detail.action?docID=6383656","container-author":[{"family":"Wilson","given":"Helen F."},{"family":"Darling","given":"Jonathan"}],"author":[{"family":"Swerts","given":"Thomas"}],"accessed":{"date-parts":[["2025",6,19]]},"issued":{"date-parts":[["2021"]]}},"locator":"103"}],"schema":"https://github.com/citation-style-language/schema/raw/master/csl-citation.json"} </w:instrText>
      </w:r>
      <w:r w:rsidRPr="00662E51">
        <w:rPr>
          <w:rFonts w:cs="Arial"/>
          <w:szCs w:val="24"/>
        </w:rPr>
        <w:fldChar w:fldCharType="separate"/>
      </w:r>
      <w:r w:rsidR="0095662D" w:rsidRPr="00662E51">
        <w:t>(Swerts 2021, 103)</w:t>
      </w:r>
      <w:r w:rsidRPr="00662E51">
        <w:rPr>
          <w:rFonts w:cs="Arial"/>
          <w:szCs w:val="24"/>
        </w:rPr>
        <w:fldChar w:fldCharType="end"/>
      </w:r>
      <w:r w:rsidRPr="00662E51">
        <w:rPr>
          <w:rFonts w:cs="Arial"/>
          <w:szCs w:val="24"/>
        </w:rPr>
        <w:t xml:space="preserve">. </w:t>
      </w:r>
    </w:p>
    <w:p w14:paraId="282B1745" w14:textId="77777777" w:rsidR="000F3E6B" w:rsidRPr="00662E51" w:rsidRDefault="000F3E6B" w:rsidP="00F56305">
      <w:pPr>
        <w:spacing w:line="360" w:lineRule="auto"/>
        <w:ind w:left="0"/>
        <w:rPr>
          <w:rFonts w:cs="Arial"/>
          <w:szCs w:val="24"/>
        </w:rPr>
      </w:pPr>
    </w:p>
    <w:p w14:paraId="182887B6" w14:textId="7B607CCA" w:rsidR="000F3E6B" w:rsidRPr="00662E51" w:rsidRDefault="000F3E6B" w:rsidP="00F56305">
      <w:pPr>
        <w:pStyle w:val="Heading2"/>
      </w:pPr>
      <w:bookmarkStart w:id="266" w:name="_Toc208328791"/>
      <w:bookmarkStart w:id="267" w:name="_Toc213173950"/>
      <w:bookmarkStart w:id="268" w:name="_Toc216096159"/>
      <w:bookmarkStart w:id="269" w:name="_Toc221184339"/>
      <w:bookmarkStart w:id="270" w:name="_Toc231215257"/>
      <w:r w:rsidRPr="00662E51">
        <w:t>Positionality</w:t>
      </w:r>
      <w:bookmarkEnd w:id="266"/>
      <w:bookmarkEnd w:id="267"/>
      <w:bookmarkEnd w:id="268"/>
      <w:bookmarkEnd w:id="269"/>
      <w:r w:rsidR="00BC44B5">
        <w:t>:</w:t>
      </w:r>
      <w:bookmarkEnd w:id="270"/>
    </w:p>
    <w:p w14:paraId="589AF91A" w14:textId="6E5629A7" w:rsidR="00A77E72" w:rsidRPr="00662E51" w:rsidRDefault="00A77E72" w:rsidP="00F56305">
      <w:pPr>
        <w:spacing w:line="360" w:lineRule="auto"/>
        <w:ind w:left="0"/>
        <w:rPr>
          <w:rFonts w:cs="Arial"/>
          <w:szCs w:val="24"/>
        </w:rPr>
      </w:pPr>
      <w:r w:rsidRPr="00662E51">
        <w:rPr>
          <w:rFonts w:cs="Arial"/>
          <w:szCs w:val="24"/>
        </w:rPr>
        <w:t xml:space="preserve">As in all knowledge production, the researcher occupies multiple identities and positions. I was a researcher, an activist, and </w:t>
      </w:r>
      <w:r w:rsidR="00BC3E25">
        <w:rPr>
          <w:rFonts w:cs="Arial"/>
          <w:szCs w:val="24"/>
        </w:rPr>
        <w:t xml:space="preserve">a former </w:t>
      </w:r>
      <w:r w:rsidRPr="00662E51">
        <w:rPr>
          <w:rFonts w:cs="Arial"/>
          <w:szCs w:val="24"/>
        </w:rPr>
        <w:t xml:space="preserve">housing professional. My own characteristics of race, gender, age, economic and social class, and nationality overlapped, contradicted, and intersected with those professional identities. Moreover, as a non-Londoner, questions of belonging were a relevant (but sometimes awkward) consideration </w:t>
      </w:r>
      <w:r w:rsidRPr="00662E51">
        <w:rPr>
          <w:rFonts w:cs="Arial"/>
          <w:szCs w:val="24"/>
        </w:rPr>
        <w:fldChar w:fldCharType="begin"/>
      </w:r>
      <w:r w:rsidRPr="00662E51">
        <w:rPr>
          <w:rFonts w:cs="Arial"/>
          <w:szCs w:val="24"/>
        </w:rPr>
        <w:instrText xml:space="preserve"> ADDIN ZOTERO_ITEM CSL_CITATION {"citationID":"neGAd3Sw","properties":{"formattedCitation":"(Visser 2020)","plainCitation":"(Visser 2020)","noteIndex":0},"citationItems":[{"id":51,"uris":["http://zotero.org/users/8977980/items/4Y49LDGE"],"itemData":{"id":51,"type":"article-journal","abstract":"The United Kingdom, as most other West European countries, is being confronted with increasing diversity in terms of ethnicity, language, religion and identity. Questions on the desirability and possibility of a multicultural society are a topic of debate. In the last decade, the public debate has increasingly centred on young people from immigrant backgrounds, often referring to their perceived failure to assimilate to the host society. Issues of ‘belonging’, either to the host society or the country of their parents are central in this debate. Little scholarly research, however, has paid attention to experience and negotiation of belonging of the young people from immigrant backgrounds themselves. In this study I look at how young people from immigrant backgrounds (12–19years old) living in a highly diverse neighbourhood (Tottenham, London), experience and negotiate belonging to British society and to their neighbourhood. In this paper I show that (1) belonging negotiated by the young people in Tottenham is dynamic and situational, and should be seen as a process of seeking and being granted belonging which happens at different scales; and (2) whereas London is a city famous for its image of cosmopolitanism, openness, and tolerance we also see that the young people in the study do not always experience it as such. Expressing a strong sense of belonging to Tottenham could be seen as a reaction to not always feeling part of British society.","container-title":"Geoforum","DOI":"10.1016/j.geoforum.2017.02.002","ISSN":"0016-7185","journalAbbreviation":"Geoforum","language":"en","page":"322-330","source":"ScienceDirect","title":"“Because we're all different” – Everyday experiences of belonging among young people from immigrant backgrounds in Tottenham","volume":"116","author":[{"family":"Visser","given":"Kirsten"}],"issued":{"date-parts":[["2020",11,1]]}}}],"schema":"https://github.com/citation-style-language/schema/raw/master/csl-citation.json"} </w:instrText>
      </w:r>
      <w:r w:rsidRPr="00662E51">
        <w:rPr>
          <w:rFonts w:cs="Arial"/>
          <w:szCs w:val="24"/>
        </w:rPr>
        <w:fldChar w:fldCharType="separate"/>
      </w:r>
      <w:r w:rsidR="0095662D" w:rsidRPr="00662E51">
        <w:t>(Visser 2020)</w:t>
      </w:r>
      <w:r w:rsidRPr="00662E51">
        <w:rPr>
          <w:rFonts w:cs="Arial"/>
          <w:szCs w:val="24"/>
        </w:rPr>
        <w:fldChar w:fldCharType="end"/>
      </w:r>
      <w:r w:rsidRPr="00662E51">
        <w:rPr>
          <w:rFonts w:cs="Arial"/>
          <w:szCs w:val="24"/>
        </w:rPr>
        <w:t xml:space="preserve">. This complicated web of identity and position influence how I understood the data and my project </w:t>
      </w:r>
      <w:r w:rsidRPr="00662E51">
        <w:rPr>
          <w:rFonts w:cs="Arial"/>
          <w:szCs w:val="24"/>
        </w:rPr>
        <w:fldChar w:fldCharType="begin"/>
      </w:r>
      <w:r w:rsidR="00213B80">
        <w:rPr>
          <w:rFonts w:cs="Arial"/>
          <w:szCs w:val="24"/>
        </w:rPr>
        <w:instrText xml:space="preserve"> ADDIN ZOTERO_ITEM CSL_CITATION {"citationID":"lZBGvuHz","properties":{"formattedCitation":"(S. N. Hesse-Biber 2014)","plainCitation":"(S. N. Hesse-Biber 2014)","noteIndex":0},"citationItems":[{"id":6586,"uris":["http://zotero.org/users/8977980/items/A67PUQCG"],"itemData":{"id":6586,"type":"chapter","abstract":"&lt;p&gt;The fully revised and updated edition of Feminist Research Practice: A Primer draws on the expertise of a stellar group of interdisciplinary scholars who cov","container-title":"Feminist Research Practice: A Primer","DOI":"10.4135/9781071909911","ISBN":"978-1-0719-0991-1","language":"en","page":"182-232","publisher":"SAGE Publications, Inc","source":"methods-sagepub-com.ezphost.dur.ac.uk","title":"Feminist Approaches to In-Depth Interviewing","URL":"https://methods-sagepub-com.ezphost.dur.ac.uk/book/edvol/feminist-research-practice-2e/chpt/feminist-approaches-indepth-interviewing","author":[{"family":"Hesse-Biber","given":"Sharlene Nagy"}],"editor":[{"family":"Hesse-Biber","given":"Sharlene"}],"accessed":{"date-parts":[["2025",6,24]]},"issued":{"date-parts":[["2014"]]}}}],"schema":"https://github.com/citation-style-language/schema/raw/master/csl-citation.json"} </w:instrText>
      </w:r>
      <w:r w:rsidRPr="00662E51">
        <w:rPr>
          <w:rFonts w:cs="Arial"/>
          <w:szCs w:val="24"/>
        </w:rPr>
        <w:fldChar w:fldCharType="separate"/>
      </w:r>
      <w:r w:rsidR="00213B80" w:rsidRPr="00213B80">
        <w:t>(S. N. Hesse-Biber 2014)</w:t>
      </w:r>
      <w:r w:rsidRPr="00662E51">
        <w:rPr>
          <w:rFonts w:cs="Arial"/>
          <w:szCs w:val="24"/>
        </w:rPr>
        <w:fldChar w:fldCharType="end"/>
      </w:r>
      <w:r w:rsidRPr="00662E51">
        <w:rPr>
          <w:rFonts w:cs="Arial"/>
          <w:szCs w:val="24"/>
        </w:rPr>
        <w:t xml:space="preserve">. It also meant an incessant negotiation between me and participants throughout the various stages of research. Acknowledging the situated nature of knowledge does not discount its validity or objectivity </w:t>
      </w:r>
      <w:r w:rsidRPr="00662E51">
        <w:rPr>
          <w:rFonts w:cs="Arial"/>
          <w:szCs w:val="24"/>
        </w:rPr>
        <w:fldChar w:fldCharType="begin"/>
      </w:r>
      <w:r w:rsidR="00213B80">
        <w:rPr>
          <w:rFonts w:cs="Arial"/>
          <w:szCs w:val="24"/>
        </w:rPr>
        <w:instrText xml:space="preserve"> ADDIN ZOTERO_ITEM CSL_CITATION {"citationID":"YC5Y4gay","properties":{"formattedCitation":"(Sandra Harding 1993)","plainCitation":"(Sandra Harding 1993)","noteIndex":0},"citationItems":[{"id":6587,"uris":["http://zotero.org/users/8977980/items/B3W6VFCL"],"itemData":{"id":6587,"type":"chapter","abstract":"“Feminist objectivity means quite simply situated knowledges.“","container-title":"Feminist Epistemologies","ISBN":"978-0-203-76009-3","note":"number-of-pages: 34","publisher":"Routledge","title":"Rethinking Standpoint Epistemology: What Is “Strong Objectivity”?","title-short":"Rethinking Standpoint Epistemology","author":[{"family":"Harding","given":"Sandra"}],"issued":{"date-parts":[["1993"]]}}}],"schema":"https://github.com/citation-style-language/schema/raw/master/csl-citation.json"} </w:instrText>
      </w:r>
      <w:r w:rsidRPr="00662E51">
        <w:rPr>
          <w:rFonts w:cs="Arial"/>
          <w:szCs w:val="24"/>
        </w:rPr>
        <w:fldChar w:fldCharType="separate"/>
      </w:r>
      <w:r w:rsidR="00213B80" w:rsidRPr="00213B80">
        <w:t>(Sandra Harding 1993)</w:t>
      </w:r>
      <w:r w:rsidRPr="00662E51">
        <w:rPr>
          <w:rFonts w:cs="Arial"/>
          <w:szCs w:val="24"/>
        </w:rPr>
        <w:fldChar w:fldCharType="end"/>
      </w:r>
      <w:r w:rsidRPr="00662E51">
        <w:rPr>
          <w:rFonts w:cs="Arial"/>
          <w:szCs w:val="24"/>
        </w:rPr>
        <w:t xml:space="preserve">; rather, this section is an attempt at explicating and locating </w:t>
      </w:r>
      <w:r w:rsidRPr="00662E51">
        <w:rPr>
          <w:rFonts w:cs="Arial"/>
          <w:i/>
          <w:iCs/>
          <w:szCs w:val="24"/>
        </w:rPr>
        <w:t>how</w:t>
      </w:r>
      <w:r w:rsidRPr="00662E51">
        <w:rPr>
          <w:rFonts w:cs="Arial"/>
          <w:szCs w:val="24"/>
        </w:rPr>
        <w:t xml:space="preserve"> the knowledge in this project is situated </w:t>
      </w:r>
      <w:r w:rsidRPr="00662E51">
        <w:rPr>
          <w:rFonts w:cs="Arial"/>
          <w:szCs w:val="24"/>
        </w:rPr>
        <w:fldChar w:fldCharType="begin"/>
      </w:r>
      <w:r w:rsidR="008835AB" w:rsidRPr="00662E51">
        <w:rPr>
          <w:rFonts w:cs="Arial"/>
          <w:szCs w:val="24"/>
        </w:rPr>
        <w:instrText xml:space="preserve"> ADDIN ZOTERO_ITEM CSL_CITATION {"citationID":"ukM9WQCG","properties":{"formattedCitation":"(Haraway 1988)","plainCitation":"(Haraway 1988)","noteIndex":0},"citationItems":[{"id":6234,"uris":["http://zotero.org/users/8977980/items/GLXAL335"],"itemData":{"id":6234,"type":"article-journal","container-title":"Feminist Studies","DOI":"10.2307/3178066","ISSN":"0046-3663","issue":"3","page":"575-599","publisher":"Feminist Studies, Inc.","source":"JSTOR","title":"Situated Knowledges: The Science Question in Feminism and the Privilege of Partial Perspective","title-short":"Situated Knowledges","volume":"14","author":[{"family":"Haraway","given":"Donna"}],"issued":{"date-parts":[["1988"]]}}}],"schema":"https://github.com/citation-style-language/schema/raw/master/csl-citation.json"} </w:instrText>
      </w:r>
      <w:r w:rsidRPr="00662E51">
        <w:rPr>
          <w:rFonts w:cs="Arial"/>
          <w:szCs w:val="24"/>
        </w:rPr>
        <w:fldChar w:fldCharType="separate"/>
      </w:r>
      <w:r w:rsidR="0095662D" w:rsidRPr="00662E51">
        <w:t>(Haraway 1988)</w:t>
      </w:r>
      <w:r w:rsidRPr="00662E51">
        <w:rPr>
          <w:rFonts w:cs="Arial"/>
          <w:szCs w:val="24"/>
        </w:rPr>
        <w:fldChar w:fldCharType="end"/>
      </w:r>
      <w:r w:rsidRPr="00662E51">
        <w:rPr>
          <w:rFonts w:cs="Arial"/>
          <w:szCs w:val="24"/>
        </w:rPr>
        <w:t xml:space="preserve">. I consider my position as a researcher and the status of being an insider and an outsider </w:t>
      </w:r>
      <w:r w:rsidRPr="00662E51">
        <w:rPr>
          <w:rFonts w:cs="Arial"/>
          <w:szCs w:val="24"/>
        </w:rPr>
        <w:fldChar w:fldCharType="begin"/>
      </w:r>
      <w:r w:rsidRPr="00662E51">
        <w:rPr>
          <w:rFonts w:cs="Arial"/>
          <w:szCs w:val="24"/>
        </w:rPr>
        <w:instrText xml:space="preserve"> ADDIN ZOTERO_ITEM CSL_CITATION {"citationID":"CvTX4LAh","properties":{"formattedCitation":"(Humphrey 2007)","plainCitation":"(Humphrey 2007)","noteIndex":0},"citationItems":[{"id":6592,"uris":["http://zotero.org/users/8977980/items/NV93AJ5H"],"itemData":{"id":6592,"type":"article-journal","abstract":"This contribution arises from my doctoral thesis about the rise of self-organized groups for women, black people, disabled people and lesbians and gay men within trade unions in Britain. My reflexivity as a researcher hinged upon my capacity to recognize my new position as an insider-outsider in relation to the university, the union and each of the self-organized groups, whilst the fertility of the project hinged upon my capacity to activate the hyphen by journeying between different life-worlds. This article explores the personal, professional and political dilemmas in becoming an insider-outsider with a view to assisting future generations of action researchers.","container-title":"Action Research","DOI":"10.1177/1476750307072873","ISSN":"1476-7503, 1741-2617","issue":"1","journalAbbreviation":"Action Research","language":"en","license":"https://journals.sagepub.com/page/policies/text-and-data-mining-license","page":"11-26","source":"DOI.org (Crossref)","title":"Insider-outsider: Activating the hyphen","title-short":"Insider-outsider","volume":"5","author":[{"family":"Humphrey","given":"Caroline"}],"issued":{"date-parts":[["2007",3]]}}}],"schema":"https://github.com/citation-style-language/schema/raw/master/csl-citation.json"} </w:instrText>
      </w:r>
      <w:r w:rsidRPr="00662E51">
        <w:rPr>
          <w:rFonts w:cs="Arial"/>
          <w:szCs w:val="24"/>
        </w:rPr>
        <w:fldChar w:fldCharType="separate"/>
      </w:r>
      <w:r w:rsidR="0095662D" w:rsidRPr="00662E51">
        <w:t>(Humphrey 2007)</w:t>
      </w:r>
      <w:r w:rsidRPr="00662E51">
        <w:rPr>
          <w:rFonts w:cs="Arial"/>
          <w:szCs w:val="24"/>
        </w:rPr>
        <w:fldChar w:fldCharType="end"/>
      </w:r>
      <w:r w:rsidRPr="00662E51">
        <w:rPr>
          <w:rFonts w:cs="Arial"/>
          <w:szCs w:val="24"/>
        </w:rPr>
        <w:t>.</w:t>
      </w:r>
    </w:p>
    <w:p w14:paraId="07A58428" w14:textId="77777777" w:rsidR="000F3E6B" w:rsidRPr="00662E51" w:rsidRDefault="000F3E6B" w:rsidP="00F56305">
      <w:pPr>
        <w:spacing w:line="360" w:lineRule="auto"/>
        <w:ind w:left="0"/>
        <w:rPr>
          <w:rFonts w:cs="Arial"/>
          <w:szCs w:val="24"/>
        </w:rPr>
      </w:pPr>
    </w:p>
    <w:p w14:paraId="73CBABC6" w14:textId="38FEAADF" w:rsidR="000F3E6B" w:rsidRPr="00662E51" w:rsidRDefault="000F3E6B" w:rsidP="00F56305">
      <w:pPr>
        <w:pStyle w:val="Heading3"/>
      </w:pPr>
      <w:bookmarkStart w:id="271" w:name="_Toc208328792"/>
      <w:bookmarkStart w:id="272" w:name="_Toc213173951"/>
      <w:bookmarkStart w:id="273" w:name="_Toc221184340"/>
      <w:bookmarkStart w:id="274" w:name="_Toc231215258"/>
      <w:r w:rsidRPr="00662E51">
        <w:t>As a researcher</w:t>
      </w:r>
      <w:bookmarkEnd w:id="271"/>
      <w:bookmarkEnd w:id="272"/>
      <w:bookmarkEnd w:id="273"/>
      <w:r w:rsidR="00BC44B5">
        <w:t>:</w:t>
      </w:r>
      <w:bookmarkEnd w:id="274"/>
    </w:p>
    <w:p w14:paraId="477F5FCA" w14:textId="31C096BC" w:rsidR="00634FDE" w:rsidRPr="00662E51" w:rsidRDefault="00634FDE" w:rsidP="00F56305">
      <w:pPr>
        <w:spacing w:line="360" w:lineRule="auto"/>
        <w:ind w:left="0" w:firstLine="720"/>
        <w:rPr>
          <w:szCs w:val="24"/>
        </w:rPr>
      </w:pPr>
      <w:r w:rsidRPr="00662E51">
        <w:rPr>
          <w:szCs w:val="24"/>
        </w:rPr>
        <w:t xml:space="preserve">I found that my status as a doctoral researcher was often unclear to others. Participants sometimes assumed the project was for an undergraduate dissertation and were unwilling to fully engage. Others—having rightly felt over-researched—presumed I approached this project through an extractivist lens and declined to engage with me. Such concerns reflect the privilege, distance, and </w:t>
      </w:r>
      <w:r w:rsidRPr="00662E51">
        <w:rPr>
          <w:szCs w:val="24"/>
        </w:rPr>
        <w:lastRenderedPageBreak/>
        <w:t xml:space="preserve">confusion associated with being a professional researcher </w:t>
      </w:r>
      <w:r w:rsidRPr="00662E51">
        <w:rPr>
          <w:szCs w:val="24"/>
        </w:rPr>
        <w:fldChar w:fldCharType="begin"/>
      </w:r>
      <w:r w:rsidRPr="00662E51">
        <w:rPr>
          <w:szCs w:val="24"/>
        </w:rPr>
        <w:instrText xml:space="preserve"> ADDIN ZOTERO_ITEM CSL_CITATION {"citationID":"RHNpIqcM","properties":{"formattedCitation":"(Tuck 2009)","plainCitation":"(Tuck 2009)","noteIndex":0},"citationItems":[{"id":6552,"uris":["http://zotero.org/users/8977980/items/XHKKNMQ6"],"itemData":{"id":6552,"type":"article-journal","abstract":"In this open letter, Eve Tuck calls on communities, researchers, and educators to reconsider the long-term impact of \"damage-centered\" research—research that intends to document peoples' pain and brokenness to hold those in power accountable for their oppression. This kind of research operates with a flawed theory of change: it is often used to leverage reparations or resources for marginalized communities yet simultaneously reinforces and reinscribes a one-dimensional notion of these people as depleted,ruined, and hopeless. Tuck urges communities to institute a moratorium on damage-centered research to reformulate the ways research is framed and conducted and to reimagine how findings might be used by, for, and with communities.","container-title":"Harvard Educational Review","DOI":"10.17763/haer.79.3.n0016675661t3n15","ISSN":"0017-8055","issue":"3","journalAbbreviation":"Harvard Educational Review","page":"409-428","source":"Silverchair","title":"Suspending Damage: A Letter to Communities","title-short":"Suspending Damage","volume":"79","author":[{"family":"Tuck","given":"Eve"}],"issued":{"date-parts":[["2009",10,6]]}}}],"schema":"https://github.com/citation-style-language/schema/raw/master/csl-citation.json"} </w:instrText>
      </w:r>
      <w:r w:rsidRPr="00662E51">
        <w:rPr>
          <w:szCs w:val="24"/>
        </w:rPr>
        <w:fldChar w:fldCharType="separate"/>
      </w:r>
      <w:r w:rsidR="0095662D" w:rsidRPr="00662E51">
        <w:t>(Tuck 2009)</w:t>
      </w:r>
      <w:r w:rsidRPr="00662E51">
        <w:rPr>
          <w:szCs w:val="24"/>
        </w:rPr>
        <w:fldChar w:fldCharType="end"/>
      </w:r>
      <w:r w:rsidRPr="00662E51">
        <w:rPr>
          <w:szCs w:val="24"/>
        </w:rPr>
        <w:t xml:space="preserve">. On one hand, it is basically impossible for scholars to be fully immersed in research </w:t>
      </w:r>
      <w:r w:rsidRPr="00662E51">
        <w:rPr>
          <w:szCs w:val="24"/>
        </w:rPr>
        <w:fldChar w:fldCharType="begin"/>
      </w:r>
      <w:r w:rsidR="008835AB" w:rsidRPr="00662E51">
        <w:rPr>
          <w:szCs w:val="24"/>
        </w:rPr>
        <w:instrText xml:space="preserve"> ADDIN ZOTERO_ITEM CSL_CITATION {"citationID":"eXlnnDf3","properties":{"formattedCitation":"(Rose 1997)","plainCitation":"(Rose 1997)","noteIndex":0},"citationItems":[{"id":6567,"uris":["http://zotero.org/users/8977980/items/J76F36KR"],"itemData":{"id":6567,"type":"article-journal","abstract":"This article addresses the discussion, particularly prominent among feminist geographers, of reflexivity as a strategy for marking geographical knowledges as situated. It argues that, if the aim of feminist and other critical geographies is to acknowledge their partiality, then the particular form of reflexivity advocated needs careful consideration. Feminist geographers most often recommend a kind of reflexivity that aims, even if only ideally, at a full understanding of the researcher, the researched and the research context. The article begins with the author's failure at that kind of reflexivity, and that particular reflexivity is then discussed and described as ‘transparent’ in its ambitious claims to comprehensive knowledge. The article then goes on to explore critiques of transparent reflexivity, many of which have been made by feminist geographers themselves. The article concludes by suggesting that some recent discussions of the uncertainties of research practice offer another model of feminist reflexivity that may succeed more effectively in questioning the researcher's practice of knowledge production.","container-title":"Progress in Human Geography","DOI":"10.1191/030913297673302122","ISSN":"0309-1325","issue":"3","language":"EN","page":"305-320","publisher":"SAGE Publications Ltd","source":"SAGE Journals","title":"Situating knowledges: positionality, reflexivities and other tactics","title-short":"Situating knowledges","volume":"21","author":[{"family":"Rose","given":"Gillian"}],"issued":{"date-parts":[["1997",6,1]]}}}],"schema":"https://github.com/citation-style-language/schema/raw/master/csl-citation.json"} </w:instrText>
      </w:r>
      <w:r w:rsidRPr="00662E51">
        <w:rPr>
          <w:szCs w:val="24"/>
        </w:rPr>
        <w:fldChar w:fldCharType="separate"/>
      </w:r>
      <w:r w:rsidR="0095662D" w:rsidRPr="00662E51">
        <w:t>(Rose 1997)</w:t>
      </w:r>
      <w:r w:rsidRPr="00662E51">
        <w:rPr>
          <w:szCs w:val="24"/>
        </w:rPr>
        <w:fldChar w:fldCharType="end"/>
      </w:r>
      <w:r w:rsidRPr="00662E51">
        <w:rPr>
          <w:szCs w:val="24"/>
        </w:rPr>
        <w:t xml:space="preserve">. On the other hand, this distance is a privilege that can only come with being a professional social researcher. As feminist scholars remind us, it is only through continually attention to this privilege that coherent, strong research can occur </w:t>
      </w:r>
      <w:r w:rsidRPr="00662E51">
        <w:rPr>
          <w:szCs w:val="24"/>
        </w:rPr>
        <w:fldChar w:fldCharType="begin"/>
      </w:r>
      <w:r w:rsidR="00213B80">
        <w:rPr>
          <w:szCs w:val="24"/>
        </w:rPr>
        <w:instrText xml:space="preserve"> ADDIN ZOTERO_ITEM CSL_CITATION {"citationID":"h4hLsyTx","properties":{"formattedCitation":"(S. N. Hesse-Biber 2014)","plainCitation":"(S. N. Hesse-Biber 2014)","noteIndex":0},"citationItems":[{"id":6586,"uris":["http://zotero.org/users/8977980/items/A67PUQCG"],"itemData":{"id":6586,"type":"chapter","abstract":"&lt;p&gt;The fully revised and updated edition of Feminist Research Practice: A Primer draws on the expertise of a stellar group of interdisciplinary scholars who cov","container-title":"Feminist Research Practice: A Primer","DOI":"10.4135/9781071909911","ISBN":"978-1-0719-0991-1","language":"en","page":"182-232","publisher":"SAGE Publications, Inc","source":"methods-sagepub-com.ezphost.dur.ac.uk","title":"Feminist Approaches to In-Depth Interviewing","URL":"https://methods-sagepub-com.ezphost.dur.ac.uk/book/edvol/feminist-research-practice-2e/chpt/feminist-approaches-indepth-interviewing","author":[{"family":"Hesse-Biber","given":"Sharlene Nagy"}],"editor":[{"family":"Hesse-Biber","given":"Sharlene"}],"accessed":{"date-parts":[["2025",6,24]]},"issued":{"date-parts":[["2014"]]}}}],"schema":"https://github.com/citation-style-language/schema/raw/master/csl-citation.json"} </w:instrText>
      </w:r>
      <w:r w:rsidRPr="00662E51">
        <w:rPr>
          <w:szCs w:val="24"/>
        </w:rPr>
        <w:fldChar w:fldCharType="separate"/>
      </w:r>
      <w:r w:rsidR="00213B80" w:rsidRPr="00213B80">
        <w:t>(S. N. Hesse-Biber 2014)</w:t>
      </w:r>
      <w:r w:rsidRPr="00662E51">
        <w:rPr>
          <w:szCs w:val="24"/>
        </w:rPr>
        <w:fldChar w:fldCharType="end"/>
      </w:r>
      <w:r w:rsidRPr="00662E51">
        <w:rPr>
          <w:szCs w:val="24"/>
        </w:rPr>
        <w:t xml:space="preserve">. </w:t>
      </w:r>
    </w:p>
    <w:p w14:paraId="7C8A9196" w14:textId="77777777" w:rsidR="00634FDE" w:rsidRPr="00662E51" w:rsidRDefault="00634FDE" w:rsidP="00F56305">
      <w:pPr>
        <w:spacing w:line="360" w:lineRule="auto"/>
        <w:ind w:left="0" w:firstLine="720"/>
        <w:rPr>
          <w:szCs w:val="24"/>
        </w:rPr>
      </w:pPr>
      <w:r w:rsidRPr="00662E51">
        <w:rPr>
          <w:szCs w:val="24"/>
        </w:rPr>
        <w:t>Being an external researcher also allowed me to navigate spaces in ways that some of my participants could not. For example, some relationships between activists and politicians had become contentious, leading to a breakdown in communication. My perceived distance meant I was able to navigate these difficult relationships while still being able to offer a critical perspective. One activist even told me he wanted “someone like you” to do a deep-dive on Haringey Council, in service of his anti-regeneration agenda. Lastly, it meant that, in some ways, I ‘owed’ my participants to acknowledge all these privileges throughout the research and writing process.</w:t>
      </w:r>
    </w:p>
    <w:p w14:paraId="1C760920" w14:textId="25E6A521" w:rsidR="000F3E6B" w:rsidRPr="00662E51" w:rsidRDefault="00634FDE" w:rsidP="00F56305">
      <w:pPr>
        <w:spacing w:line="360" w:lineRule="auto"/>
        <w:ind w:left="0" w:firstLine="720"/>
        <w:rPr>
          <w:szCs w:val="24"/>
        </w:rPr>
      </w:pPr>
      <w:r w:rsidRPr="00662E51">
        <w:rPr>
          <w:szCs w:val="24"/>
        </w:rPr>
        <w:t xml:space="preserve"> </w:t>
      </w:r>
      <w:r w:rsidR="000F3E6B" w:rsidRPr="00662E51">
        <w:rPr>
          <w:szCs w:val="24"/>
        </w:rPr>
        <w:t xml:space="preserve"> </w:t>
      </w:r>
    </w:p>
    <w:p w14:paraId="7748D5A2" w14:textId="69685ABA" w:rsidR="000F3E6B" w:rsidRPr="00662E51" w:rsidRDefault="000F3E6B" w:rsidP="00F56305">
      <w:pPr>
        <w:pStyle w:val="Heading3"/>
      </w:pPr>
      <w:bookmarkStart w:id="275" w:name="_Toc208328793"/>
      <w:bookmarkStart w:id="276" w:name="_Toc213173952"/>
      <w:bookmarkStart w:id="277" w:name="_Toc221184341"/>
      <w:bookmarkStart w:id="278" w:name="_Toc231215259"/>
      <w:r w:rsidRPr="00662E51">
        <w:t>Insider and Outside</w:t>
      </w:r>
      <w:bookmarkEnd w:id="275"/>
      <w:bookmarkEnd w:id="276"/>
      <w:bookmarkEnd w:id="277"/>
      <w:r w:rsidR="00BC44B5">
        <w:t>r:</w:t>
      </w:r>
      <w:bookmarkEnd w:id="278"/>
    </w:p>
    <w:p w14:paraId="3E3F6051" w14:textId="78686090" w:rsidR="00AD271E" w:rsidRPr="00662E51" w:rsidRDefault="00AD271E" w:rsidP="00F56305">
      <w:pPr>
        <w:spacing w:line="360" w:lineRule="auto"/>
        <w:ind w:left="0" w:firstLine="720"/>
        <w:rPr>
          <w:szCs w:val="24"/>
        </w:rPr>
      </w:pPr>
      <w:r w:rsidRPr="00662E51">
        <w:rPr>
          <w:szCs w:val="24"/>
        </w:rPr>
        <w:t xml:space="preserve">Having been involved with public housing transformation in New York, I had to carefully balance my positionality as a researcher with these past experiences as a state actor—as well as maintain my critical edge as an activist-researcher. Some interviewees expressed initial confusion as to why an American was interested in regeneration in London. After explaining my interests, background, and experience with housing regeneration in New York to participants, I was able to establish a familiarity that went beyond the basics. This awareness of the innerworkings of regeneration helped me integrate myself with activists who had long soured on politicians. ‘Insider’ knowledge of regeneration and local municipal politics (albeit from a different angle in a different city) meant I had a good basis to understand the politics of </w:t>
      </w:r>
      <w:r w:rsidR="000A07FF" w:rsidRPr="00662E51">
        <w:rPr>
          <w:szCs w:val="24"/>
        </w:rPr>
        <w:t>Haringey</w:t>
      </w:r>
      <w:r w:rsidRPr="00662E51">
        <w:rPr>
          <w:szCs w:val="24"/>
        </w:rPr>
        <w:t xml:space="preserve">. Councillors could sense that I was experienced, which helped reduced ‘elite delusion’ during interviews </w:t>
      </w:r>
      <w:r w:rsidRPr="00662E51">
        <w:rPr>
          <w:szCs w:val="24"/>
        </w:rPr>
        <w:fldChar w:fldCharType="begin"/>
      </w:r>
      <w:r w:rsidR="008835AB" w:rsidRPr="00662E51">
        <w:rPr>
          <w:szCs w:val="24"/>
        </w:rPr>
        <w:instrText xml:space="preserve"> ADDIN ZOTERO_ITEM CSL_CITATION {"citationID":"kFy6Qjxp","properties":{"formattedCitation":"(Mason-Bish 2019)","plainCitation":"(Mason-Bish 2019)","noteIndex":0},"citationItems":[{"id":6591,"uris":["http://zotero.org/users/8977980/items/UD2YMSWF"],"itemData":{"id":6591,"type":"article-journal","abstract":"This article examines how perceptions of interviewing elites influence the decisions made at every stage of the qualitative research process. It also reflects on issues of positionality and power which relate not only to the relationship between researcher and respondent but also to the subject matter of the research itself. As such I suggest that it is important to critically assess assumptions made about elites and to reflect on how the position of the researcher might impact upon the exchange and resultant findings. In essence what is found is that in discussing the construction of policy, a delicate balance is struck between positionality and research topic and that the policy narrative is a joint construction which is very much shaped by the identity and positionality of everyone involved.","container-title":"Qualitative Research","DOI":"10.1177/1468794118770078","ISSN":"1468-7941","issue":"3","language":"EN","page":"263-276","publisher":"SAGE Publications","source":"SAGE Journals","title":"The elite delusion: reflexivity, identity and positionality in qualitative research","title-short":"The elite delusion","volume":"19","author":[{"family":"Mason-Bish","given":"Hannah"}],"issued":{"date-parts":[["2019",6,1]]}}}],"schema":"https://github.com/citation-style-language/schema/raw/master/csl-citation.json"} </w:instrText>
      </w:r>
      <w:r w:rsidRPr="00662E51">
        <w:rPr>
          <w:szCs w:val="24"/>
        </w:rPr>
        <w:fldChar w:fldCharType="separate"/>
      </w:r>
      <w:r w:rsidR="0095662D" w:rsidRPr="00662E51">
        <w:t>(Mason-Bish 2019)</w:t>
      </w:r>
      <w:r w:rsidRPr="00662E51">
        <w:rPr>
          <w:szCs w:val="24"/>
        </w:rPr>
        <w:fldChar w:fldCharType="end"/>
      </w:r>
      <w:r w:rsidRPr="00662E51">
        <w:rPr>
          <w:szCs w:val="24"/>
        </w:rPr>
        <w:t xml:space="preserve">. Partially because I engaged in housing activism elsewhere, being an ‘insider’ with StopHDV and housing justice activists in Haringey was somewhat easy </w:t>
      </w:r>
      <w:r w:rsidRPr="00662E51">
        <w:rPr>
          <w:szCs w:val="24"/>
        </w:rPr>
        <w:fldChar w:fldCharType="begin"/>
      </w:r>
      <w:r w:rsidRPr="00662E51">
        <w:rPr>
          <w:szCs w:val="24"/>
        </w:rPr>
        <w:instrText xml:space="preserve"> ADDIN ZOTERO_ITEM CSL_CITATION {"citationID":"OLH1wyMV","properties":{"formattedCitation":"(Humphrey 2007)","plainCitation":"(Humphrey 2007)","noteIndex":0},"citationItems":[{"id":6592,"uris":["http://zotero.org/users/8977980/items/NV93AJ5H"],"itemData":{"id":6592,"type":"article-journal","abstract":"This contribution arises from my doctoral thesis about the rise of self-organized groups for women, black people, disabled people and lesbians and gay men within trade unions in Britain. My reflexivity as a researcher hinged upon my capacity to recognize my new position as an insider-outsider in relation to the university, the union and each of the self-organized groups, whilst the fertility of the project hinged upon my capacity to activate the hyphen by journeying between different life-worlds. This article explores the personal, professional and political dilemmas in becoming an insider-outsider with a view to assisting future generations of action researchers.","container-title":"Action Research","DOI":"10.1177/1476750307072873","ISSN":"1476-7503, 1741-2617","issue":"1","journalAbbreviation":"Action Research","language":"en","license":"https://journals.sagepub.com/page/policies/text-and-data-mining-license","page":"11-26","source":"DOI.org (Crossref)","title":"Insider-outsider: Activating the hyphen","title-short":"Insider-outsider","volume":"5","author":[{"family":"Humphrey","given":"Caroline"}],"issued":{"date-parts":[["2007",3]]}}}],"schema":"https://github.com/citation-style-language/schema/raw/master/csl-citation.json"} </w:instrText>
      </w:r>
      <w:r w:rsidRPr="00662E51">
        <w:rPr>
          <w:szCs w:val="24"/>
        </w:rPr>
        <w:fldChar w:fldCharType="separate"/>
      </w:r>
      <w:r w:rsidR="0095662D" w:rsidRPr="00662E51">
        <w:t>(Humphrey 2007)</w:t>
      </w:r>
      <w:r w:rsidRPr="00662E51">
        <w:rPr>
          <w:szCs w:val="24"/>
        </w:rPr>
        <w:fldChar w:fldCharType="end"/>
      </w:r>
      <w:r w:rsidRPr="00662E51">
        <w:rPr>
          <w:szCs w:val="24"/>
        </w:rPr>
        <w:t xml:space="preserve">. Taken together, this granted me a form of </w:t>
      </w:r>
      <w:r w:rsidRPr="00662E51">
        <w:rPr>
          <w:szCs w:val="24"/>
        </w:rPr>
        <w:lastRenderedPageBreak/>
        <w:t xml:space="preserve">‘insider’ status (Bukamal, 2022) because of this past experience. However, I sometimes felt that certain activists were giving me a script: a rehearsed story that hardly differed from what I could glean from online sources. This was just another element of reflexivity and positionality we both had to negotiate as the research continued. </w:t>
      </w:r>
    </w:p>
    <w:p w14:paraId="205ECB96" w14:textId="4213AF10" w:rsidR="00AD271E" w:rsidRPr="00662E51" w:rsidRDefault="00AD271E" w:rsidP="00F56305">
      <w:pPr>
        <w:spacing w:line="360" w:lineRule="auto"/>
        <w:ind w:left="0" w:firstLine="720"/>
        <w:rPr>
          <w:szCs w:val="24"/>
        </w:rPr>
      </w:pPr>
      <w:r w:rsidRPr="00662E51">
        <w:rPr>
          <w:szCs w:val="24"/>
        </w:rPr>
        <w:t xml:space="preserve">Conversely, my ‘outsider’ status had its own impact on the research. For one, I could sense that activist saw my position as an ‘outsider’ (and a researcher) as something they could utilise to further their fight against gentrification </w:t>
      </w:r>
      <w:r w:rsidRPr="00662E51">
        <w:rPr>
          <w:szCs w:val="24"/>
        </w:rPr>
        <w:fldChar w:fldCharType="begin"/>
      </w:r>
      <w:r w:rsidR="008835AB" w:rsidRPr="00662E51">
        <w:rPr>
          <w:szCs w:val="24"/>
        </w:rPr>
        <w:instrText xml:space="preserve"> ADDIN ZOTERO_ITEM CSL_CITATION {"citationID":"CLELs2LP","properties":{"formattedCitation":"(Merriam et al. 2001)","plainCitation":"(Merriam et al. 2001)","noteIndex":0},"citationItems":[{"id":6542,"uris":["http://zotero.org/users/8977980/items/WWKWJU57"],"itemData":{"id":6542,"type":"article-journal","abstract":"Early discussions of insider/outsider status assumed that the researcher was predominately an insider or an outsider and that each status carried with it certain advantages and disadvantages. More recent discussions have unveiled the complexity inherent in either status and have acknowledged that the boundaries between the two positions are not all that clearly delineated. Four case studies - a Black woman interviewing other Black women, Asian graduate students in the US interviewing people from ‘back home’, an African professor learning from African businesswomen, and a cross-cultural team studying aging in a nonWestern culture - are used as the data base to explore the complexities of researching within and across cultures. Positionality, power, and representation proved to be useful concepts for exploring insider/outsider dynamics.","container-title":"International Journal of Lifelong Education","DOI":"10.1080/02601370120490","ISSN":"0260-1370","issue":"5","note":"_eprint: https://www.tandfonline.com/doi/pdf/10.1080/02601370120490","page":"405-416","publisher":"Routledge","source":"Taylor and Francis+NEJM","title":"Power and positionality: negotiating insider/outsider status within and across cultures","title-short":"Power and positionality","volume":"20","author":[{"family":"Merriam","given":"Sharan B."},{"family":"","given":"Johnson-Bailey ,Juanita"},{"family":"","given":"Lee ,Ming-Yeh"},{"family":"","given":"Kee ,Youngwha"},{"family":"","given":"Ntseane ,Gabo"},{"family":"Muhamad","given":"Mazanah","non-dropping-particle":"and"}],"issued":{"date-parts":[["2001",9,1]]}}}],"schema":"https://github.com/citation-style-language/schema/raw/master/csl-citation.json"} </w:instrText>
      </w:r>
      <w:r w:rsidRPr="00662E51">
        <w:rPr>
          <w:szCs w:val="24"/>
        </w:rPr>
        <w:fldChar w:fldCharType="separate"/>
      </w:r>
      <w:r w:rsidR="0095662D" w:rsidRPr="00662E51">
        <w:t>(Merriam et al. 2001)</w:t>
      </w:r>
      <w:r w:rsidRPr="00662E51">
        <w:rPr>
          <w:szCs w:val="24"/>
        </w:rPr>
        <w:fldChar w:fldCharType="end"/>
      </w:r>
      <w:r w:rsidRPr="00662E51">
        <w:rPr>
          <w:szCs w:val="24"/>
        </w:rPr>
        <w:t xml:space="preserve">. Similarly, I found that StopHDV-aligned councillors, too, felt more comfortable being completely open with me—partially because of my political perspective but I also believe it was because I had little knowledge of the existing personal relationships between participants. That is, I was a true ‘outsider.’ Moreover, my time spent at the foodbank—and willingness to admit I was an ‘outsider’ and knew little about London’s politics—opened doors for me that an ‘insider’ may have been unable to open because of preexisting biases. Thus, my position as a non-Londoner intersected with my previous experiences, forging a “space between” being an ‘insider’ and an ‘outsider’ </w:t>
      </w:r>
      <w:r w:rsidRPr="00662E51">
        <w:rPr>
          <w:szCs w:val="24"/>
        </w:rPr>
        <w:fldChar w:fldCharType="begin"/>
      </w:r>
      <w:r w:rsidR="008835AB" w:rsidRPr="00662E51">
        <w:rPr>
          <w:szCs w:val="24"/>
        </w:rPr>
        <w:instrText xml:space="preserve"> ADDIN ZOTERO_ITEM CSL_CITATION {"citationID":"sK78sle9","properties":{"formattedCitation":"(Dwyer and Buckle 2009)","plainCitation":"(Dwyer and Buckle 2009)","noteIndex":0},"citationItems":[{"id":6588,"uris":["http://zotero.org/users/8977980/items/AKUJ2XI6"],"itemData":{"id":6588,"type":"article-journal","abstract":"Should qualitative researchers be members of the population they are studying, or should they not? Although this issue has been explored within the context of qualitative research, it has generally been reserved for discussions of observation, field research, and ethnography. The authors expand that discussion and explore membership roles by illustrating the insider status of one author and the outsider status of the other when conducting research with specific parent groups. The strengths and challenges of conducting qualitative research from each membership status are examined. Rather than consider this issue from a dichotomous perspective, the authors explore the notion of the space between that allows researchers to occupy the position of both insider and outsider rather than insider or outsider.","container-title":"International Journal of Qualitative Methods","DOI":"10.1177/160940690900800105","ISSN":"1609-4069","issue":"1","language":"EN","page":"54-63","publisher":"SAGE Publications Inc","source":"SAGE Journals","title":"The Space Between: On Being an Insider-Outsider in Qualitative Research","title-short":"The Space Between","volume":"8","author":[{"family":"Dwyer","given":"Sonya Corbin"},{"family":"Buckle","given":"Jennifer L."}],"issued":{"date-parts":[["2009",3,1]]}}}],"schema":"https://github.com/citation-style-language/schema/raw/master/csl-citation.json"} </w:instrText>
      </w:r>
      <w:r w:rsidRPr="00662E51">
        <w:rPr>
          <w:szCs w:val="24"/>
        </w:rPr>
        <w:fldChar w:fldCharType="separate"/>
      </w:r>
      <w:r w:rsidR="0095662D" w:rsidRPr="00662E51">
        <w:t>(Dwyer and Buckle 2009)</w:t>
      </w:r>
      <w:r w:rsidRPr="00662E51">
        <w:rPr>
          <w:szCs w:val="24"/>
        </w:rPr>
        <w:fldChar w:fldCharType="end"/>
      </w:r>
      <w:r w:rsidRPr="00662E51">
        <w:rPr>
          <w:szCs w:val="24"/>
        </w:rPr>
        <w:t xml:space="preserve">. </w:t>
      </w:r>
    </w:p>
    <w:p w14:paraId="076F8706" w14:textId="77777777" w:rsidR="00AD271E" w:rsidRPr="00662E51" w:rsidRDefault="00AD271E" w:rsidP="00F56305">
      <w:pPr>
        <w:spacing w:line="360" w:lineRule="auto"/>
        <w:ind w:left="0" w:firstLine="720"/>
        <w:rPr>
          <w:szCs w:val="24"/>
        </w:rPr>
      </w:pPr>
    </w:p>
    <w:p w14:paraId="58E7BA45" w14:textId="636D9212" w:rsidR="000F3E6B" w:rsidRPr="00662E51" w:rsidRDefault="000F3E6B" w:rsidP="00F56305">
      <w:pPr>
        <w:pStyle w:val="Heading2"/>
      </w:pPr>
      <w:bookmarkStart w:id="279" w:name="_Toc208328794"/>
      <w:bookmarkStart w:id="280" w:name="_Toc213173953"/>
      <w:bookmarkStart w:id="281" w:name="_Toc216096160"/>
      <w:bookmarkStart w:id="282" w:name="_Toc221184342"/>
      <w:bookmarkStart w:id="283" w:name="_Toc231215260"/>
      <w:r w:rsidRPr="00662E51">
        <w:t>Conclusion</w:t>
      </w:r>
      <w:bookmarkEnd w:id="279"/>
      <w:bookmarkEnd w:id="280"/>
      <w:bookmarkEnd w:id="281"/>
      <w:bookmarkEnd w:id="282"/>
      <w:r w:rsidR="00BC44B5">
        <w:t>:</w:t>
      </w:r>
      <w:bookmarkEnd w:id="283"/>
    </w:p>
    <w:p w14:paraId="269197FF" w14:textId="77777777" w:rsidR="00F23CA6" w:rsidRPr="00662E51" w:rsidRDefault="00F23CA6" w:rsidP="00F56305">
      <w:pPr>
        <w:spacing w:line="360" w:lineRule="auto"/>
        <w:ind w:left="0"/>
        <w:rPr>
          <w:rFonts w:cs="Arial"/>
          <w:szCs w:val="24"/>
        </w:rPr>
      </w:pPr>
      <w:r w:rsidRPr="00662E51">
        <w:rPr>
          <w:rFonts w:cs="Arial"/>
          <w:szCs w:val="24"/>
        </w:rPr>
        <w:t xml:space="preserve">In this chapter, I have illustrated and reflected on the complexities of researching politically sensitive topics. I explained how I used four different methods and three related case studies to explore my research aims and questions. The diversity of methods used allowed me to better grasp the dynamics of authoritarian neoliberalism, local state practices, and local political party manoeuvring. I also recounted how shifts in the methodological approach were a product of the fieldwork’s dynamic nature. Together, I discussed how this fluidity, openness, and ability to shift were aligned with a more open and expansive approach to mixed methods research. This style of methodology better reflected the multiplicity of importances that housing holds; it also gave the work even greater political and conceptual strength. In these ways, the methodology and case I used were appropriate for the research at hand. I also described the ethical and positional </w:t>
      </w:r>
      <w:r w:rsidRPr="00662E51">
        <w:rPr>
          <w:rFonts w:cs="Arial"/>
          <w:szCs w:val="24"/>
        </w:rPr>
        <w:lastRenderedPageBreak/>
        <w:t>considerations that undergirded my research approach, and how I approached these concerns.</w:t>
      </w:r>
    </w:p>
    <w:p w14:paraId="52976356" w14:textId="79A3FD7C" w:rsidR="00CF6716" w:rsidRPr="00662E51" w:rsidRDefault="00F23CA6" w:rsidP="00F56305">
      <w:pPr>
        <w:spacing w:line="360" w:lineRule="auto"/>
        <w:ind w:left="0"/>
        <w:rPr>
          <w:rFonts w:cs="Arial"/>
          <w:szCs w:val="24"/>
        </w:rPr>
      </w:pPr>
      <w:r w:rsidRPr="00662E51">
        <w:rPr>
          <w:rFonts w:cs="Arial"/>
          <w:szCs w:val="24"/>
        </w:rPr>
        <w:tab/>
        <w:t xml:space="preserve">The next chapter recounts my analysis of the Broadwater Farm Youth Association. It reveals how their activism, occurring in a time of intense authoritarian neoliberalism (1979-1990), retained a radical character even as it worked in cooperation with Haringey Council. </w:t>
      </w:r>
      <w:r w:rsidR="00CF6716" w:rsidRPr="00662E51">
        <w:rPr>
          <w:rFonts w:cs="Arial"/>
          <w:szCs w:val="24"/>
        </w:rPr>
        <w:br w:type="page"/>
      </w:r>
    </w:p>
    <w:p w14:paraId="0D3F2F39" w14:textId="5A7F0FEB" w:rsidR="008D5EF8" w:rsidRPr="00662E51" w:rsidRDefault="00D60A56" w:rsidP="00DB0DB6">
      <w:pPr>
        <w:pStyle w:val="Style1"/>
      </w:pPr>
      <w:bookmarkStart w:id="284" w:name="_Toc208328795"/>
      <w:bookmarkStart w:id="285" w:name="_Toc213173954"/>
      <w:bookmarkStart w:id="286" w:name="_Toc216096161"/>
      <w:bookmarkStart w:id="287" w:name="_Toc221184343"/>
      <w:bookmarkStart w:id="288" w:name="_Toc231215261"/>
      <w:r w:rsidRPr="00662E51">
        <w:lastRenderedPageBreak/>
        <w:t xml:space="preserve">Chapter 5: </w:t>
      </w:r>
      <w:r w:rsidR="00CF6716" w:rsidRPr="00662E51">
        <w:t>Working on the Farm: Acts of Citizenship and Accommodative Resistance</w:t>
      </w:r>
      <w:bookmarkEnd w:id="284"/>
      <w:bookmarkEnd w:id="285"/>
      <w:r w:rsidR="00D2464B" w:rsidRPr="00BD17AF">
        <w:rPr>
          <w:rStyle w:val="FootnoteReference"/>
        </w:rPr>
        <w:footnoteReference w:id="47"/>
      </w:r>
      <w:bookmarkEnd w:id="286"/>
      <w:bookmarkEnd w:id="287"/>
      <w:bookmarkEnd w:id="288"/>
    </w:p>
    <w:p w14:paraId="73D27A73" w14:textId="77777777" w:rsidR="00D66883" w:rsidRPr="00662E51" w:rsidRDefault="00D66883" w:rsidP="00F56305">
      <w:pPr>
        <w:pStyle w:val="ListParagraph"/>
        <w:keepNext/>
        <w:keepLines/>
        <w:numPr>
          <w:ilvl w:val="0"/>
          <w:numId w:val="5"/>
        </w:numPr>
        <w:spacing w:line="360" w:lineRule="auto"/>
        <w:contextualSpacing w:val="0"/>
        <w:outlineLvl w:val="1"/>
        <w:rPr>
          <w:rFonts w:eastAsiaTheme="majorEastAsia" w:cstheme="majorBidi"/>
          <w:vanish/>
          <w:u w:val="single"/>
          <w:lang w:eastAsia="en-US"/>
        </w:rPr>
      </w:pPr>
      <w:bookmarkStart w:id="289" w:name="_Toc216095983"/>
      <w:bookmarkStart w:id="290" w:name="_Toc216096087"/>
      <w:bookmarkStart w:id="291" w:name="_Toc216096162"/>
      <w:bookmarkStart w:id="292" w:name="_Toc216875738"/>
      <w:bookmarkStart w:id="293" w:name="_Toc216875842"/>
      <w:bookmarkStart w:id="294" w:name="_Toc216876619"/>
      <w:bookmarkStart w:id="295" w:name="_Toc216877786"/>
      <w:bookmarkStart w:id="296" w:name="_Toc216878175"/>
      <w:bookmarkStart w:id="297" w:name="_Toc216878526"/>
      <w:bookmarkStart w:id="298" w:name="_Toc216959833"/>
      <w:bookmarkStart w:id="299" w:name="_Toc216960697"/>
      <w:bookmarkStart w:id="300" w:name="_Toc216968036"/>
      <w:bookmarkStart w:id="301" w:name="_Toc216968297"/>
      <w:bookmarkStart w:id="302" w:name="_Toc216968439"/>
      <w:bookmarkStart w:id="303" w:name="_Toc216970111"/>
      <w:bookmarkStart w:id="304" w:name="_Toc216985755"/>
      <w:bookmarkStart w:id="305" w:name="_Toc216985872"/>
      <w:bookmarkStart w:id="306" w:name="_Toc216985989"/>
      <w:bookmarkStart w:id="307" w:name="_Toc216986106"/>
      <w:bookmarkStart w:id="308" w:name="_Toc216986223"/>
      <w:bookmarkStart w:id="309" w:name="_Toc217295443"/>
      <w:bookmarkStart w:id="310" w:name="_Toc220791065"/>
      <w:bookmarkStart w:id="311" w:name="_Toc220922396"/>
      <w:bookmarkStart w:id="312" w:name="_Toc221112517"/>
      <w:bookmarkStart w:id="313" w:name="_Toc221184344"/>
      <w:bookmarkStart w:id="314" w:name="_Toc221195254"/>
      <w:bookmarkStart w:id="315" w:name="_Toc221786838"/>
      <w:bookmarkStart w:id="316" w:name="_Toc231215262"/>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p>
    <w:p w14:paraId="272B64ED" w14:textId="7D89AA15" w:rsidR="00DE5968" w:rsidRPr="00662E51" w:rsidRDefault="00DE5968" w:rsidP="00F56305">
      <w:pPr>
        <w:pStyle w:val="Heading2"/>
      </w:pPr>
      <w:bookmarkStart w:id="317" w:name="_Toc216096163"/>
      <w:bookmarkStart w:id="318" w:name="_Toc221184345"/>
      <w:bookmarkStart w:id="319" w:name="_Toc231215263"/>
      <w:r w:rsidRPr="00662E51">
        <w:t>Introduction</w:t>
      </w:r>
      <w:bookmarkEnd w:id="317"/>
      <w:bookmarkEnd w:id="318"/>
      <w:r w:rsidR="00BC44B5">
        <w:t>:</w:t>
      </w:r>
      <w:bookmarkEnd w:id="319"/>
    </w:p>
    <w:p w14:paraId="46CB9371" w14:textId="28E814EF" w:rsidR="00DE5968" w:rsidRPr="00662E51" w:rsidRDefault="00DE5968" w:rsidP="00EF24D6">
      <w:pPr>
        <w:pStyle w:val="Newparagraph"/>
        <w:spacing w:line="360" w:lineRule="auto"/>
        <w:ind w:firstLine="0"/>
        <w:jc w:val="both"/>
        <w:rPr>
          <w:rFonts w:ascii="Century Schoolbook" w:hAnsi="Century Schoolbook"/>
        </w:rPr>
      </w:pPr>
      <w:r w:rsidRPr="00662E51">
        <w:rPr>
          <w:rFonts w:ascii="Century Schoolbook" w:hAnsi="Century Schoolbook"/>
        </w:rPr>
        <w:t>Reviled as soon as it opened in 1973, the Broadwater Farm housing estate (BF) in Haringey, north London, has endured all forms of defamation and disrepute. Connected to two brutal instances of racist police violence in 1985 and 2011</w:t>
      </w:r>
      <w:r w:rsidR="00A0681B" w:rsidRPr="00662E51">
        <w:rPr>
          <w:rFonts w:ascii="Century Schoolbook" w:hAnsi="Century Schoolbook"/>
        </w:rPr>
        <w:t xml:space="preserve">, </w:t>
      </w:r>
      <w:r w:rsidRPr="00662E51">
        <w:rPr>
          <w:rFonts w:ascii="Century Schoolbook" w:hAnsi="Century Schoolbook"/>
        </w:rPr>
        <w:t>the estate loom</w:t>
      </w:r>
      <w:r w:rsidR="00A0681B" w:rsidRPr="00662E51">
        <w:rPr>
          <w:rFonts w:ascii="Century Schoolbook" w:hAnsi="Century Schoolbook"/>
        </w:rPr>
        <w:t>s</w:t>
      </w:r>
      <w:r w:rsidRPr="00662E51">
        <w:rPr>
          <w:rFonts w:ascii="Century Schoolbook" w:hAnsi="Century Schoolbook"/>
        </w:rPr>
        <w:t xml:space="preserve"> over the surrounding neighbourhood’s brick terraced housing</w:t>
      </w:r>
      <w:r w:rsidR="00A0681B" w:rsidRPr="00662E51">
        <w:rPr>
          <w:rFonts w:ascii="Century Schoolbook" w:hAnsi="Century Schoolbook"/>
        </w:rPr>
        <w:t>.</w:t>
      </w:r>
      <w:r w:rsidRPr="00662E51">
        <w:rPr>
          <w:rFonts w:ascii="Century Schoolbook" w:hAnsi="Century Schoolbook"/>
        </w:rPr>
        <w:t xml:space="preserve"> In the barracks, however, were always signs of life. </w:t>
      </w:r>
      <w:r w:rsidR="006964A8" w:rsidRPr="00662E51">
        <w:rPr>
          <w:rFonts w:ascii="Century Schoolbook" w:hAnsi="Century Schoolbook"/>
        </w:rPr>
        <w:t xml:space="preserve">Many decades before me, one of my interviewees </w:t>
      </w:r>
      <w:r w:rsidR="008A186E" w:rsidRPr="00662E51">
        <w:rPr>
          <w:rFonts w:ascii="Century Schoolbook" w:hAnsi="Century Schoolbook"/>
        </w:rPr>
        <w:t xml:space="preserve">(KI.4) </w:t>
      </w:r>
      <w:r w:rsidR="006964A8" w:rsidRPr="00662E51">
        <w:rPr>
          <w:rFonts w:ascii="Century Schoolbook" w:hAnsi="Century Schoolbook"/>
        </w:rPr>
        <w:t xml:space="preserve">came to investigate for their journalism job. KI.4, who is white, relayed that they were initially anxious as they had heard of BF’s reputation as a mugging hotspot. I too heard those stories: a quick internet search reveals many articles about crime. While my critical goggles meant I was sceptical of the reputation, I will admit that I too was anxious. After some digging, we both found a story of a </w:t>
      </w:r>
      <w:r w:rsidR="00BC77CF" w:rsidRPr="00662E51">
        <w:rPr>
          <w:rFonts w:ascii="Century Schoolbook" w:hAnsi="Century Schoolbook"/>
        </w:rPr>
        <w:t>“</w:t>
      </w:r>
      <w:r w:rsidR="006964A8" w:rsidRPr="00662E51">
        <w:rPr>
          <w:rFonts w:ascii="Century Schoolbook" w:hAnsi="Century Schoolbook"/>
        </w:rPr>
        <w:t>community looking after itself and fighting for justice for young people,</w:t>
      </w:r>
      <w:r w:rsidR="00BC77CF" w:rsidRPr="00662E51">
        <w:rPr>
          <w:rFonts w:ascii="Century Schoolbook" w:hAnsi="Century Schoolbook"/>
        </w:rPr>
        <w:t xml:space="preserve">” </w:t>
      </w:r>
      <w:r w:rsidR="006964A8" w:rsidRPr="00662E51">
        <w:rPr>
          <w:rFonts w:ascii="Century Schoolbook" w:hAnsi="Century Schoolbook"/>
        </w:rPr>
        <w:t xml:space="preserve">instead of the lawless concrete wasteland we had been led to expect (KI.4, interview, 27 Nov. 2023). </w:t>
      </w:r>
      <w:r w:rsidRPr="00662E51">
        <w:rPr>
          <w:rFonts w:ascii="Century Schoolbook" w:hAnsi="Century Schoolbook"/>
        </w:rPr>
        <w:t xml:space="preserve">This community was represented by one powerhouse group: the Broadwater Farm Youth Association (BFYA). Founded in the early 1980s and led by residents, the Youth Association reflected a community under neoliberal authoritarianism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{"citationID":"DFXNMRaH","properties":{"formattedCitation":"(Bruff 2014)","plainCitation":"(Bruff 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(Bruff 2014)</w:t>
      </w:r>
      <w:r w:rsidRPr="00662E51">
        <w:rPr>
          <w:rFonts w:ascii="Century Schoolbook" w:hAnsi="Century Schoolbook"/>
        </w:rPr>
        <w:fldChar w:fldCharType="end"/>
      </w:r>
      <w:r w:rsidRPr="00662E51">
        <w:rPr>
          <w:rFonts w:ascii="Century Schoolbook" w:hAnsi="Century Schoolbook"/>
        </w:rPr>
        <w:t xml:space="preserve"> that was organising for more resources and attention from the local state. This </w:t>
      </w:r>
      <w:r w:rsidR="00E4641D" w:rsidRPr="00662E51">
        <w:rPr>
          <w:rFonts w:ascii="Century Schoolbook" w:hAnsi="Century Schoolbook"/>
        </w:rPr>
        <w:t>chapter</w:t>
      </w:r>
      <w:r w:rsidRPr="00662E51">
        <w:rPr>
          <w:rFonts w:ascii="Century Schoolbook" w:hAnsi="Century Schoolbook"/>
        </w:rPr>
        <w:t xml:space="preserve"> takes the BFYA’s activism (for example providing educational opportunities that the state could not) as a reference point to explore questions of citizenship acts, resistance by accommodation, and authoritarian neoliberalism. This </w:t>
      </w:r>
      <w:r w:rsidR="00E4641D" w:rsidRPr="00662E51">
        <w:rPr>
          <w:rFonts w:ascii="Century Schoolbook" w:hAnsi="Century Schoolbook"/>
        </w:rPr>
        <w:t>chapter</w:t>
      </w:r>
      <w:r w:rsidRPr="00662E51">
        <w:rPr>
          <w:rFonts w:ascii="Century Schoolbook" w:hAnsi="Century Schoolbook"/>
        </w:rPr>
        <w:t xml:space="preserve"> consequently builds on existing literature on citizenship acts across three dimensions: one, grounding accommodative acts in a historical perspective to assert that the theory of acts must consider those that occur under authoritarian neoliberal regimes; two, extending citizenship acts to consider undertheorised forms of quieter housing and place-based activism. Third and finally, I conclude by thinking through how </w:t>
      </w:r>
      <w:r w:rsidRPr="00662E51">
        <w:rPr>
          <w:rFonts w:ascii="Century Schoolbook" w:hAnsi="Century Schoolbook"/>
        </w:rPr>
        <w:lastRenderedPageBreak/>
        <w:t xml:space="preserve">accommodative resistance fits with other underappreciated forms of activism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{"citationID":"LZ7nh8Qu","properties":{"formattedCitation":"(Askins 2014; D. G. Martin et al. 2007; Pottinger 2017; Wilkinson and Ortega-Alc\\uc0\\u225{}zar 2019)","plainCitation":"(Askins 2014; D. G. Martin et al. 2007; Pottinger 2017; Wilkinson and Ortega-Alcázar 2019)","noteIndex":0},"citationItems":[{"id":7180,"uris":["http://zotero.org/users/8977980/items/6VHU98IS"],"itemData":{"id":7180,"type":"article-journal","abstract":"This paper draws on fieldwork with a befriending scheme that pairs refugees, asylum seekers and local residents in the north east of England. It explores the ways in which a ?quiet politics? of encounter, embedded in intimate relationships, is caught up in and productive of complex inter-scale geographies, highlighting the ebbs and flows across security and insecurity. Critically, it foregrounds the relationality of emotions in enabling and maintaining intimate-geopolitics.","container-title":"Area","DOI":"10.1111/area.12138_5","ISSN":"0004-0894","issue":"4","page":"353-354","publisher":"John Wiley &amp; Sons, Ltd","source":"rgs-ibg.onlinelibrary.wiley.com (Atypon)","title":"A quiet politics of being together: Miriam and Rose","title-short":"A quiet politics of being together","volume":"46","author":[{"family":"Askins","given":"Kye"}],"issued":{"date-parts":[["2014",12]]}}},{"id":5833,"uris":["http://zotero.org/users/8977980/items/72L3TA9R"],"itemData":{"id":5833,"type":"article-journal","container-title":"Women's Studies Quarterly","ISSN":"0732-1562","issue":"3/4","page":"78-94","publisher":"The Feminist Press at the City University of New York","source":"JSTOR","title":"What Counts as Activism?: The Role of Individuals in Creating Change","title-short":"What Counts as Activism?","volume":"35","author":[{"family":"Martin","given":"Deborah G."},{"family":"Hanson","given":"Susan"},{"family":"Fontaine","given":"Danielle"}],"issued":{"date-parts":[["2007"]]}}},{"id":7051,"uris":["http://zotero.org/users/8977980/items/GZZVXTGN"],"itemData":{"id":7051,"type":"article-journal","abstract":"While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activism","volume":"49","author":[{"family":"Pottinger","given":"Laura"}],"issued":{"date-parts":[["2017"]]}}},{"id":5078,"uris":["http://zotero.org/users/8977980/items/EV5QXRJZ"],"itemData":{"id":5078,"type":"article-journal","abstract":"This paper seeks to advance understandings of austerity's everyday affects by examining how neoliberal welfare retrenchment is lived, experienced and resisted. Drawing on interviews with young people in housing need, we demonstrate the ways in which day-to-day coping with welfare reform can lead to a state of fatigue, a gradual slow wearing-out that comes with having to endure everyday hardship. Such weariness, we argue, is an integral part of understanding the everyday impacts of austerity. Yet despite the apparent centrality of weariness to issues such as precarity and poverty, there has not yet been sustained discussion into the idea of weariness itself. A common conceptualisation positions weariness as the antithesis of political action, where individuals are slowly worn down until they no longer have the strength or capacity to resist. However, this paper offers a more reparative reading of weariness, one which does not narrowly conceptualise weariness as simply a closing down. Instead we question whether weariness should necessarily always be equated with inaction. The paper focuses on forms of suffering and violence that are felt as a kind of steady on-going form of endurance, rather than as a sudden eruption. We foreground affective moments that are neither passionate nor intense, but instead listless and still, generating feelings of inertia, flatness, impasse. The paper concludes with some reflections on what we term “the right to be weary,” examining how weariness could be understood as a potential retreat from the relentless drive to move forwards, a form of passive dissent.","container-title":"Transactions of the Institute of British Geographers","DOI":"10.1111/tran.12266","ISSN":"1475-5661","issue":"1","language":"en","license":"The information, practices and views in this article are those of the author(s) and do not necessarily reflect the opinion of the Royal Geographical Society (with IBG). © 2018 The Authors. Transactions of the Institute of British Geographers published by John Wiley &amp; Sons Ltd on behalf of Royal Geographical Society (with the Institute of British Geographers).","note":"_eprint: https://onlinelibrary.wiley.com/doi/pdf/10.1111/tran.12266","page":"155-167","source":"Wiley Online Library","title":"The right to be weary? Endurance and exhaustion in austere times","title-short":"The right to be weary?","volume":"44","author":[{"family":"Wilkinson","given":"Eleanor"},{"family":"Ortega-Alcázar","given":"Iliana"}],"issued":{"date-parts":[["2019"]]}}}],"schema":"https://github.com/citation-style-language/schema/raw/master/csl-citation.json"}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(Askins 2014; D. G. Martin et al. 2007; Pottinger 2017; Wilkinson and Ortega-Alcázar 2019)</w:t>
      </w:r>
      <w:r w:rsidRPr="00662E51">
        <w:rPr>
          <w:rFonts w:ascii="Century Schoolbook" w:hAnsi="Century Schoolbook"/>
        </w:rPr>
        <w:fldChar w:fldCharType="end"/>
      </w:r>
      <w:r w:rsidRPr="00662E51">
        <w:rPr>
          <w:rFonts w:ascii="Century Schoolbook" w:hAnsi="Century Schoolbook"/>
        </w:rPr>
        <w:t xml:space="preserve"> as well as opens new spaces for further research.</w:t>
      </w:r>
    </w:p>
    <w:p w14:paraId="0AE42A80" w14:textId="7A064F08" w:rsidR="00DE5968" w:rsidRPr="00662E51" w:rsidRDefault="00DE5968" w:rsidP="00F56305">
      <w:pPr>
        <w:pStyle w:val="Paragraph"/>
        <w:spacing w:before="0" w:line="360" w:lineRule="auto"/>
        <w:jc w:val="both"/>
        <w:rPr>
          <w:rFonts w:ascii="Century Schoolbook" w:hAnsi="Century Schoolbook"/>
        </w:rPr>
      </w:pPr>
      <w:r w:rsidRPr="00662E51">
        <w:rPr>
          <w:rFonts w:ascii="Century Schoolbook" w:hAnsi="Century Schoolbook"/>
        </w:rPr>
        <w:tab/>
        <w:t xml:space="preserve">The </w:t>
      </w:r>
      <w:r w:rsidR="004876E2" w:rsidRPr="00662E51">
        <w:rPr>
          <w:rFonts w:ascii="Century Schoolbook" w:hAnsi="Century Schoolbook"/>
        </w:rPr>
        <w:t>chapter</w:t>
      </w:r>
      <w:r w:rsidRPr="00662E51">
        <w:rPr>
          <w:rFonts w:ascii="Century Schoolbook" w:hAnsi="Century Schoolbook"/>
        </w:rPr>
        <w:t xml:space="preserve"> begins with an overview of BFYA, laying out their activities and accomplishments. I next discuss data and methods. Then, I analyse BFYA’s work through the theories of acts of citizenship, </w:t>
      </w:r>
      <w:r w:rsidRPr="00662E51">
        <w:rPr>
          <w:rFonts w:ascii="Century Schoolbook" w:hAnsi="Century Schoolbook"/>
        </w:rPr>
        <w:fldChar w:fldCharType="begin"/>
      </w:r>
      <w:r w:rsidR="008E2F28">
        <w:rPr>
          <w:rFonts w:ascii="Century Schoolbook" w:hAnsi="Century Schoolbook"/>
        </w:rPr>
        <w:instrText xml:space="preserve"> ADDIN ZOTERO_ITEM CSL_CITATION {"citationID":"GxHKPRHf","properties":{"formattedCitation":"(Isin 2008)","plainCitation":"(Isin 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Marc"}],"author":[{"family":"Isin","given":"Engin"}],"accessed":{"date-parts":[["2022",2,3]]},"issued":{"date-parts":[["2008"]]}}}],"schema":"https://github.com/citation-style-language/schema/raw/master/csl-citation.json"} </w:instrText>
      </w:r>
      <w:r w:rsidRPr="00662E51">
        <w:rPr>
          <w:rFonts w:ascii="Century Schoolbook" w:hAnsi="Century Schoolbook"/>
        </w:rPr>
        <w:fldChar w:fldCharType="separate"/>
      </w:r>
      <w:r w:rsidR="008E2F28" w:rsidRPr="008E2F28">
        <w:rPr>
          <w:rFonts w:ascii="Century Schoolbook" w:hAnsi="Century Schoolbook"/>
        </w:rPr>
        <w:t>(Isin 2008)</w:t>
      </w:r>
      <w:r w:rsidRPr="00662E51">
        <w:rPr>
          <w:rFonts w:ascii="Century Schoolbook" w:hAnsi="Century Schoolbook"/>
        </w:rPr>
        <w:fldChar w:fldCharType="end"/>
      </w:r>
      <w:r w:rsidRPr="00662E51">
        <w:rPr>
          <w:rFonts w:ascii="Century Schoolbook" w:hAnsi="Century Schoolbook"/>
        </w:rPr>
        <w:t xml:space="preserve">, accommodative resistance (which, in this </w:t>
      </w:r>
      <w:r w:rsidR="00A763B2" w:rsidRPr="00662E51">
        <w:rPr>
          <w:rFonts w:ascii="Century Schoolbook" w:hAnsi="Century Schoolbook"/>
        </w:rPr>
        <w:t>chapter</w:t>
      </w:r>
      <w:r w:rsidR="00DB6B14" w:rsidRPr="00662E51">
        <w:rPr>
          <w:rFonts w:ascii="Century Schoolbook" w:hAnsi="Century Schoolbook"/>
        </w:rPr>
        <w:t>,</w:t>
      </w:r>
      <w:r w:rsidRPr="00662E51">
        <w:rPr>
          <w:rFonts w:ascii="Century Schoolbook" w:hAnsi="Century Schoolbook"/>
        </w:rPr>
        <w:t xml:space="preserve"> I term ‘auto-regeneration’)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{"citationID":"jUMPWULj","properties":{"formattedCitation":"(Jakim\\uc0\\u243{}w 2022)","plainCitation":"(Jakimów 2022)","noteIndex":0},"citationItems":[{"id":5118,"uris":["http://zotero.org/users/8977980/items/WQR8VRAH"],"itemData":{"id":5118,"type":"article-journal","abstract":"The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(Jakimów 2022)</w:t>
      </w:r>
      <w:r w:rsidRPr="00662E51">
        <w:rPr>
          <w:rFonts w:ascii="Century Schoolbook" w:hAnsi="Century Schoolbook"/>
        </w:rPr>
        <w:fldChar w:fldCharType="end"/>
      </w:r>
      <w:r w:rsidRPr="00662E51">
        <w:rPr>
          <w:rFonts w:ascii="Century Schoolbook" w:hAnsi="Century Schoolbook"/>
        </w:rPr>
        <w:t xml:space="preserve">, and authoritarian neoliberalism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{"citationID":"2yN6PMcA","properties":{"formattedCitation":"(Bruff 2014)","plainCitation":"(Bruff 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(Bruff 2014)</w:t>
      </w:r>
      <w:r w:rsidRPr="00662E51">
        <w:rPr>
          <w:rFonts w:ascii="Century Schoolbook" w:hAnsi="Century Schoolbook"/>
        </w:rPr>
        <w:fldChar w:fldCharType="end"/>
      </w:r>
      <w:r w:rsidRPr="00662E51">
        <w:rPr>
          <w:rFonts w:ascii="Century Schoolbook" w:hAnsi="Century Schoolbook"/>
        </w:rPr>
        <w:t xml:space="preserve">. I illustrate the transformative potential of accommodative resistance in reshaping political subjectivities. I argue that BFYA served as a platform where local community organizers could redefine their relationship to the state to become full citizens through accommodative forms of citizenship. Although these actions may initially appear as compliance with the state, they in fact represent a form of everyday resistance to the authoritarianism inherent in Thatcher’s neoliberalism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{"citationID":"Z6fZMKNp","properties":{"formattedCitation":"(S. Hall et al. [1978] 2019)","plainCitation":"(S. Hall et al. [1978] 2019)","noteIndex":0},"citationItems":[{"id":5777,"uris":["http://zotero.org/users/8977980/items/3K89WG2H"],"itemData":{"id":5777,"type":"book","edition":"2nd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(S. Hall et al. [1978] 2019)</w:t>
      </w:r>
      <w:r w:rsidRPr="00662E51">
        <w:rPr>
          <w:rFonts w:ascii="Century Schoolbook" w:hAnsi="Century Schoolbook"/>
        </w:rPr>
        <w:fldChar w:fldCharType="end"/>
      </w:r>
      <w:r w:rsidRPr="00662E51">
        <w:rPr>
          <w:rFonts w:ascii="Century Schoolbook" w:hAnsi="Century Schoolbook"/>
        </w:rPr>
        <w:t xml:space="preserve">. Throughout this </w:t>
      </w:r>
      <w:r w:rsidR="00855B9A" w:rsidRPr="00662E51">
        <w:rPr>
          <w:rFonts w:ascii="Century Schoolbook" w:hAnsi="Century Schoolbook"/>
        </w:rPr>
        <w:t>chapter</w:t>
      </w:r>
      <w:r w:rsidRPr="00662E51">
        <w:rPr>
          <w:rFonts w:ascii="Century Schoolbook" w:hAnsi="Century Schoolbook"/>
        </w:rPr>
        <w:t xml:space="preserve">, I contend that, in moments and spaces of authoritarianism, citizenship studies scholars should attend to the ways that quieter forms of activism—those that appear to be accommodative or cooperative—can contribute to transformative change. I also assert the importance of understanding how oppressed groups can effectively turn existing authoritarian frameworks back on themselves to achieve a fundamental change in their relationship with the various scales of the state. </w:t>
      </w:r>
    </w:p>
    <w:p w14:paraId="6E3F18CF" w14:textId="77777777" w:rsidR="00DE5968" w:rsidRPr="00662E51" w:rsidRDefault="00DE5968" w:rsidP="00F56305">
      <w:pPr>
        <w:pStyle w:val="Newparagraph"/>
        <w:spacing w:line="360" w:lineRule="auto"/>
        <w:jc w:val="both"/>
        <w:rPr>
          <w:rFonts w:ascii="Century Schoolbook" w:hAnsi="Century Schoolbook"/>
        </w:rPr>
      </w:pPr>
    </w:p>
    <w:p w14:paraId="05A7B2C4" w14:textId="77777777" w:rsidR="00DE5968" w:rsidRPr="00662E51" w:rsidRDefault="00DE5968" w:rsidP="00F56305">
      <w:pPr>
        <w:pStyle w:val="Heading2"/>
      </w:pPr>
      <w:bookmarkStart w:id="320" w:name="_Toc216096164"/>
      <w:bookmarkStart w:id="321" w:name="_Toc221184346"/>
      <w:bookmarkStart w:id="322" w:name="_Toc231215264"/>
      <w:r w:rsidRPr="00662E51">
        <w:t>The Broadwater Farm Youth Association: A Brief History</w:t>
      </w:r>
      <w:bookmarkEnd w:id="320"/>
      <w:bookmarkEnd w:id="321"/>
      <w:bookmarkEnd w:id="322"/>
      <w:r w:rsidRPr="00662E51">
        <w:t xml:space="preserve">  </w:t>
      </w:r>
    </w:p>
    <w:p w14:paraId="5E600556" w14:textId="50FEF5CF" w:rsidR="00FD5425" w:rsidRDefault="00DE5968" w:rsidP="00F56305">
      <w:pPr>
        <w:pStyle w:val="Paragraph"/>
        <w:spacing w:before="0" w:line="360" w:lineRule="auto"/>
        <w:jc w:val="both"/>
        <w:rPr>
          <w:rFonts w:ascii="Century Schoolbook" w:hAnsi="Century Schoolbook"/>
        </w:rPr>
      </w:pPr>
      <w:r w:rsidRPr="00662E51">
        <w:rPr>
          <w:rFonts w:ascii="Century Schoolbook" w:hAnsi="Century Schoolbook"/>
        </w:rPr>
        <w:t xml:space="preserve">Labour-led Haringey Council built Broadwater Farm estate between 1968 and 1973 at a time of significant change: in addition to new waves of migration and ongoing racist oppression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{"citationID":"3rXAu0xj","properties":{"formattedCitation":"(Elliott-Cooper 2021)","plainCitation":"(Elliott-Cooper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(Elliott-Cooper 2021)</w:t>
      </w:r>
      <w:r w:rsidRPr="00662E51">
        <w:rPr>
          <w:rFonts w:ascii="Century Schoolbook" w:hAnsi="Century Schoolbook"/>
        </w:rPr>
        <w:fldChar w:fldCharType="end"/>
      </w:r>
      <w:r w:rsidRPr="00662E51">
        <w:rPr>
          <w:rFonts w:ascii="Century Schoolbook" w:hAnsi="Century Schoolbook"/>
        </w:rPr>
        <w:t>, the UK government was engaging in national slum clearance programs.</w:t>
      </w:r>
      <w:r w:rsidR="006D3245" w:rsidRPr="00662E51">
        <w:rPr>
          <w:rFonts w:ascii="Century Schoolbook" w:hAnsi="Century Schoolbook"/>
        </w:rPr>
        <w:t xml:space="preserve"> After BF was built, Haringey Council began moving </w:t>
      </w:r>
      <w:r w:rsidRPr="00662E51">
        <w:rPr>
          <w:rFonts w:ascii="Century Schoolbook" w:hAnsi="Century Schoolbook"/>
        </w:rPr>
        <w:t>minoritised ethnic</w:t>
      </w:r>
      <w:r w:rsidR="006D3245" w:rsidRPr="00662E51">
        <w:rPr>
          <w:rFonts w:ascii="Century Schoolbook" w:hAnsi="Century Schoolbook"/>
        </w:rPr>
        <w:t xml:space="preserve"> groups to the estate</w:t>
      </w:r>
      <w:r w:rsidR="00DB2E24" w:rsidRPr="00662E51">
        <w:rPr>
          <w:rFonts w:ascii="Century Schoolbook" w:hAnsi="Century Schoolbook"/>
        </w:rPr>
        <w:t>, with the estate’s w</w:t>
      </w:r>
      <w:r w:rsidRPr="00662E51">
        <w:rPr>
          <w:rFonts w:ascii="Century Schoolbook" w:hAnsi="Century Schoolbook"/>
        </w:rPr>
        <w:t xml:space="preserve">hite residents </w:t>
      </w:r>
      <w:r w:rsidR="00DB2E24" w:rsidRPr="00662E51">
        <w:rPr>
          <w:rFonts w:ascii="Century Schoolbook" w:hAnsi="Century Schoolbook"/>
        </w:rPr>
        <w:t>vocally becoming unhappy at their presence</w:t>
      </w:r>
      <w:r w:rsidR="00C50D55" w:rsidRPr="00662E51">
        <w:rPr>
          <w:rFonts w:ascii="Century Schoolbook" w:hAnsi="Century Schoolbook"/>
        </w:rPr>
        <w:t xml:space="preserve">. </w:t>
      </w:r>
      <w:r w:rsidRPr="00662E51">
        <w:rPr>
          <w:rFonts w:ascii="Century Schoolbook" w:hAnsi="Century Schoolbook"/>
        </w:rPr>
        <w:t xml:space="preserve">BFYA leader Clasford Stirling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{"citationID":"fTUz8doC","properties":{"formattedCitation":"(2022)","plainCitation":"(2022)","noteIndex":0},"citationItems":[{"id":5209,"uris":["http://zotero.org/users/8977980/items/V3IR23E3"],"itemData":{"id":5209,"type":"interview","abstract":"In the third episode of the Lost Blocks Collective podcast, LBC member Elliesse sits down with Clasford Stirling, an incredibly well-known community figure in Broadwater Farm, who has worked with the youth on the estate since the 1980's. Clasford talks us through the history of the estate, highlighting a number of different community figures and detailing the incredible work of the Youth Association, which he helped formed. \n\nIn The Voices of Broadwater Farm podcast the Collective interview a number of Broadwater Farm residents and community figures, providing them with a platform through which to discuss the estate and their experiences growing up there.","title":"The Voices of Broadwater Farm - Clasford Stirling MBE","URL":"https://www.youtube.com/watch?v=kx6PtEipg0M","interviewer":[{"literal":"Lost Block Collective"}],"author":[{"family":"Stirling","given":"Clasford"}],"accessed":{"date-parts":[["2023",9,29]]},"issued":{"date-parts":[["2022",8,18]]}},"label":"page","suppress-author":true}],"schema":"https://github.com/citation-style-language/schema/raw/master/csl-citation.json"}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(2022)</w:t>
      </w:r>
      <w:r w:rsidRPr="00662E51">
        <w:rPr>
          <w:rFonts w:ascii="Century Schoolbook" w:hAnsi="Century Schoolbook"/>
        </w:rPr>
        <w:fldChar w:fldCharType="end"/>
      </w:r>
      <w:r w:rsidRPr="00662E51">
        <w:rPr>
          <w:rFonts w:ascii="Century Schoolbook" w:hAnsi="Century Schoolbook"/>
        </w:rPr>
        <w:t xml:space="preserve"> recalls an atmosphere of </w:t>
      </w:r>
      <w:r w:rsidR="000A3854" w:rsidRPr="00662E51">
        <w:rPr>
          <w:rFonts w:ascii="Century Schoolbook" w:hAnsi="Century Schoolbook"/>
        </w:rPr>
        <w:t>“</w:t>
      </w:r>
      <w:r w:rsidRPr="00662E51">
        <w:rPr>
          <w:rFonts w:ascii="Century Schoolbook" w:hAnsi="Century Schoolbook"/>
        </w:rPr>
        <w:t>racism, police [oppression], and poor services from the council with your flat</w:t>
      </w:r>
      <w:r w:rsidR="000A3854" w:rsidRPr="00662E51">
        <w:rPr>
          <w:rFonts w:ascii="Century Schoolbook" w:hAnsi="Century Schoolbook"/>
        </w:rPr>
        <w:t xml:space="preserve">” </w:t>
      </w:r>
      <w:r w:rsidRPr="00662E51">
        <w:rPr>
          <w:rFonts w:ascii="Century Schoolbook" w:hAnsi="Century Schoolbook"/>
        </w:rPr>
        <w:t xml:space="preserve">as the norm on BF in the 1970s. Indeed, white neighbours of the estate vocalised </w:t>
      </w:r>
      <w:r w:rsidR="00837D1C" w:rsidRPr="00662E51">
        <w:rPr>
          <w:rFonts w:ascii="Century Schoolbook" w:hAnsi="Century Schoolbook"/>
        </w:rPr>
        <w:t>“</w:t>
      </w:r>
      <w:r w:rsidRPr="00662E51">
        <w:rPr>
          <w:rFonts w:ascii="Century Schoolbook" w:hAnsi="Century Schoolbook"/>
        </w:rPr>
        <w:t>displeasure that Black people were being housed</w:t>
      </w:r>
      <w:r w:rsidR="00837D1C" w:rsidRPr="00662E51">
        <w:rPr>
          <w:rFonts w:ascii="Century Schoolbook" w:hAnsi="Century Schoolbook"/>
        </w:rPr>
        <w:t xml:space="preserve">” </w:t>
      </w:r>
      <w:r w:rsidRPr="00662E51">
        <w:rPr>
          <w:rFonts w:ascii="Century Schoolbook" w:hAnsi="Century Schoolbook"/>
        </w:rPr>
        <w:t xml:space="preserve">so close to them on what they called </w:t>
      </w:r>
      <w:r w:rsidR="00837D1C" w:rsidRPr="00662E51">
        <w:rPr>
          <w:rFonts w:ascii="Century Schoolbook" w:hAnsi="Century Schoolbook"/>
        </w:rPr>
        <w:t>“</w:t>
      </w:r>
      <w:r w:rsidRPr="76AC1BCB">
        <w:rPr>
          <w:rFonts w:ascii="Century Schoolbook" w:hAnsi="Century Schoolbook"/>
          <w:i/>
          <w:iCs/>
        </w:rPr>
        <w:t>Black</w:t>
      </w:r>
      <w:r w:rsidRPr="00662E51">
        <w:rPr>
          <w:rFonts w:ascii="Century Schoolbook" w:hAnsi="Century Schoolbook"/>
        </w:rPr>
        <w:t>water Farm,</w:t>
      </w:r>
      <w:r w:rsidR="00837D1C" w:rsidRPr="00662E51">
        <w:rPr>
          <w:rFonts w:ascii="Century Schoolbook" w:hAnsi="Century Schoolbook"/>
        </w:rPr>
        <w:t>”</w:t>
      </w:r>
      <w:r w:rsidRPr="00662E51">
        <w:rPr>
          <w:rFonts w:ascii="Century Schoolbook" w:hAnsi="Century Schoolbook"/>
        </w:rPr>
        <w:t xml:space="preserve"> dating back to at least 1974 (KI.1, </w:t>
      </w:r>
      <w:r w:rsidRPr="00662E51">
        <w:rPr>
          <w:rFonts w:ascii="Century Schoolbook" w:hAnsi="Century Schoolbook"/>
        </w:rPr>
        <w:lastRenderedPageBreak/>
        <w:t xml:space="preserve">interview, 15 Nov. 2023), even though the Gifford report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{"citationID":"ktFJad0P","properties":{"formattedCitation":"(1986, 23)","plainCitation":"(1986, 23)","noteIndex":0},"citationItems":[{"id":5214,"uris":["http://zotero.org/users/8977980/items/QT5S27DM"],"itemData":{"id":5214,"type":"book","edition":"First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ocator":"23","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(1986, 23)</w:t>
      </w:r>
      <w:r w:rsidRPr="00662E51">
        <w:rPr>
          <w:rFonts w:ascii="Century Schoolbook" w:hAnsi="Century Schoolbook"/>
        </w:rPr>
        <w:fldChar w:fldCharType="end"/>
      </w:r>
      <w:r w:rsidRPr="00662E51">
        <w:rPr>
          <w:rFonts w:ascii="Century Schoolbook" w:hAnsi="Century Schoolbook"/>
        </w:rPr>
        <w:t xml:space="preserve"> found that only 42% of residents were Afro-Caribbean or had said ancestry.</w:t>
      </w:r>
      <w:r w:rsidRPr="00BD17AF">
        <w:rPr>
          <w:rStyle w:val="FootnoteReference"/>
        </w:rPr>
        <w:footnoteReference w:id="48"/>
      </w:r>
      <w:r w:rsidRPr="00662E51">
        <w:rPr>
          <w:rFonts w:ascii="Century Schoolbook" w:hAnsi="Century Schoolbook"/>
        </w:rPr>
        <w:t xml:space="preserve"> Moreover, the estate’s Tenants’ Association was dominated by racist white residents, some of whom were members of the fascist National Front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{"citationID":"sABaXp9d","properties":{"formattedCitation":"(Levidow 1987)","plainCitation":"(Levidow 1987)","noteIndex":0},"citationItems":[{"id":5216,"uris":["http://zotero.org/users/8977980/items/D64KFDTJ"],"itemData":{"id":5216,"type":"article-journal","container-title":"Race &amp; Class","DOI":"10.1177/030639688702900106","ISSN":"0306-3968","issue":"1","language":"en","page":"77-85","publisher":"SAGE Publications Ltd","source":"SAGE Journals","title":"Broadwater Farm: a 'criminal estate'? An interview with Dolly Kiffin","title-short":"Broadwater Farm","volume":"29","author":[{"family":"Levidow","given":"Les"}],"issued":{"date-parts":[["1987",7,1]]}}}],"schema":"https://github.com/citation-style-language/schema/raw/master/csl-citation.json"}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(Levidow 1987)</w:t>
      </w:r>
      <w:r w:rsidRPr="00662E51">
        <w:rPr>
          <w:rFonts w:ascii="Century Schoolbook" w:hAnsi="Century Schoolbook"/>
        </w:rPr>
        <w:fldChar w:fldCharType="end"/>
      </w:r>
      <w:r w:rsidRPr="00662E51">
        <w:rPr>
          <w:rFonts w:ascii="Century Schoolbook" w:hAnsi="Century Schoolbook"/>
        </w:rPr>
        <w:t xml:space="preserve">. Black tenants were likewise not permitted to </w:t>
      </w:r>
      <w:r w:rsidR="0084004E" w:rsidRPr="00662E51">
        <w:rPr>
          <w:rFonts w:ascii="Century Schoolbook" w:hAnsi="Century Schoolbook"/>
        </w:rPr>
        <w:t>“</w:t>
      </w:r>
      <w:r w:rsidRPr="00662E51">
        <w:rPr>
          <w:rFonts w:ascii="Century Schoolbook" w:hAnsi="Century Schoolbook"/>
        </w:rPr>
        <w:t>go to the social club</w:t>
      </w:r>
      <w:r w:rsidR="0084004E" w:rsidRPr="00662E51">
        <w:rPr>
          <w:rFonts w:ascii="Century Schoolbook" w:hAnsi="Century Schoolbook"/>
        </w:rPr>
        <w:t xml:space="preserve">” </w:t>
      </w:r>
      <w:r w:rsidRPr="00662E51">
        <w:rPr>
          <w:rFonts w:ascii="Century Schoolbook" w:hAnsi="Century Schoolbook"/>
        </w:rPr>
        <w:t xml:space="preserve">on the estate (KI.3, interview, 27 Nov. 2023). Furthermore, the estate lacked necessary services: there were few shops on the estate and no transport. As an illustrative example of the estate’s poor reputation, KI.1 (interview, 15 Nov. 2023) recounted that a café owner was invited to open a shop on the estate but declined due to a racist fear of the estate. Jefferson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{"citationID":"ZTVjEZ4s","properties":{"formattedCitation":"(2012)","plainCitation":"(2012)","noteIndex":0},"citationItems":[{"id":5828,"uris":["http://zotero.org/users/8977980/items/7A3KPT7E"],"itemData":{"id":5828,"type":"article-journal","container-title":"Criminal Justice Matters","DOI":"10.1080/09627251.2012.670995","ISSN":"0962-7251","issue":"1","note":"_eprint: https://doi.org/10.1080/09627251.2012.670995","page":"8-9","publisher":"Routledge","source":"Taylor and Francis+NEJM","title":"Policing the riots: from Bristol and Brixton to Tottenham, via Toxteth, Handsworth, etc: Tony Jefferson tells the angry, ongoing story of rioting over the past 30 years","title-short":"Policing the riots","volume":"87","author":[{"family":"Jefferson","given":"Tony"}],"issued":{"date-parts":[["2012",3,1]]}},"label":"page","suppress-author":true}],"schema":"https://github.com/citation-style-language/schema/raw/master/csl-citation.json"}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(2012)</w:t>
      </w:r>
      <w:r w:rsidRPr="00662E51">
        <w:rPr>
          <w:rFonts w:ascii="Century Schoolbook" w:hAnsi="Century Schoolbook"/>
        </w:rPr>
        <w:fldChar w:fldCharType="end"/>
      </w:r>
      <w:r w:rsidRPr="00662E51">
        <w:rPr>
          <w:rFonts w:ascii="Century Schoolbook" w:hAnsi="Century Schoolbook"/>
        </w:rPr>
        <w:t xml:space="preserve"> notes Broadwater Farm estate was classified as a ‘symbolic location’ and therefore targeted by the police, who had adopted a law-and-order attitude. Such disrepute</w:t>
      </w:r>
      <w:r w:rsidR="00C12759" w:rsidRPr="00662E51">
        <w:rPr>
          <w:rFonts w:ascii="Century Schoolbook" w:hAnsi="Century Schoolbook"/>
        </w:rPr>
        <w:t xml:space="preserve"> reflects the territorial stigma that has become associated with council housing estates across the United Kingdom </w:t>
      </w:r>
      <w:r w:rsidR="00875AEE" w:rsidRPr="00662E51">
        <w:rPr>
          <w:rFonts w:ascii="Century Schoolbook" w:hAnsi="Century Schoolbook"/>
        </w:rPr>
        <w:fldChar w:fldCharType="begin"/>
      </w:r>
      <w:r w:rsidR="001B2CAA">
        <w:rPr>
          <w:rFonts w:ascii="Century Schoolbook" w:hAnsi="Century Schoolbook"/>
        </w:rPr>
        <w:instrText xml:space="preserve"> ADDIN ZOTERO_ITEM CSL_CITATION {"citationID":"FVamQB19","properties":{"formattedCitation":"(Slater 2018b; Wacquant et al. 2014)","plainCitation":"(Slater 2018b; Wacquant et al. 2014)","noteIndex":0},"citationItems":[{"id":"n0Saldgp/lTrFgxr9","uris":["http://zotero.org/users/8977980/items/G54SJBAX"],"itemData":{"id":"x5AkqsWl/bZKzqmQg","type":"article-journal","abstract":"This article explores the history and traces the realisation of a category that was invented by journalists, amplified by free market think tanks and converted into policy doxa (common sense) by politicians in the United Kingdom: the ‘sink estate’. This derogatory designator, signifying social housing estates that supposedly create poverty, family breakdown, worklessness, welfare dependency, antisocial behaviour and personal irresponsibility, has become the symbolic frame justifying current policies towards social housing that have resulted in considerable social suffering and intensified dislocation. The article deploys a conceptual articulation of agnotology (the intentional production of ignorance) with Bourdieu’s theory of symbolic power to understand the institutional arrangements and cognitive systems structuring deeply unequal social relations. Specifically, the highly influential publications on housing by a free market think tank, Policy Exchange, are dissected in order to demonstrate how the activation of territorial stigma has become an instrument of urban politics. The ‘sink estate’, it is argued, is the semantic battering ram in the ideological assault on social housing, deflecting attention away from social housing not only as urgent necessity during a serious crisis of affordability, but as incubator of community, solidarity, shelter and home.","container-title":"The Sociological Review","DOI":"10.1177/0038026118777451","ISSN":"0038-0261","issue":"4","journalAbbreviation":"The Sociological Review","language":"en","note":"publisher: SAGE Publications Ltd","page":"877-897","source":"SAGE Journals","title":"The invention of the ‘sink estate’: Consequential categorisation and the UK housing crisis","title-short":"The invention of the ‘sink estate’","volume":"66","author":[{"family":"Slater","given":"Tom"}],"issued":{"date-parts":[["2018",7,1]]}}},{"id":4557,"uris":["http://zotero.org/users/8977980/items/QNSJUP9M"],"itemData":{"id":4557,"type":"article-journal","abstract":"This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Borges"}],"issued":{"date-parts":[["2014",6,1]]}}}],"schema":"https://github.com/citation-style-language/schema/raw/master/csl-citation.json"} </w:instrText>
      </w:r>
      <w:r w:rsidR="00875AEE" w:rsidRPr="00662E51">
        <w:rPr>
          <w:rFonts w:ascii="Century Schoolbook" w:hAnsi="Century Schoolbook"/>
        </w:rPr>
        <w:fldChar w:fldCharType="separate"/>
      </w:r>
      <w:r w:rsidR="00CE1789" w:rsidRPr="00662E51">
        <w:rPr>
          <w:rFonts w:ascii="Century Schoolbook" w:hAnsi="Century Schoolbook"/>
        </w:rPr>
        <w:t>(Slater 2018b; Wacquant et al. 2014)</w:t>
      </w:r>
      <w:r w:rsidR="00875AEE" w:rsidRPr="00662E51">
        <w:rPr>
          <w:rFonts w:ascii="Century Schoolbook" w:hAnsi="Century Schoolbook"/>
        </w:rPr>
        <w:fldChar w:fldCharType="end"/>
      </w:r>
      <w:r w:rsidRPr="00662E51">
        <w:rPr>
          <w:rFonts w:ascii="Century Schoolbook" w:hAnsi="Century Schoolbook"/>
        </w:rPr>
        <w:t xml:space="preserve">. Due to a rising fear about mugging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{"citationID":"dEukqM9f","properties":{"formattedCitation":"(reflecting the moral panic of the day; S. Hall et al. [1978] 2019)","plainCitation":"(reflecting the moral panic of the day; S. Hall et al. [1978] 2019)","noteIndex":0},"citationItems":[{"id":5777,"uris":["http://zotero.org/users/8977980/items/3K89WG2H"],"itemData":{"id":5777,"type":"book","edition":"2nd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label":"page","prefix":"reflecting the moral panic of the day;"}],"schema":"https://github.com/citation-style-language/schema/raw/master/csl-citation.json"}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(reflecting the moral panic of the day; S. Hall et al. [1978] 2019)</w:t>
      </w:r>
      <w:r w:rsidRPr="00662E51">
        <w:rPr>
          <w:rFonts w:ascii="Century Schoolbook" w:hAnsi="Century Schoolbook"/>
        </w:rPr>
        <w:fldChar w:fldCharType="end"/>
      </w:r>
      <w:r w:rsidRPr="00662E51">
        <w:rPr>
          <w:rFonts w:ascii="Century Schoolbook" w:hAnsi="Century Schoolbook"/>
        </w:rPr>
        <w:t xml:space="preserve"> on the estate, the white-led Tenants’ Association invited police to establish a permanent presence in 1981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{"citationID":"aXUmIJdJ","properties":{"formattedCitation":"(Levidow 1987)","plainCitation":"(Levidow 1987)","noteIndex":0},"citationItems":[{"id":5216,"uris":["http://zotero.org/users/8977980/items/D64KFDTJ"],"itemData":{"id":5216,"type":"article-journal","container-title":"Race &amp; Class","DOI":"10.1177/030639688702900106","ISSN":"0306-3968","issue":"1","language":"en","page":"77-85","publisher":"SAGE Publications Ltd","source":"SAGE Journals","title":"Broadwater Farm: a 'criminal estate'? An interview with Dolly Kiffin","title-short":"Broadwater Farm","volume":"29","author":[{"family":"Levidow","given":"Les"}],"issued":{"date-parts":[["1987",7,1]]}}}],"schema":"https://github.com/citation-style-language/schema/raw/master/csl-citation.json"}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(Levidow 1987)</w:t>
      </w:r>
      <w:r w:rsidRPr="00662E51">
        <w:rPr>
          <w:rFonts w:ascii="Century Schoolbook" w:hAnsi="Century Schoolbook"/>
        </w:rPr>
        <w:fldChar w:fldCharType="end"/>
      </w:r>
      <w:r w:rsidRPr="00662E51">
        <w:rPr>
          <w:rFonts w:ascii="Century Schoolbook" w:hAnsi="Century Schoolbook"/>
        </w:rPr>
        <w:t xml:space="preserve">. </w:t>
      </w:r>
      <w:r w:rsidR="00E81DE4">
        <w:rPr>
          <w:rFonts w:ascii="Century Schoolbook" w:hAnsi="Century Schoolbook"/>
        </w:rPr>
        <w:t xml:space="preserve">This was all part of the stigmatisation of the estate. </w:t>
      </w:r>
      <w:r w:rsidR="00B564B5">
        <w:rPr>
          <w:rFonts w:ascii="Century Schoolbook" w:hAnsi="Century Schoolbook"/>
        </w:rPr>
        <w:t>KI.3 remarked</w:t>
      </w:r>
      <w:r w:rsidR="002D4B1C" w:rsidRPr="002D4B1C">
        <w:rPr>
          <w:rFonts w:ascii="Century Schoolbook" w:hAnsi="Century Schoolbook"/>
        </w:rPr>
        <w:t xml:space="preserve"> that he “</w:t>
      </w:r>
      <w:r w:rsidR="002D4B1C">
        <w:rPr>
          <w:rFonts w:ascii="Century Schoolbook" w:hAnsi="Century Schoolbook"/>
        </w:rPr>
        <w:t>couldn</w:t>
      </w:r>
      <w:r w:rsidR="002D4B1C" w:rsidRPr="002D4B1C">
        <w:rPr>
          <w:rFonts w:ascii="Century Schoolbook" w:hAnsi="Century Schoolbook"/>
        </w:rPr>
        <w:t>’</w:t>
      </w:r>
      <w:r w:rsidR="002D4B1C">
        <w:rPr>
          <w:rFonts w:ascii="Century Schoolbook" w:hAnsi="Century Schoolbook"/>
        </w:rPr>
        <w:t>t give</w:t>
      </w:r>
      <w:r w:rsidR="002D4B1C" w:rsidRPr="002D4B1C">
        <w:rPr>
          <w:rFonts w:ascii="Century Schoolbook" w:hAnsi="Century Schoolbook"/>
        </w:rPr>
        <w:t xml:space="preserve"> p</w:t>
      </w:r>
      <w:r w:rsidR="002D4B1C">
        <w:rPr>
          <w:rFonts w:ascii="Century Schoolbook" w:hAnsi="Century Schoolbook"/>
        </w:rPr>
        <w:t xml:space="preserve">roof of a Broadwater Farm </w:t>
      </w:r>
      <w:r w:rsidR="002D4B1C" w:rsidRPr="002D4B1C">
        <w:rPr>
          <w:rFonts w:ascii="Century Schoolbook" w:hAnsi="Century Schoolbook"/>
        </w:rPr>
        <w:t>a</w:t>
      </w:r>
      <w:r w:rsidR="002D4B1C">
        <w:rPr>
          <w:rFonts w:ascii="Century Schoolbook" w:hAnsi="Century Schoolbook"/>
        </w:rPr>
        <w:t xml:space="preserve">ddress” for banking. </w:t>
      </w:r>
      <w:r w:rsidR="00A57F1F" w:rsidRPr="002D4B1C">
        <w:rPr>
          <w:rFonts w:ascii="Century Schoolbook" w:hAnsi="Century Schoolbook"/>
        </w:rPr>
        <w:t>He continued, “</w:t>
      </w:r>
      <w:r w:rsidR="002D4B1C">
        <w:rPr>
          <w:rFonts w:ascii="Century Schoolbook" w:hAnsi="Century Schoolbook"/>
        </w:rPr>
        <w:t xml:space="preserve">I had to use my dad's address and other people's address </w:t>
      </w:r>
      <w:r w:rsidR="00A57F1F" w:rsidRPr="002D4B1C">
        <w:rPr>
          <w:rFonts w:ascii="Century Schoolbook" w:hAnsi="Century Schoolbook"/>
        </w:rPr>
        <w:t>‘</w:t>
      </w:r>
      <w:r w:rsidR="002D4B1C">
        <w:rPr>
          <w:rFonts w:ascii="Century Schoolbook" w:hAnsi="Century Schoolbook"/>
        </w:rPr>
        <w:t>cause they just didn't trust people over here.</w:t>
      </w:r>
      <w:r w:rsidR="00A57F1F">
        <w:rPr>
          <w:rFonts w:ascii="Century Schoolbook" w:hAnsi="Century Schoolbook"/>
        </w:rPr>
        <w:t xml:space="preserve">” </w:t>
      </w:r>
      <w:r w:rsidR="0095655C">
        <w:rPr>
          <w:rFonts w:ascii="Century Schoolbook" w:hAnsi="Century Schoolbook"/>
        </w:rPr>
        <w:t>The Gifford report</w:t>
      </w:r>
      <w:r w:rsidR="00E3175C">
        <w:rPr>
          <w:rFonts w:ascii="Century Schoolbook" w:hAnsi="Century Schoolbook"/>
        </w:rPr>
        <w:fldChar w:fldCharType="begin"/>
      </w:r>
      <w:r w:rsidR="00E3175C">
        <w:rPr>
          <w:rFonts w:ascii="Century Schoolbook" w:hAnsi="Century Schoolbook"/>
        </w:rPr>
        <w:instrText xml:space="preserve"> ADDIN ZOTERO_ITEM CSL_CITATION {"citationID":"LzcKcAyy","properties":{"formattedCitation":"(1986, 13\\uc0\\u8211{}17)","plainCitation":"(1986, 13–17)","noteIndex":0},"citationItems":[{"id":5214,"uris":["http://zotero.org/users/8977980/items/QT5S27DM"],"itemData":{"id":5214,"type":"book","edition":"First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ocator":"13-7","label":"page","suppress-author":true}],"schema":"https://github.com/citation-style-language/schema/raw/master/csl-citation.json"} </w:instrText>
      </w:r>
      <w:r w:rsidR="00E3175C">
        <w:rPr>
          <w:rFonts w:ascii="Century Schoolbook" w:hAnsi="Century Schoolbook"/>
        </w:rPr>
        <w:fldChar w:fldCharType="separate"/>
      </w:r>
      <w:r w:rsidR="00E3175C" w:rsidRPr="76AC1BCB">
        <w:t>￼</w:t>
      </w:r>
      <w:r w:rsidR="00E3175C">
        <w:rPr>
          <w:rFonts w:ascii="Century Schoolbook" w:hAnsi="Century Schoolbook"/>
        </w:rPr>
        <w:fldChar w:fldCharType="end"/>
      </w:r>
      <w:r w:rsidR="00045427" w:rsidRPr="76AC1BCB">
        <w:t>￼</w:t>
      </w:r>
      <w:r w:rsidR="00045427">
        <w:rPr>
          <w:rFonts w:ascii="Century Schoolbook" w:hAnsi="Century Schoolbook"/>
        </w:rPr>
        <w:t xml:space="preserve"> confirmed the stigmatisation, noting that </w:t>
      </w:r>
      <w:r w:rsidR="000E2B14">
        <w:rPr>
          <w:rFonts w:ascii="Century Schoolbook" w:hAnsi="Century Schoolbook"/>
        </w:rPr>
        <w:t>“residents in the nearby terraced streets… disliked the reality [of the estate]</w:t>
      </w:r>
      <w:r w:rsidR="007933C8">
        <w:rPr>
          <w:rFonts w:ascii="Century Schoolbook" w:hAnsi="Century Schoolbook"/>
        </w:rPr>
        <w:t xml:space="preserve">” and that “a negative and condemnatory view has also been expressed… [which] </w:t>
      </w:r>
      <w:r w:rsidR="00E3175C">
        <w:rPr>
          <w:rFonts w:ascii="Century Schoolbook" w:hAnsi="Century Schoolbook"/>
        </w:rPr>
        <w:t>has come from sections of the press.”</w:t>
      </w:r>
      <w:r w:rsidR="00860B85">
        <w:rPr>
          <w:rFonts w:ascii="Century Schoolbook" w:hAnsi="Century Schoolbook"/>
        </w:rPr>
        <w:t xml:space="preserve"> The report goes on to </w:t>
      </w:r>
      <w:r w:rsidR="0037147D" w:rsidRPr="76AC1BCB">
        <w:rPr>
          <w:rFonts w:ascii="Century Schoolbook" w:hAnsi="Century Schoolbook"/>
        </w:rPr>
        <w:t xml:space="preserve">list a variety of stigmatising and negative portrayals of the state in the press, which it argues constituted an </w:t>
      </w:r>
    </w:p>
    <w:p w14:paraId="2B4C83AA" w14:textId="30DE397B" w:rsidR="003F3F11" w:rsidRPr="003F3F11" w:rsidRDefault="00FD5425" w:rsidP="003F3F11">
      <w:pPr>
        <w:pStyle w:val="Paragraph"/>
        <w:spacing w:before="0" w:line="360" w:lineRule="auto"/>
        <w:ind w:left="720"/>
        <w:jc w:val="both"/>
        <w:rPr>
          <w:rFonts w:ascii="Century Schoolbook" w:hAnsi="Century Schoolbook"/>
        </w:rPr>
      </w:pPr>
      <w:r w:rsidRPr="76AC1BCB">
        <w:rPr>
          <w:rFonts w:ascii="Century Schoolbook" w:hAnsi="Century Schoolbook"/>
        </w:rPr>
        <w:t>…</w:t>
      </w:r>
      <w:r w:rsidR="00C802F7" w:rsidRPr="76AC1BCB">
        <w:rPr>
          <w:rFonts w:ascii="Century Schoolbook" w:hAnsi="Century Schoolbook"/>
        </w:rPr>
        <w:t>unjust labelling from outside, from the press and neighbouring residents. The labelling became attached not just to the buildings</w:t>
      </w:r>
      <w:r w:rsidRPr="76AC1BCB">
        <w:rPr>
          <w:rFonts w:ascii="Century Schoolbook" w:hAnsi="Century Schoolbook"/>
        </w:rPr>
        <w:t xml:space="preserve"> </w:t>
      </w:r>
      <w:r w:rsidR="009E79AF" w:rsidRPr="76AC1BCB">
        <w:rPr>
          <w:rFonts w:ascii="Century Schoolbook" w:hAnsi="Century Schoolbook"/>
        </w:rPr>
        <w:t>but also to the people, as if they too were undesirable.</w:t>
      </w:r>
      <w:r w:rsidRPr="76AC1BCB">
        <w:rPr>
          <w:rFonts w:ascii="Century Schoolbook" w:hAnsi="Century Schoolbook"/>
        </w:rPr>
        <w:t xml:space="preserve"> </w:t>
      </w:r>
      <w:r w:rsidR="002B7396" w:rsidRPr="76AC1BCB">
        <w:rPr>
          <w:rFonts w:ascii="Century Schoolbook" w:hAnsi="Century Schoolbook"/>
        </w:rPr>
        <w:t xml:space="preserve">Residents on the estate had severe problems with hire purchase or TV hire facilities, or obtaining goods from catalogues… </w:t>
      </w:r>
      <w:r w:rsidR="001D715A" w:rsidRPr="76AC1BCB">
        <w:rPr>
          <w:rFonts w:ascii="Century Schoolbook" w:hAnsi="Century Schoolbook"/>
        </w:rPr>
        <w:t>There was even a kind of social ostracism</w:t>
      </w:r>
      <w:r w:rsidR="002B7396" w:rsidRPr="76AC1BCB">
        <w:rPr>
          <w:rFonts w:ascii="Century Schoolbook" w:hAnsi="Century Schoolbook"/>
        </w:rPr>
        <w:t xml:space="preserve">… </w:t>
      </w:r>
      <w:r w:rsidRPr="76AC1BCB">
        <w:rPr>
          <w:rFonts w:ascii="Century Schoolbook" w:hAnsi="Century Schoolbook"/>
        </w:rPr>
        <w:fldChar w:fldCharType="begin"/>
      </w:r>
      <w:r w:rsidRPr="76AC1BCB">
        <w:rPr>
          <w:rFonts w:ascii="Century Schoolbook" w:hAnsi="Century Schoolbook"/>
        </w:rPr>
        <w:instrText xml:space="preserve"> ADDIN ZOTERO_ITEM CSL_CITATION {"citationID":"UAokrz00","properties":{"formattedCitation":"(Gifford 1986, 20)","plainCitation":"(Gifford 1986, 20)","noteIndex":0},"citationItems":[{"id":5214,"uris":["http://zotero.org/users/8977980/items/QT5S27DM"],"itemData":{"id":5214,"type":"book","edition":"First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Tottenham","URL":"https://berniegrantarchive.org.uk/bg-303-623-bro/","author":[{"family":"Gifford","given":"Lord"}],"issued":{"date-parts":[["1986",1,1]]}},"locator":"20","label":"page"}],"schema":"https://github.com/citation-style-language/schema/raw/master/csl-citation.json"} </w:instrText>
      </w:r>
      <w:r w:rsidRPr="76AC1BCB">
        <w:rPr>
          <w:rFonts w:ascii="Century Schoolbook" w:hAnsi="Century Schoolbook"/>
        </w:rPr>
        <w:fldChar w:fldCharType="separate"/>
      </w:r>
      <w:r w:rsidR="009C2029" w:rsidRPr="76AC1BCB">
        <w:rPr>
          <w:rFonts w:ascii="Century Schoolbook" w:hAnsi="Century Schoolbook"/>
        </w:rPr>
        <w:t>(Gifford 1986, 20)</w:t>
      </w:r>
      <w:r w:rsidRPr="76AC1BCB">
        <w:rPr>
          <w:rFonts w:ascii="Century Schoolbook" w:hAnsi="Century Schoolbook"/>
        </w:rPr>
        <w:fldChar w:fldCharType="end"/>
      </w:r>
      <w:r w:rsidR="003F3F11" w:rsidRPr="76AC1BCB">
        <w:rPr>
          <w:rFonts w:ascii="Century Schoolbook" w:hAnsi="Century Schoolbook"/>
        </w:rPr>
        <w:t>.</w:t>
      </w:r>
    </w:p>
    <w:p w14:paraId="0D81BC88" w14:textId="7D96C543" w:rsidR="00DE5968" w:rsidRPr="00662E51" w:rsidRDefault="003F3F11" w:rsidP="00F56305">
      <w:pPr>
        <w:pStyle w:val="Paragraph"/>
        <w:spacing w:before="0" w:line="360" w:lineRule="auto"/>
        <w:jc w:val="both"/>
        <w:rPr>
          <w:rFonts w:ascii="Century Schoolbook" w:hAnsi="Century Schoolbook"/>
        </w:rPr>
      </w:pPr>
      <w:r>
        <w:rPr>
          <w:rFonts w:ascii="Century Schoolbook" w:hAnsi="Century Schoolbook"/>
        </w:rPr>
        <w:t>It is in this milieu, and seriously a</w:t>
      </w:r>
      <w:r w:rsidR="00DE5968" w:rsidRPr="00662E51">
        <w:rPr>
          <w:rFonts w:ascii="Century Schoolbook" w:hAnsi="Century Schoolbook"/>
        </w:rPr>
        <w:t xml:space="preserve">fraid of </w:t>
      </w:r>
      <w:r w:rsidR="0084004E" w:rsidRPr="00662E51">
        <w:rPr>
          <w:rFonts w:ascii="Century Schoolbook" w:hAnsi="Century Schoolbook"/>
        </w:rPr>
        <w:t>“</w:t>
      </w:r>
      <w:r w:rsidR="00DE5968" w:rsidRPr="00662E51">
        <w:rPr>
          <w:rFonts w:ascii="Century Schoolbook" w:hAnsi="Century Schoolbook"/>
        </w:rPr>
        <w:t>heightened aggression</w:t>
      </w:r>
      <w:r w:rsidR="0084004E" w:rsidRPr="00662E51">
        <w:rPr>
          <w:rFonts w:ascii="Century Schoolbook" w:hAnsi="Century Schoolbook"/>
        </w:rPr>
        <w:t xml:space="preserve">” </w:t>
      </w:r>
      <w:r w:rsidR="00DE5968" w:rsidRPr="00662E51">
        <w:rPr>
          <w:rFonts w:ascii="Century Schoolbook" w:hAnsi="Century Schoolbook"/>
        </w:rPr>
        <w:t xml:space="preserve">from the police, </w:t>
      </w:r>
      <w:r w:rsidR="00DE5968" w:rsidRPr="00662E51">
        <w:rPr>
          <w:rFonts w:ascii="Century Schoolbook" w:hAnsi="Century Schoolbook"/>
        </w:rPr>
        <w:lastRenderedPageBreak/>
        <w:t xml:space="preserve">concerned residents like Mrs Dolly Kiffin (who would end up being BFYA’s main leader) set up the Broadwater Farm Youth Association with the goal of providing community facilities for the young people on the estate in the absence of Council-run youth services </w:t>
      </w:r>
      <w:r w:rsidR="00DE5968"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{"citationID":"O5cazxI5","properties":{"formattedCitation":"(Williams 1994, 17)","plainCitation":"(Williams 1994, 17)","noteIndex":0},"citationItems":[{"id":5315,"uris":["http://zotero.org/users/8977980/items/Q3WDKSWW"],"itemData":{"id":5315,"type":"book","abstract":"KEEPER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DREAM","author":[{"family":"Williams","given":"Paul"}],"accessed":{"date-parts":[["2023",10,12]]},"issued":{"date-parts":[["1994"]]}},"locator":"17"}],"schema":"https://github.com/citation-style-language/schema/raw/master/csl-citation.json"} </w:instrText>
      </w:r>
      <w:r w:rsidR="00DE5968" w:rsidRPr="00662E51">
        <w:rPr>
          <w:rFonts w:ascii="Century Schoolbook" w:hAnsi="Century Schoolbook"/>
        </w:rPr>
        <w:fldChar w:fldCharType="separate"/>
      </w:r>
      <w:r w:rsidR="00DE5968" w:rsidRPr="00662E51">
        <w:rPr>
          <w:rFonts w:ascii="Century Schoolbook" w:hAnsi="Century Schoolbook"/>
        </w:rPr>
        <w:t>(Williams 1994, 17)</w:t>
      </w:r>
      <w:r w:rsidR="00DE5968" w:rsidRPr="00662E51">
        <w:rPr>
          <w:rFonts w:ascii="Century Schoolbook" w:hAnsi="Century Schoolbook"/>
        </w:rPr>
        <w:fldChar w:fldCharType="end"/>
      </w:r>
      <w:r w:rsidR="00DE5968" w:rsidRPr="00662E51">
        <w:rPr>
          <w:rFonts w:ascii="Century Schoolbook" w:hAnsi="Century Schoolbook"/>
        </w:rPr>
        <w:t xml:space="preserve">. The founders put it as simply </w:t>
      </w:r>
      <w:r w:rsidR="0084004E" w:rsidRPr="00662E51">
        <w:rPr>
          <w:rFonts w:ascii="Century Schoolbook" w:hAnsi="Century Schoolbook"/>
        </w:rPr>
        <w:t>“</w:t>
      </w:r>
      <w:r w:rsidR="00DE5968" w:rsidRPr="00662E51">
        <w:rPr>
          <w:rFonts w:ascii="Century Schoolbook" w:hAnsi="Century Schoolbook"/>
        </w:rPr>
        <w:t>giving the young people something to do</w:t>
      </w:r>
      <w:r w:rsidR="0084004E" w:rsidRPr="00662E51">
        <w:rPr>
          <w:rFonts w:ascii="Century Schoolbook" w:hAnsi="Century Schoolbook"/>
        </w:rPr>
        <w:t xml:space="preserve">” </w:t>
      </w:r>
      <w:r w:rsidR="00DE5968"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{"citationID":"9h7TEdKX","properties":{"formattedCitation":"(Staff Reporter 1985)","plainCitation":"(Staff Reporter 1985)","noteIndex":0},"citationItems":[{"id":5318,"uris":["http://zotero.org/users/8977980/items/3ZLRIPTX"],"itemData":{"id":5318,"type":"article-newspaper","archive":"The Times Digital Archive","container-title":"The Times","ISSN":"0140-0460","issue":"62263","language":"English","note":"2","page":"2","publisher-place":"London, UK","source":"Gale","title":"The estate that Dolly Kiffin rescued from nightmare","author":[{"literal":"Staff Reporter"}],"issued":{"date-parts":[["1985",10,8]]}}}],"schema":"https://github.com/citation-style-language/schema/raw/master/csl-citation.json"} </w:instrText>
      </w:r>
      <w:r w:rsidR="00DE5968" w:rsidRPr="00662E51">
        <w:rPr>
          <w:rFonts w:ascii="Century Schoolbook" w:hAnsi="Century Schoolbook"/>
        </w:rPr>
        <w:fldChar w:fldCharType="separate"/>
      </w:r>
      <w:r w:rsidR="00DE5968" w:rsidRPr="00662E51">
        <w:rPr>
          <w:rFonts w:ascii="Century Schoolbook" w:hAnsi="Century Schoolbook"/>
        </w:rPr>
        <w:t>(Staff Reporter 1985)</w:t>
      </w:r>
      <w:r w:rsidR="00DE5968" w:rsidRPr="00662E51">
        <w:rPr>
          <w:rFonts w:ascii="Century Schoolbook" w:hAnsi="Century Schoolbook"/>
        </w:rPr>
        <w:fldChar w:fldCharType="end"/>
      </w:r>
      <w:r w:rsidR="00DE5968" w:rsidRPr="00662E51">
        <w:rPr>
          <w:rFonts w:ascii="Century Schoolbook" w:hAnsi="Century Schoolbook"/>
        </w:rPr>
        <w:t>. BFYA also aimed to replace the white-led Tenants’ Association, which it did in the early 1980s.</w:t>
      </w:r>
    </w:p>
    <w:p w14:paraId="452A7124" w14:textId="74BEFBB3" w:rsidR="00DE5968" w:rsidRPr="00662E51" w:rsidRDefault="00DE5968" w:rsidP="00F56305">
      <w:pPr>
        <w:pStyle w:val="Newparagraph"/>
        <w:spacing w:line="360" w:lineRule="auto"/>
        <w:jc w:val="both"/>
        <w:rPr>
          <w:rFonts w:ascii="Century Schoolbook" w:hAnsi="Century Schoolbook"/>
        </w:rPr>
      </w:pPr>
      <w:r w:rsidRPr="00662E51">
        <w:rPr>
          <w:rFonts w:ascii="Century Schoolbook" w:hAnsi="Century Schoolbook"/>
        </w:rPr>
        <w:t xml:space="preserve">BFYA started small and barely funded. With only a handful of organisers, the organisation began with meetings in Kiffin’s flat about </w:t>
      </w:r>
      <w:r w:rsidR="0084004E" w:rsidRPr="00662E51">
        <w:rPr>
          <w:rFonts w:ascii="Century Schoolbook" w:hAnsi="Century Schoolbook"/>
        </w:rPr>
        <w:t>“</w:t>
      </w:r>
      <w:r w:rsidRPr="00662E51">
        <w:rPr>
          <w:rFonts w:ascii="Century Schoolbook" w:hAnsi="Century Schoolbook"/>
        </w:rPr>
        <w:t>how [BF residents] want to live, how we want things to change, and how we’re not getting help from the Council</w:t>
      </w:r>
      <w:r w:rsidR="0084004E" w:rsidRPr="00662E51">
        <w:rPr>
          <w:rFonts w:ascii="Century Schoolbook" w:hAnsi="Century Schoolbook"/>
        </w:rPr>
        <w:t xml:space="preserve">” </w:t>
      </w:r>
      <w:r w:rsidRPr="00662E51">
        <w:rPr>
          <w:rFonts w:ascii="Century Schoolbook" w:hAnsi="Century Schoolbook"/>
        </w:rPr>
        <w:t xml:space="preserve">(KI.3, interview, 27 Nov. 2023). Kiffin (who had migrated to the UK from Jamaica) and other leaders soon realised that one potential way of reducing crime on the estate was to provide cheap food for young people out of their own pockets, based on the belief that youths engaged in crime because they were hungry. This was BFYA’s first activity. The BFYA quickly ran out of space, and they decided to take over a disused shop in the estate’s Tangmere block. KI.3 (Interview, 27 Nov. 2023) recalls filling the space with games and a pool table. Eventually, BFYA was able to convince Council officers for permanent access to the shop. Providing meals to the estate’s young people led to the Association offering food to the estate’s older population, which snowballed into a ‘meals on wheels’ service. As BFYA grew in numbers, so did its remit: they added a nursery in 1982 and a woman’s centre in 1984, and held regular gatherings and outings for tenants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{"citationID":"uAdJt43E","properties":{"formattedCitation":"(Williams 1994)","plainCitation":"(Williams 1994)","noteIndex":0},"citationItems":[{"id":5315,"uris":["http://zotero.org/users/8977980/items/Q3WDKSWW"],"itemData":{"id":5315,"type":"book","abstract":"KEEPER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(Williams 1994)</w:t>
      </w:r>
      <w:r w:rsidRPr="00662E51">
        <w:rPr>
          <w:rFonts w:ascii="Century Schoolbook" w:hAnsi="Century Schoolbook"/>
        </w:rPr>
        <w:fldChar w:fldCharType="end"/>
      </w:r>
      <w:r w:rsidRPr="00662E51">
        <w:rPr>
          <w:rFonts w:ascii="Century Schoolbook" w:hAnsi="Century Schoolbook"/>
        </w:rPr>
        <w:t xml:space="preserve">. After wrangling with Haringey Council, the Association was able to acquire some funds and a new Youth Centre to house activities like classes on sewing, photography, Black history, and computer use, among other programs (KI.4, interview, 27 Nov. 2023). The results on the estate were impressive. Crime significantly declined in the years leading up to the 1985 uprising, with the Gifford Report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{"citationID":"MlC6nBNN","properties":{"formattedCitation":"(1986, 49)","plainCitation":"(1986, 49)","noteIndex":0},"citationItems":[{"id":5214,"uris":["http://zotero.org/users/8977980/items/QT5S27DM"],"itemData":{"id":5214,"type":"book","edition":"First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ocator":"49","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(1986, 49)</w:t>
      </w:r>
      <w:r w:rsidRPr="00662E51">
        <w:rPr>
          <w:rFonts w:ascii="Century Schoolbook" w:hAnsi="Century Schoolbook"/>
        </w:rPr>
        <w:fldChar w:fldCharType="end"/>
      </w:r>
      <w:r w:rsidRPr="00662E51">
        <w:rPr>
          <w:rFonts w:ascii="Century Schoolbook" w:hAnsi="Century Schoolbook"/>
        </w:rPr>
        <w:t xml:space="preserve"> noting that the Youth Association provided </w:t>
      </w:r>
      <w:r w:rsidR="0084004E" w:rsidRPr="00662E51">
        <w:rPr>
          <w:rFonts w:ascii="Century Schoolbook" w:hAnsi="Century Schoolbook"/>
        </w:rPr>
        <w:t>“</w:t>
      </w:r>
      <w:r w:rsidRPr="00662E51">
        <w:rPr>
          <w:rFonts w:ascii="Century Schoolbook" w:hAnsi="Century Schoolbook"/>
        </w:rPr>
        <w:t>activities for unemployed young men and a sense of purpose in the community generally.</w:t>
      </w:r>
      <w:r w:rsidR="0084004E" w:rsidRPr="00662E51">
        <w:rPr>
          <w:rFonts w:ascii="Century Schoolbook" w:hAnsi="Century Schoolbook"/>
        </w:rPr>
        <w:t>”</w:t>
      </w:r>
      <w:r w:rsidRPr="00662E51">
        <w:rPr>
          <w:rFonts w:ascii="Century Schoolbook" w:hAnsi="Century Schoolbook"/>
        </w:rPr>
        <w:t xml:space="preserve"> The report quoted Stafford Scott, another BFYA leader, who said that the Association </w:t>
      </w:r>
      <w:r w:rsidR="00F401A5" w:rsidRPr="00662E51">
        <w:rPr>
          <w:rFonts w:ascii="Century Schoolbook" w:hAnsi="Century Schoolbook"/>
        </w:rPr>
        <w:t>“‘</w:t>
      </w:r>
      <w:r w:rsidRPr="00662E51">
        <w:rPr>
          <w:rFonts w:ascii="Century Schoolbook" w:hAnsi="Century Schoolbook"/>
        </w:rPr>
        <w:t>rekindled community spirit</w:t>
      </w:r>
      <w:r w:rsidR="00F401A5" w:rsidRPr="00662E51">
        <w:rPr>
          <w:rFonts w:ascii="Century Schoolbook" w:hAnsi="Century Schoolbook"/>
        </w:rPr>
        <w:t>’”</w:t>
      </w:r>
      <w:r w:rsidRPr="00662E51">
        <w:rPr>
          <w:rFonts w:ascii="Century Schoolbook" w:hAnsi="Century Schoolbook"/>
        </w:rPr>
        <w:t xml:space="preserve"> across the estate. The success was marked by a visit from Princess Diana in 1985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{"citationID":"4dwIXpqn","properties":{"formattedCitation":"(Gifford 1986)","plainCitation":"(Gifford 1986)","noteIndex":0},"citationItems":[{"id":5214,"uris":["http://zotero.org/users/8977980/items/QT5S27DM"],"itemData":{"id":5214,"type":"book","edition":"First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(Gifford 1986)</w:t>
      </w:r>
      <w:r w:rsidRPr="00662E51">
        <w:rPr>
          <w:rFonts w:ascii="Century Schoolbook" w:hAnsi="Century Schoolbook"/>
        </w:rPr>
        <w:fldChar w:fldCharType="end"/>
      </w:r>
      <w:r w:rsidRPr="00662E51">
        <w:rPr>
          <w:rFonts w:ascii="Century Schoolbook" w:hAnsi="Century Schoolbook"/>
        </w:rPr>
        <w:t>.</w:t>
      </w:r>
    </w:p>
    <w:p w14:paraId="084353B7" w14:textId="0DCD643F" w:rsidR="00DE5968" w:rsidRPr="00662E51" w:rsidRDefault="00DE5968" w:rsidP="00F56305">
      <w:pPr>
        <w:pStyle w:val="Newparagraph"/>
        <w:spacing w:line="360" w:lineRule="auto"/>
        <w:jc w:val="both"/>
        <w:rPr>
          <w:rFonts w:ascii="Century Schoolbook" w:hAnsi="Century Schoolbook"/>
        </w:rPr>
      </w:pPr>
      <w:r w:rsidRPr="76AC1BCB">
        <w:rPr>
          <w:rFonts w:ascii="Century Schoolbook" w:hAnsi="Century Schoolbook"/>
        </w:rPr>
        <w:lastRenderedPageBreak/>
        <w:t xml:space="preserve">The uprising of 1985 brought the estate into public consciousness. </w:t>
      </w:r>
      <w:r w:rsidR="00061E78" w:rsidRPr="76AC1BCB">
        <w:rPr>
          <w:rFonts w:ascii="Century Schoolbook" w:hAnsi="Century Schoolbook"/>
        </w:rPr>
        <w:t>This uprising—one of many in the 1980s—</w:t>
      </w:r>
      <w:r w:rsidRPr="76AC1BCB">
        <w:rPr>
          <w:rFonts w:ascii="Century Schoolbook" w:hAnsi="Century Schoolbook"/>
        </w:rPr>
        <w:t xml:space="preserve">were backlashes to racism, in particular abuse and violence by the police. They were widespread throughout the country—occurring across London and in cities like Birmingham, Liverpool, and Luton </w:t>
      </w:r>
      <w:r w:rsidRPr="76AC1BCB">
        <w:rPr>
          <w:rFonts w:ascii="Century Schoolbook" w:hAnsi="Century Schoolbook"/>
        </w:rPr>
        <w:fldChar w:fldCharType="begin"/>
      </w:r>
      <w:r w:rsidRPr="76AC1BCB">
        <w:rPr>
          <w:rFonts w:ascii="Century Schoolbook" w:hAnsi="Century Schoolbook"/>
        </w:rPr>
        <w:instrText xml:space="preserve"> ADDIN ZOTERO_ITEM CSL_CITATION {"citationID":"hIdVq81b","properties":{"formattedCitation":"(Elliott-Cooper 2021)","plainCitation":"(Elliott-Cooper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schema":"https://github.com/citation-style-language/schema/raw/master/csl-citation.json"} </w:instrText>
      </w:r>
      <w:r w:rsidRPr="76AC1BCB">
        <w:rPr>
          <w:rFonts w:ascii="Century Schoolbook" w:hAnsi="Century Schoolbook"/>
        </w:rPr>
        <w:fldChar w:fldCharType="separate"/>
      </w:r>
      <w:r w:rsidRPr="76AC1BCB">
        <w:rPr>
          <w:rFonts w:ascii="Century Schoolbook" w:hAnsi="Century Schoolbook"/>
        </w:rPr>
        <w:t>(Elliott-Cooper 2021)</w:t>
      </w:r>
      <w:r w:rsidRPr="76AC1BCB">
        <w:rPr>
          <w:rFonts w:ascii="Century Schoolbook" w:hAnsi="Century Schoolbook"/>
        </w:rPr>
        <w:fldChar w:fldCharType="end"/>
      </w:r>
      <w:r w:rsidRPr="76AC1BCB">
        <w:rPr>
          <w:rFonts w:ascii="Century Schoolbook" w:hAnsi="Century Schoolbook"/>
        </w:rPr>
        <w:t xml:space="preserve">. The police reaction to the uprising was severe. Platt </w:t>
      </w:r>
      <w:r w:rsidRPr="76AC1BCB">
        <w:rPr>
          <w:rFonts w:ascii="Century Schoolbook" w:hAnsi="Century Schoolbook"/>
        </w:rPr>
        <w:fldChar w:fldCharType="begin"/>
      </w:r>
      <w:r w:rsidRPr="76AC1BCB">
        <w:rPr>
          <w:rFonts w:ascii="Century Schoolbook" w:hAnsi="Century Schoolbook"/>
        </w:rPr>
        <w:instrText xml:space="preserve"> ADDIN ZOTERO_ITEM CSL_CITATION {"citationID":"XZwMRqVP","properties":{"formattedCitation":"(1986)","plainCitation":"(1986)","noteIndex":0},"citationItems":[{"id":5374,"uris":["http://zotero.org/users/8977980/items/XDGD9REE"],"itemData":{"id":5374,"type":"article-magazine","archive":"Haringey Borough Archives","archive_location":"925.3 BRO","container-title":"New Socialist","issue":"37","page":"6-8","title":"Return to Broadwater Farm","author":[{"family":"Platt","given":"Steve"}],"issued":{"date-parts":[["1986",4]]}},"label":"page","suppress-author":true}],"schema":"https://github.com/citation-style-language/schema/raw/master/csl-citation.json"} </w:instrText>
      </w:r>
      <w:r w:rsidRPr="76AC1BCB">
        <w:rPr>
          <w:rFonts w:ascii="Century Schoolbook" w:hAnsi="Century Schoolbook"/>
        </w:rPr>
        <w:fldChar w:fldCharType="separate"/>
      </w:r>
      <w:r w:rsidRPr="76AC1BCB">
        <w:rPr>
          <w:rFonts w:ascii="Century Schoolbook" w:hAnsi="Century Schoolbook"/>
        </w:rPr>
        <w:t>(1986)</w:t>
      </w:r>
      <w:r w:rsidRPr="76AC1BCB">
        <w:rPr>
          <w:rFonts w:ascii="Century Schoolbook" w:hAnsi="Century Schoolbook"/>
        </w:rPr>
        <w:fldChar w:fldCharType="end"/>
      </w:r>
      <w:r w:rsidRPr="76AC1BCB">
        <w:rPr>
          <w:rFonts w:ascii="Century Schoolbook" w:hAnsi="Century Schoolbook"/>
        </w:rPr>
        <w:t xml:space="preserve"> reports a practice of widespread detention of Black residents, with inhabitants likening the reaction to a military occupation. Elliott-Cooper </w:t>
      </w:r>
      <w:r w:rsidRPr="76AC1BCB">
        <w:rPr>
          <w:rFonts w:ascii="Century Schoolbook" w:hAnsi="Century Schoolbook"/>
        </w:rPr>
        <w:fldChar w:fldCharType="begin"/>
      </w:r>
      <w:r w:rsidRPr="76AC1BCB">
        <w:rPr>
          <w:rFonts w:ascii="Century Schoolbook" w:hAnsi="Century Schoolbook"/>
        </w:rPr>
        <w:instrText xml:space="preserve"> ADDIN ZOTERO_ITEM CSL_CITATION {"citationID":"qvoU04WK","properties":{"formattedCitation":"(2021, 45)","plainCitation":"(2021, 45)","noteIndex":0},"citationItems":[{"id":5679,"uris":["http://zotero.org/users/8977980/items/VM8DZIZ5"],"itemData":{"id":5679,"type":"book","DOI":"10.7765/9781526143945","ISBN":"978-1-5261-4394-5","publisher":"Manchester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locator":"45","label":"page","suppress-author":true}],"schema":"https://github.com/citation-style-language/schema/raw/master/csl-citation.json"} </w:instrText>
      </w:r>
      <w:r w:rsidRPr="76AC1BCB">
        <w:rPr>
          <w:rFonts w:ascii="Century Schoolbook" w:hAnsi="Century Schoolbook"/>
        </w:rPr>
        <w:fldChar w:fldCharType="separate"/>
      </w:r>
      <w:r w:rsidRPr="76AC1BCB">
        <w:rPr>
          <w:rFonts w:ascii="Century Schoolbook" w:hAnsi="Century Schoolbook"/>
        </w:rPr>
        <w:t>(2021, 45)</w:t>
      </w:r>
      <w:r w:rsidRPr="76AC1BCB">
        <w:rPr>
          <w:rFonts w:ascii="Century Schoolbook" w:hAnsi="Century Schoolbook"/>
        </w:rPr>
        <w:fldChar w:fldCharType="end"/>
      </w:r>
      <w:r w:rsidRPr="76AC1BCB">
        <w:rPr>
          <w:rFonts w:ascii="Century Schoolbook" w:hAnsi="Century Schoolbook"/>
        </w:rPr>
        <w:t xml:space="preserve"> writes that the occupation lasted several months and involved hundreds of officers, concluding that it amounted to </w:t>
      </w:r>
      <w:r w:rsidR="002A153B" w:rsidRPr="76AC1BCB">
        <w:rPr>
          <w:rFonts w:ascii="Century Schoolbook" w:hAnsi="Century Schoolbook"/>
        </w:rPr>
        <w:t>“</w:t>
      </w:r>
      <w:r w:rsidRPr="76AC1BCB">
        <w:rPr>
          <w:rFonts w:ascii="Century Schoolbook" w:hAnsi="Century Schoolbook"/>
        </w:rPr>
        <w:t>violence and harassment reminiscent of colonial policies,</w:t>
      </w:r>
      <w:r w:rsidR="002A153B" w:rsidRPr="76AC1BCB">
        <w:rPr>
          <w:rFonts w:ascii="Century Schoolbook" w:hAnsi="Century Schoolbook"/>
        </w:rPr>
        <w:t>”</w:t>
      </w:r>
      <w:r w:rsidRPr="76AC1BCB">
        <w:rPr>
          <w:rFonts w:ascii="Century Schoolbook" w:hAnsi="Century Schoolbook"/>
        </w:rPr>
        <w:t xml:space="preserve"> reflecting broader police activities during Thatcher’s premiership </w:t>
      </w:r>
      <w:r w:rsidRPr="76AC1BCB">
        <w:rPr>
          <w:rFonts w:ascii="Century Schoolbook" w:hAnsi="Century Schoolbook"/>
        </w:rPr>
        <w:fldChar w:fldCharType="begin"/>
      </w:r>
      <w:r w:rsidRPr="76AC1BCB">
        <w:rPr>
          <w:rFonts w:ascii="Century Schoolbook" w:hAnsi="Century Schoolbook"/>
        </w:rPr>
        <w:instrText xml:space="preserve"> ADDIN ZOTERO_ITEM CSL_CITATION {"citationID":"DgDqRTY3","properties":{"formattedCitation":"(Jefferson 2012)","plainCitation":"(Jefferson 2012)","noteIndex":0},"citationItems":[{"id":5828,"uris":["http://zotero.org/users/8977980/items/7A3KPT7E"],"itemData":{"id":5828,"type":"article-journal","container-title":"Criminal Justice Matters","DOI":"10.1080/09627251.2012.670995","ISSN":"0962-7251","issue":"1","note":"_eprint: https://doi.org/10.1080/09627251.2012.670995","page":"8-9","publisher":"Routledge","source":"Taylor and Francis+NEJM","title":"Policing the riots: from Bristol and Brixton to Tottenham, via Toxteth, Handsworth, etc: Tony Jefferson tells the angry, ongoing story of rioting over the past 30 years","title-short":"Policing the riots","volume":"87","author":[{"family":"Jefferson","given":"Tony"}],"issued":{"date-parts":[["2012",3,1]]}}}],"schema":"https://github.com/citation-style-language/schema/raw/master/csl-citation.json"} </w:instrText>
      </w:r>
      <w:r w:rsidRPr="76AC1BCB">
        <w:rPr>
          <w:rFonts w:ascii="Century Schoolbook" w:hAnsi="Century Schoolbook"/>
        </w:rPr>
        <w:fldChar w:fldCharType="separate"/>
      </w:r>
      <w:r w:rsidRPr="76AC1BCB">
        <w:rPr>
          <w:rFonts w:ascii="Century Schoolbook" w:hAnsi="Century Schoolbook"/>
        </w:rPr>
        <w:t>(Jefferson 2012)</w:t>
      </w:r>
      <w:r w:rsidRPr="76AC1BCB">
        <w:rPr>
          <w:rFonts w:ascii="Century Schoolbook" w:hAnsi="Century Schoolbook"/>
        </w:rPr>
        <w:fldChar w:fldCharType="end"/>
      </w:r>
      <w:r w:rsidRPr="76AC1BCB">
        <w:rPr>
          <w:rFonts w:ascii="Century Schoolbook" w:hAnsi="Century Schoolbook"/>
        </w:rPr>
        <w:t xml:space="preserve">. White tenants petitioned to maintain this occupation </w:t>
      </w:r>
      <w:r w:rsidRPr="76AC1BCB">
        <w:rPr>
          <w:rFonts w:ascii="Century Schoolbook" w:hAnsi="Century Schoolbook"/>
        </w:rPr>
        <w:fldChar w:fldCharType="begin"/>
      </w:r>
      <w:r w:rsidRPr="76AC1BCB">
        <w:rPr>
          <w:rFonts w:ascii="Century Schoolbook" w:hAnsi="Century Schoolbook"/>
        </w:rPr>
        <w:instrText xml:space="preserve"> ADDIN ZOTERO_ITEM CSL_CITATION {"citationID":"F72IEZsJ","properties":{"formattedCitation":"(Kavanagh 1985)","plainCitation":"(Kavanagh 1985)","noteIndex":0},"citationItems":[{"id":5420,"uris":["http://zotero.org/users/8977980/items/S73MRGRV"],"itemData":{"id":5420,"type":"article-newspaper","archive":"George Padmore Institute","archive_location":"BPM/7/1/6/3","container-title":"The Journal","page":"4","publisher-place":"London (UK), United Kingdom","title":"'Keep police on the Farm' - 5,000 Petition Whitehall","author":[{"family":"Kavanagh","given":"Kevin"}],"issued":{"date-parts":[["1985",12,13]]}}}],"schema":"https://github.com/citation-style-language/schema/raw/master/csl-citation.json"} </w:instrText>
      </w:r>
      <w:r w:rsidRPr="76AC1BCB">
        <w:rPr>
          <w:rFonts w:ascii="Century Schoolbook" w:hAnsi="Century Schoolbook"/>
        </w:rPr>
        <w:fldChar w:fldCharType="separate"/>
      </w:r>
      <w:r w:rsidRPr="76AC1BCB">
        <w:rPr>
          <w:rFonts w:ascii="Century Schoolbook" w:hAnsi="Century Schoolbook"/>
        </w:rPr>
        <w:t>(Kavanagh 1985)</w:t>
      </w:r>
      <w:r w:rsidRPr="76AC1BCB">
        <w:rPr>
          <w:rFonts w:ascii="Century Schoolbook" w:hAnsi="Century Schoolbook"/>
        </w:rPr>
        <w:fldChar w:fldCharType="end"/>
      </w:r>
      <w:r w:rsidRPr="76AC1BCB">
        <w:rPr>
          <w:rFonts w:ascii="Century Schoolbook" w:hAnsi="Century Schoolbook"/>
        </w:rPr>
        <w:t xml:space="preserve">. One Haringey council staff member (KI.5, interview, 27 Jan. 2024) recalls that </w:t>
      </w:r>
      <w:r w:rsidR="002A153B" w:rsidRPr="76AC1BCB">
        <w:rPr>
          <w:rFonts w:ascii="Century Schoolbook" w:hAnsi="Century Schoolbook"/>
        </w:rPr>
        <w:t>“</w:t>
      </w:r>
      <w:r w:rsidRPr="76AC1BCB">
        <w:rPr>
          <w:rFonts w:ascii="Century Schoolbook" w:hAnsi="Century Schoolbook"/>
        </w:rPr>
        <w:t>caretakers would be constantly on call</w:t>
      </w:r>
      <w:r w:rsidR="002A153B" w:rsidRPr="76AC1BCB">
        <w:rPr>
          <w:rFonts w:ascii="Century Schoolbook" w:hAnsi="Century Schoolbook"/>
        </w:rPr>
        <w:t>”</w:t>
      </w:r>
      <w:r w:rsidRPr="76AC1BCB">
        <w:rPr>
          <w:rFonts w:ascii="Century Schoolbook" w:hAnsi="Century Schoolbook"/>
        </w:rPr>
        <w:t xml:space="preserve"> because police were frequently breaking into flats. Newspapers used the unrest as a pretext for continuing the territorial stigmatisation of the estate and its residents</w:t>
      </w:r>
      <w:r w:rsidR="00CB4CC4" w:rsidRPr="76AC1BCB">
        <w:rPr>
          <w:rFonts w:ascii="Century Schoolbook" w:hAnsi="Century Schoolbook"/>
        </w:rPr>
        <w:t>—which was already very intense as I describe above—</w:t>
      </w:r>
      <w:r w:rsidRPr="76AC1BCB">
        <w:rPr>
          <w:rFonts w:ascii="Century Schoolbook" w:hAnsi="Century Schoolbook"/>
        </w:rPr>
        <w:t xml:space="preserve">with the Gifford Report </w:t>
      </w:r>
      <w:r w:rsidRPr="76AC1BCB">
        <w:rPr>
          <w:rFonts w:ascii="Century Schoolbook" w:hAnsi="Century Schoolbook"/>
        </w:rPr>
        <w:fldChar w:fldCharType="begin"/>
      </w:r>
      <w:r w:rsidRPr="76AC1BCB">
        <w:rPr>
          <w:rFonts w:ascii="Century Schoolbook" w:hAnsi="Century Schoolbook"/>
        </w:rPr>
        <w:instrText xml:space="preserve"> ADDIN ZOTERO_ITEM CSL_CITATION {"citationID":"EvktntHf","properties":{"formattedCitation":"(1986, 124\\uc0\\u8211{}25)","plainCitation":"(1986, 124–25)","noteIndex":0},"citationItems":[{"id":5214,"uris":["http://zotero.org/users/8977980/items/QT5S27DM"],"itemData":{"id":5214,"type":"book","edition":"First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ocator":"124-5","label":"page","suppress-author":true}],"schema":"https://github.com/citation-style-language/schema/raw/master/csl-citation.json"} </w:instrText>
      </w:r>
      <w:r w:rsidRPr="76AC1BCB">
        <w:rPr>
          <w:rFonts w:ascii="Century Schoolbook" w:hAnsi="Century Schoolbook"/>
        </w:rPr>
        <w:fldChar w:fldCharType="separate"/>
      </w:r>
      <w:r w:rsidR="005E72FD" w:rsidRPr="76AC1BCB">
        <w:rPr>
          <w:rFonts w:ascii="Century Schoolbook" w:hAnsi="Century Schoolbook"/>
        </w:rPr>
        <w:t>(1986, 124–25)</w:t>
      </w:r>
      <w:r w:rsidRPr="76AC1BCB">
        <w:rPr>
          <w:rFonts w:ascii="Century Schoolbook" w:hAnsi="Century Schoolbook"/>
        </w:rPr>
        <w:fldChar w:fldCharType="end"/>
      </w:r>
      <w:r w:rsidRPr="76AC1BCB">
        <w:rPr>
          <w:rFonts w:ascii="Century Schoolbook" w:hAnsi="Century Schoolbook"/>
        </w:rPr>
        <w:t xml:space="preserve"> calling coverage </w:t>
      </w:r>
      <w:r w:rsidR="00BE396A" w:rsidRPr="76AC1BCB">
        <w:rPr>
          <w:rFonts w:ascii="Century Schoolbook" w:hAnsi="Century Schoolbook"/>
        </w:rPr>
        <w:t>“</w:t>
      </w:r>
      <w:r w:rsidRPr="76AC1BCB">
        <w:rPr>
          <w:rFonts w:ascii="Century Schoolbook" w:hAnsi="Century Schoolbook"/>
        </w:rPr>
        <w:t>sorry reading</w:t>
      </w:r>
      <w:r w:rsidR="00BE396A" w:rsidRPr="76AC1BCB">
        <w:rPr>
          <w:rFonts w:ascii="Century Schoolbook" w:hAnsi="Century Schoolbook"/>
        </w:rPr>
        <w:t xml:space="preserve">” </w:t>
      </w:r>
      <w:r w:rsidRPr="76AC1BCB">
        <w:rPr>
          <w:rFonts w:ascii="Century Schoolbook" w:hAnsi="Century Schoolbook"/>
        </w:rPr>
        <w:t xml:space="preserve">and </w:t>
      </w:r>
      <w:r w:rsidR="00BE396A" w:rsidRPr="76AC1BCB">
        <w:rPr>
          <w:rFonts w:ascii="Century Schoolbook" w:hAnsi="Century Schoolbook"/>
        </w:rPr>
        <w:t>“</w:t>
      </w:r>
      <w:r w:rsidRPr="76AC1BCB">
        <w:rPr>
          <w:rFonts w:ascii="Century Schoolbook" w:hAnsi="Century Schoolbook"/>
        </w:rPr>
        <w:t>racist.</w:t>
      </w:r>
      <w:r w:rsidR="00BE396A" w:rsidRPr="76AC1BCB">
        <w:rPr>
          <w:rFonts w:ascii="Century Schoolbook" w:hAnsi="Century Schoolbook"/>
        </w:rPr>
        <w:t>”</w:t>
      </w:r>
      <w:r w:rsidRPr="76AC1BCB">
        <w:rPr>
          <w:rFonts w:ascii="Century Schoolbook" w:hAnsi="Century Schoolbook"/>
        </w:rPr>
        <w:t xml:space="preserve"> </w:t>
      </w:r>
    </w:p>
    <w:p w14:paraId="19EF3A98" w14:textId="72061C72" w:rsidR="00DE5968" w:rsidRPr="00662E51" w:rsidRDefault="00DE5968" w:rsidP="00F56305">
      <w:pPr>
        <w:pStyle w:val="Newparagraph"/>
        <w:spacing w:line="360" w:lineRule="auto"/>
        <w:jc w:val="both"/>
        <w:rPr>
          <w:rFonts w:ascii="Century Schoolbook" w:hAnsi="Century Schoolbook"/>
        </w:rPr>
      </w:pPr>
      <w:r w:rsidRPr="00662E51">
        <w:rPr>
          <w:rFonts w:ascii="Century Schoolbook" w:hAnsi="Century Schoolbook"/>
        </w:rPr>
        <w:t xml:space="preserve">On the other hand, the government responded to the riot with grants for estate improvements. Nearly £1 million was assigned for estate refurbishment, including building workshops for BFYA’s off-shoot arm (the Broadwater Farm Co-op Ltd.) and other businesses, and for new parks on the estate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{"citationID":"QdE89uY9","properties":{"formattedCitation":"(Eastham 1987)","plainCitation":"(Eastham 1987)","noteIndex":0},"citationItems":[{"id":5800,"uris":["http://zotero.org/users/8977980/items/8E2YQMPK"],"itemData":{"id":5800,"type":"article-newspaper","archive":"The Times Digital Archive","container-title":"The Times","ISSN":"0140-0460","issue":"62835","language":"English","note":"5","page":"5","publisher-place":"London (UK)","source":"Gale","title":"Broadwater Farm riots inspire revival","author":[{"family":"Eastham","given":"Paul"}],"issued":{"date-parts":[["1987",7,31]]}}}],"schema":"https://github.com/citation-style-language/schema/raw/master/csl-citation.json"}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(Eastham 1987)</w:t>
      </w:r>
      <w:r w:rsidRPr="00662E51">
        <w:rPr>
          <w:rFonts w:ascii="Century Schoolbook" w:hAnsi="Century Schoolbook"/>
        </w:rPr>
        <w:fldChar w:fldCharType="end"/>
      </w:r>
      <w:r w:rsidRPr="00662E51">
        <w:rPr>
          <w:rFonts w:ascii="Century Schoolbook" w:hAnsi="Century Schoolbook"/>
        </w:rPr>
        <w:t xml:space="preserve">. For its part, the Council did two things. First, it created a Building Design Services team for the estate in 1987, locating architects and staff on-site. The integration meant both more responsive service and a strong consultative culture with the Association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{"citationID":"7sGQ3dZh","properties":{"formattedCitation":"(Nicola 1993)","plainCitation":"(Nicola 1993)","noteIndex":0},"citationItems":[{"id":5367,"uris":["http://zotero.org/users/8977980/items/EUKKATIF"],"itemData":{"id":5367,"type":"report","archive":"Haringey Borough Archives","archive_location":"925.3 BRO","title":"Broadwater Farm Design Team, Building Design Service","author":[{"family":"Nicola","given":"George"}],"issued":{"date-parts":[["1993"]]}}}],"schema":"https://github.com/citation-style-language/schema/raw/master/csl-citation.json"}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(Nicola 1993)</w:t>
      </w:r>
      <w:r w:rsidRPr="00662E51">
        <w:rPr>
          <w:rFonts w:ascii="Century Schoolbook" w:hAnsi="Century Schoolbook"/>
        </w:rPr>
        <w:fldChar w:fldCharType="end"/>
      </w:r>
      <w:r w:rsidRPr="00662E51">
        <w:rPr>
          <w:rFonts w:ascii="Century Schoolbook" w:hAnsi="Century Schoolbook"/>
        </w:rPr>
        <w:t xml:space="preserve">. Second, the Council pledged £3 million to build a new community centre, and the community had a significant role in its design and competition. Haringey Council undertook a comprehensive consultation and contracted with the Co-Op to complete some of the construction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{"citationID":"D2c18w1d","properties":{"formattedCitation":"(Haringey Borough Council 1989)","plainCitation":"(Haringey Borough Council 1989)","noteIndex":0},"citationItems":[{"id":5368,"uris":["http://zotero.org/users/8977980/items/D4VUI4UC"],"itemData":{"id":5368,"type":"document","archive":"Haringey Borough Archives","archive_location":"925.3 BRO","title":"Broadwater and Lordship Project","author":[{"literal":"Haringey Borough Council"}],"issued":{"date-parts":[["1989"]]}}}],"schema":"https://github.com/citation-style-language/schema/raw/master/csl-citation.json"}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(Haringey Borough Council 1989)</w:t>
      </w:r>
      <w:r w:rsidRPr="00662E51">
        <w:rPr>
          <w:rFonts w:ascii="Century Schoolbook" w:hAnsi="Century Schoolbook"/>
        </w:rPr>
        <w:fldChar w:fldCharType="end"/>
      </w:r>
      <w:r w:rsidRPr="00662E51">
        <w:rPr>
          <w:rFonts w:ascii="Century Schoolbook" w:hAnsi="Century Schoolbook"/>
        </w:rPr>
        <w:t xml:space="preserve">. The Co-Op also developed some of the estate’s new parks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{"citationID":"UGmhB24E","properties":{"formattedCitation":"(BFYA 1988)","plainCitation":"(BFYA 1988)","noteIndex":0},"citationItems":[{"id":5369,"uris":["http://zotero.org/users/8977980/items/GA6G4QMX"],"itemData":{"id":5369,"type":"report","archive":"Haringey Borough Archives","archive_location":"925.3 BRO","publisher-place":"London, UK","title":"Cultivating the Farm: Environmental work carried out by the Community to improve conditions of living on the Broadwater Farm Estate","author":[{"literal":"BFYA"}],"issued":{"date-parts":[["1988"]]}}}],"schema":"https://github.com/citation-style-language/schema/raw/master/csl-citation.json"}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(BFYA 1988)</w:t>
      </w:r>
      <w:r w:rsidRPr="00662E51">
        <w:rPr>
          <w:rFonts w:ascii="Century Schoolbook" w:hAnsi="Century Schoolbook"/>
        </w:rPr>
        <w:fldChar w:fldCharType="end"/>
      </w:r>
      <w:r w:rsidRPr="00662E51">
        <w:rPr>
          <w:rFonts w:ascii="Century Schoolbook" w:hAnsi="Century Schoolbook"/>
        </w:rPr>
        <w:t xml:space="preserve">. BFYA was likewise able to get some of its members hired by outside contractors and as estate staff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{"citationID":"DhuLRt9Q","properties":{"formattedCitation":"(Levidow 1987)","plainCitation":"(Levidow 1987)","noteIndex":0},"citationItems":[{"id":5216,"uris":["http://zotero.org/users/8977980/items/D64KFDTJ"],"itemData":{"id":5216,"type":"article-journal","container-title":"Race &amp; Class","DOI":"10.1177/030639688702900106","ISSN":"0306-3968","issue":"1","language":"en","page":"77-85","publisher":"SAGE Publications Ltd","source":"SAGE Journals","title":"Broadwater Farm: a 'criminal estate'? An interview with Dolly Kiffin","title-short":"Broadwater Farm","volume":"29","author":[{"family":"Levidow","given":"Les"}],"issued":{"date-parts":[["1987",7,1]]}}}],"schema":"https://github.com/citation-style-language/schema/raw/master/csl-citation.json"}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(Levidow 1987)</w:t>
      </w:r>
      <w:r w:rsidRPr="00662E51">
        <w:rPr>
          <w:rFonts w:ascii="Century Schoolbook" w:hAnsi="Century Schoolbook"/>
        </w:rPr>
        <w:fldChar w:fldCharType="end"/>
      </w:r>
      <w:r w:rsidRPr="00662E51">
        <w:rPr>
          <w:rFonts w:ascii="Century Schoolbook" w:hAnsi="Century Schoolbook"/>
        </w:rPr>
        <w:t xml:space="preserve">. A raft of positive press </w:t>
      </w:r>
      <w:r w:rsidRPr="00662E51">
        <w:rPr>
          <w:rFonts w:ascii="Century Schoolbook" w:hAnsi="Century Schoolbook"/>
        </w:rPr>
        <w:lastRenderedPageBreak/>
        <w:t xml:space="preserve">accompanied these initiatives, with many noting a decrease in crime and a real </w:t>
      </w:r>
      <w:r w:rsidR="00BE396A" w:rsidRPr="00662E51">
        <w:rPr>
          <w:rFonts w:ascii="Century Schoolbook" w:hAnsi="Century Schoolbook"/>
        </w:rPr>
        <w:t>“</w:t>
      </w:r>
      <w:r w:rsidRPr="00662E51">
        <w:rPr>
          <w:rFonts w:ascii="Century Schoolbook" w:hAnsi="Century Schoolbook"/>
        </w:rPr>
        <w:t>turn around</w:t>
      </w:r>
      <w:r w:rsidR="00BE396A" w:rsidRPr="00662E51">
        <w:rPr>
          <w:rFonts w:ascii="Century Schoolbook" w:hAnsi="Century Schoolbook"/>
        </w:rPr>
        <w:t xml:space="preserve">” </w:t>
      </w:r>
      <w:r w:rsidRPr="00662E51">
        <w:rPr>
          <w:rFonts w:ascii="Century Schoolbook" w:hAnsi="Century Schoolbook"/>
        </w:rPr>
        <w:t xml:space="preserve">for the estate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{"citationID":"obmScUsZ","properties":{"formattedCitation":"(e.g., Eastham 1987; Boumelha 1998)","plainCitation":"(e.g., Eastham 1987; Boumelha 1998)","noteIndex":0},"citationItems":[{"id":5800,"uris":["http://zotero.org/users/8977980/items/8E2YQMPK"],"itemData":{"id":5800,"type":"article-newspaper","archive":"The Times Digital Archive","container-title":"The Times","ISSN":"0140-0460","issue":"62835","language":"English","note":"5","page":"5","publisher-place":"London (UK)","source":"Gale","title":"Broadwater Farm riots inspire revival","author":[{"family":"Eastham","given":"Paul"}],"issued":{"date-parts":[["1987",7,31]]}},"label":"page","prefix":"e.g., "},{"id":5362,"uris":["http://zotero.org/users/8977980/items/2F68N8LS"],"itemData":{"id":5362,"type":"article-magazine","archive":"Haringey Borough Archives","container-title":"Haringey People","language":"English","page":"15-17","title":"From sink to swim","author":[{"family":"Boumelha","given":"Jim"}],"issued":{"date-parts":[["1998",9]]}}}],"schema":"https://github.com/citation-style-language/schema/raw/master/csl-citation.json"}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(e.g., Eastham 1987; Boumelha 1998)</w:t>
      </w:r>
      <w:r w:rsidRPr="00662E51">
        <w:rPr>
          <w:rFonts w:ascii="Century Schoolbook" w:hAnsi="Century Schoolbook"/>
        </w:rPr>
        <w:fldChar w:fldCharType="end"/>
      </w:r>
      <w:r w:rsidRPr="00662E51">
        <w:rPr>
          <w:rFonts w:ascii="Century Schoolbook" w:hAnsi="Century Schoolbook"/>
        </w:rPr>
        <w:t xml:space="preserve">. </w:t>
      </w:r>
    </w:p>
    <w:p w14:paraId="09A7AC05" w14:textId="459643BA" w:rsidR="00DE5968" w:rsidRPr="00662E51" w:rsidRDefault="00DE5968" w:rsidP="00D45499">
      <w:pPr>
        <w:pStyle w:val="Newparagraph"/>
        <w:spacing w:line="360" w:lineRule="auto"/>
        <w:jc w:val="both"/>
        <w:rPr>
          <w:rFonts w:ascii="Century Schoolbook" w:hAnsi="Century Schoolbook"/>
        </w:rPr>
      </w:pPr>
      <w:r w:rsidRPr="00662E51">
        <w:rPr>
          <w:rFonts w:ascii="Century Schoolbook" w:hAnsi="Century Schoolbook"/>
        </w:rPr>
        <w:t xml:space="preserve">BFYA’s advocacy continued for several more years after the riot. We know that the Council’s leader, Bernie Grant (who became Labour MP for Tottenham in 1987) continued to help the BFYA. He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{"citationID":"uSLJiEre","properties":{"formattedCitation":"(to Harris 1993)","plainCitation":"(to Harris 1993)","noteIndex":0},"citationItems":[{"id":5270,"uris":["http://zotero.org/users/8977980/items/LFIDP3LQ"],"itemData":{"id":5270,"type":"personal_communication","archive":"Bishopsgate Institute","archive_location":"BG/P/2/4/2","title":"Capital Allocation Broadwater Farm","author":[{"family":"Grant","given":"Bernie"}],"recipient":[{"family":"Harris","given":"Toby"}],"issued":{"date-parts":[["1993",6,7]]}},"label":"page","suppress-author":true}],"schema":"https://github.com/citation-style-language/schema/raw/master/csl-citation.json"}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(to Harris 1993)</w:t>
      </w:r>
      <w:r w:rsidRPr="00662E51">
        <w:rPr>
          <w:rFonts w:ascii="Century Schoolbook" w:hAnsi="Century Schoolbook"/>
        </w:rPr>
        <w:fldChar w:fldCharType="end"/>
      </w:r>
      <w:r w:rsidRPr="00662E51">
        <w:rPr>
          <w:rFonts w:ascii="Century Schoolbook" w:hAnsi="Century Schoolbook"/>
        </w:rPr>
        <w:t xml:space="preserve"> communicated with the Council’s new Leader, Toby Harris, to advocate on behalf of BFYA at least once. There was brief discussion of BF becoming self-managed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{"citationID":"75Lnbw5X","properties":{"formattedCitation":"(Murray 1994)","plainCitation":"(Murray 1994)","noteIndex":0},"citationItems":[{"id":5320,"uris":["http://zotero.org/users/8977980/items/77G79AHT"],"itemData":{"id":5320,"type":"article-newspaper","archive":"The Times Digital Archive","container-title":"The Times","ISSN":"0140-0460","issue":"65017","language":"English","note":"3","page":"3","source":"Gale","title":"Residents object to outdated reputation","author":[{"family":"Murray","given":"Ian"}],"issued":{"date-parts":[["1994",7,27]]}}}],"schema":"https://github.com/citation-style-language/schema/raw/master/csl-citation.json"}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(Murray 1994)</w:t>
      </w:r>
      <w:r w:rsidRPr="00662E51">
        <w:rPr>
          <w:rFonts w:ascii="Century Schoolbook" w:hAnsi="Century Schoolbook"/>
        </w:rPr>
        <w:fldChar w:fldCharType="end"/>
      </w:r>
      <w:r w:rsidRPr="00662E51">
        <w:rPr>
          <w:rFonts w:ascii="Century Schoolbook" w:hAnsi="Century Schoolbook"/>
        </w:rPr>
        <w:t xml:space="preserve"> though I have not been successful in tracing it to conclusion. The government allocated a further £33 million in the early 1990s for more refurbishment, which included security measures like staffed concierges. The Co-Op was responsible for some of the work. Haringey Council moved the Building Design Services from the estate in 1995 and other services were moved a year later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{"citationID":"Bnr4XslI","properties":{"formattedCitation":"(Frimpong-Manson to Messenger 1996)","plainCitation":"(Frimpong-Manson to Messenger 1996)","noteIndex":0},"citationItems":[{"id":5275,"uris":["http://zotero.org/users/8977980/items/9EBC6IW2"],"itemData":{"id":5275,"type":"personal_communication","archive":"Bishopsgate Institute","archive_location":"BG/P/2/4/4","source":"Letter to Dolly Kiffin - 7 June 1993","title":"Broadwater Farm Design Team Office","recipient":[{"family":"Messenger","given":"Andrew"}],"author":[{"family":"Frimpong-Manson","given":"Kwaku"}],"issued":{"date-parts":[["1996",3,12]]}}}],"schema":"https://github.com/citation-style-language/schema/raw/master/csl-citation.json"}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(Frimpong-Manson to Messenger 1996)</w:t>
      </w:r>
      <w:r w:rsidRPr="00662E51">
        <w:rPr>
          <w:rFonts w:ascii="Century Schoolbook" w:hAnsi="Century Schoolbook"/>
        </w:rPr>
        <w:fldChar w:fldCharType="end"/>
      </w:r>
      <w:r w:rsidRPr="00662E51">
        <w:rPr>
          <w:rFonts w:ascii="Century Schoolbook" w:hAnsi="Century Schoolbook"/>
        </w:rPr>
        <w:t xml:space="preserve">. From 1996 onwards, the archive is spare. Stirling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{"citationID":"ze73ywOD","properties":{"formattedCitation":"(2022)","plainCitation":"(2022)","noteIndex":0},"citationItems":[{"id":5209,"uris":["http://zotero.org/users/8977980/items/V3IR23E3"],"itemData":{"id":5209,"type":"interview","abstract":"In the third episode of the Lost Blocks Collective podcast, LBC member Elliesse sits down with Clasford Stirling, an incredibly well-known community figure in Broadwater Farm, who has worked with the youth on the estate since the 1980's. Clasford talks us through the history of the estate, highlighting a number of different community figures and detailing the incredible work of the Youth Association, which he helped formed. \n\nIn The Voices of Broadwater Farm podcast the Collective interview a number of Broadwater Farm residents and community figures, providing them with a platform through which to discuss the estate and their experiences growing up there.","title":"The Voices of Broadwater Farm - Clasford Stirling MBE","URL":"https://www.youtube.com/watch?v=kx6PtEipg0M","interviewer":[{"literal":"Lost Block Collective"}],"author":[{"family":"Stirling","given":"Clasford"}],"accessed":{"date-parts":[["2023",9,29]]},"issued":{"date-parts":[["2022",8,18]]}},"suppress-author":true}],"schema":"https://github.com/citation-style-language/schema/raw/master/csl-citation.json"}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(2022)</w:t>
      </w:r>
      <w:r w:rsidRPr="00662E51">
        <w:rPr>
          <w:rFonts w:ascii="Century Schoolbook" w:hAnsi="Century Schoolbook"/>
        </w:rPr>
        <w:fldChar w:fldCharType="end"/>
      </w:r>
      <w:r w:rsidRPr="00662E51">
        <w:rPr>
          <w:rFonts w:ascii="Century Schoolbook" w:hAnsi="Century Schoolbook"/>
        </w:rPr>
        <w:t>, who became sports activities lead for the Youth Centre, continues his work today. However, it seems that the BFYA ceased to function around this time. Broadwater Farm continues to surface in media, though, most notably in relation to the 2011 Tottenham uprising, as a</w:t>
      </w:r>
      <w:r w:rsidR="00BE396A" w:rsidRPr="00662E51">
        <w:rPr>
          <w:rFonts w:ascii="Century Schoolbook" w:hAnsi="Century Schoolbook"/>
        </w:rPr>
        <w:t xml:space="preserve"> “</w:t>
      </w:r>
      <w:r w:rsidRPr="00662E51">
        <w:rPr>
          <w:rFonts w:ascii="Century Schoolbook" w:hAnsi="Century Schoolbook"/>
        </w:rPr>
        <w:t>crime hotspot</w:t>
      </w:r>
      <w:r w:rsidR="00BE396A" w:rsidRPr="00662E51">
        <w:rPr>
          <w:rFonts w:ascii="Century Schoolbook" w:hAnsi="Century Schoolbook"/>
        </w:rPr>
        <w:t>”</w:t>
      </w:r>
      <w:r w:rsidRPr="00662E51">
        <w:rPr>
          <w:rFonts w:ascii="Century Schoolbook" w:hAnsi="Century Schoolbook"/>
        </w:rPr>
        <w:t xml:space="preserv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{"citationID":"UeUyj4aP","properties":{"formattedCitation":"(Elliott-Cooper 2021)","plainCitation":"(Elliott-Cooper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(Elliott-Cooper 2021)</w:t>
      </w:r>
      <w:r w:rsidRPr="00662E51">
        <w:rPr>
          <w:rFonts w:ascii="Century Schoolbook" w:hAnsi="Century Schoolbook"/>
        </w:rPr>
        <w:fldChar w:fldCharType="end"/>
      </w:r>
      <w:r w:rsidRPr="00662E51">
        <w:rPr>
          <w:rFonts w:ascii="Century Schoolbook" w:hAnsi="Century Schoolbook"/>
        </w:rPr>
        <w:t xml:space="preserve">, and a stigmatised territory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{"citationID":"C08TlnTh","properties":{"formattedCitation":"(Wacquant et al. 2014)","plainCitation":"(Wacquant et al. 2014)","noteIndex":0},"citationItems":[{"id":4557,"uris":["http://zotero.org/users/8977980/items/QNSJUP9M"],"itemData":{"id":4557,"type":"article-journal","abstract":"This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Borges"}],"issued":{"date-parts":[["2014",6,1]]}}}],"schema":"https://github.com/citation-style-language/schema/raw/master/csl-citation.json"} </w:instrText>
      </w:r>
      <w:r w:rsidRPr="00662E51">
        <w:rPr>
          <w:rFonts w:ascii="Century Schoolbook" w:hAnsi="Century Schoolbook"/>
        </w:rPr>
        <w:fldChar w:fldCharType="separate"/>
      </w:r>
      <w:r w:rsidR="005E72FD" w:rsidRPr="00662E51">
        <w:rPr>
          <w:rFonts w:ascii="Century Schoolbook" w:hAnsi="Century Schoolbook"/>
        </w:rPr>
        <w:t>(Wacquant et al. 2014)</w:t>
      </w:r>
      <w:r w:rsidRPr="00662E51">
        <w:rPr>
          <w:rFonts w:ascii="Century Schoolbook" w:hAnsi="Century Schoolbook"/>
        </w:rPr>
        <w:fldChar w:fldCharType="end"/>
      </w:r>
      <w:r w:rsidRPr="00662E51">
        <w:rPr>
          <w:rFonts w:ascii="Century Schoolbook" w:hAnsi="Century Schoolbook"/>
        </w:rPr>
        <w:t xml:space="preserve">. The BFYA is thus an excellent illustration to explore how activist subjects can, even during times of illiberalism, become full citizens </w:t>
      </w:r>
      <w:r w:rsidRPr="00662E51">
        <w:rPr>
          <w:rFonts w:ascii="Century Schoolbook" w:hAnsi="Century Schoolbook"/>
          <w:i/>
          <w:iCs/>
        </w:rPr>
        <w:t>through</w:t>
      </w:r>
      <w:r w:rsidRPr="00662E51">
        <w:rPr>
          <w:rFonts w:ascii="Century Schoolbook" w:hAnsi="Century Schoolbook"/>
        </w:rPr>
        <w:t xml:space="preserve"> their acts. </w:t>
      </w:r>
    </w:p>
    <w:p w14:paraId="4EF02CA5" w14:textId="77777777" w:rsidR="00D45499" w:rsidRPr="00662E51" w:rsidRDefault="00D45499" w:rsidP="00D45499">
      <w:pPr>
        <w:pStyle w:val="Newparagraph"/>
        <w:spacing w:line="360" w:lineRule="auto"/>
        <w:jc w:val="both"/>
        <w:rPr>
          <w:rFonts w:ascii="Century Schoolbook" w:hAnsi="Century Schoolbook"/>
        </w:rPr>
      </w:pPr>
    </w:p>
    <w:p w14:paraId="114CCF14" w14:textId="254ED6E6" w:rsidR="00D45499" w:rsidRPr="00662E51" w:rsidRDefault="00D45499" w:rsidP="00D45499">
      <w:pPr>
        <w:pStyle w:val="Heading2"/>
      </w:pPr>
      <w:bookmarkStart w:id="323" w:name="_Toc216096165"/>
      <w:bookmarkStart w:id="324" w:name="_Toc221184347"/>
      <w:bookmarkStart w:id="325" w:name="_Toc231215265"/>
      <w:r w:rsidRPr="00662E51">
        <w:t>Data and Methods</w:t>
      </w:r>
      <w:bookmarkEnd w:id="323"/>
      <w:bookmarkEnd w:id="324"/>
      <w:r w:rsidR="00BC44B5">
        <w:t>:</w:t>
      </w:r>
      <w:bookmarkEnd w:id="325"/>
    </w:p>
    <w:p w14:paraId="4AB0E298" w14:textId="77FCC4A2" w:rsidR="00D45499" w:rsidRPr="00662E51" w:rsidRDefault="00D45499" w:rsidP="009F2B4F">
      <w:pPr>
        <w:pStyle w:val="Paragraph"/>
        <w:spacing w:before="0" w:line="360" w:lineRule="auto"/>
        <w:jc w:val="both"/>
        <w:rPr>
          <w:rFonts w:ascii="Century Schoolbook" w:hAnsi="Century Schoolbook"/>
        </w:rPr>
      </w:pPr>
      <w:r w:rsidRPr="00662E51">
        <w:rPr>
          <w:rFonts w:ascii="Century Schoolbook" w:hAnsi="Century Schoolbook"/>
        </w:rPr>
        <w:t xml:space="preserve">This </w:t>
      </w:r>
      <w:r w:rsidR="00AB7998" w:rsidRPr="00662E51">
        <w:rPr>
          <w:rFonts w:ascii="Century Schoolbook" w:hAnsi="Century Schoolbook"/>
        </w:rPr>
        <w:t>chapter</w:t>
      </w:r>
      <w:r w:rsidR="00721CEE" w:rsidRPr="00662E51">
        <w:rPr>
          <w:rFonts w:ascii="Century Schoolbook" w:hAnsi="Century Schoolbook"/>
        </w:rPr>
        <w:t xml:space="preserve"> deployed</w:t>
      </w:r>
      <w:r w:rsidRPr="00662E51">
        <w:rPr>
          <w:rFonts w:ascii="Century Schoolbook" w:hAnsi="Century Schoolbook"/>
        </w:rPr>
        <w:t xml:space="preserve"> interviews and archival sources to examine how a group without full citizenship was able to utilise accommodative resistance</w:t>
      </w:r>
      <w:r w:rsidR="007038D4">
        <w:rPr>
          <w:rFonts w:ascii="Century Schoolbook" w:hAnsi="Century Schoolbook"/>
        </w:rPr>
        <w:t xml:space="preserve"> (Section 3.</w:t>
      </w:r>
      <w:r w:rsidR="00D63E7A">
        <w:rPr>
          <w:rFonts w:ascii="Century Schoolbook" w:hAnsi="Century Schoolbook"/>
        </w:rPr>
        <w:t>4</w:t>
      </w:r>
      <w:r w:rsidR="007038D4">
        <w:rPr>
          <w:rFonts w:ascii="Century Schoolbook" w:hAnsi="Century Schoolbook"/>
        </w:rPr>
        <w:t>.</w:t>
      </w:r>
      <w:r w:rsidR="000D1E43">
        <w:rPr>
          <w:rFonts w:ascii="Century Schoolbook" w:hAnsi="Century Schoolbook"/>
        </w:rPr>
        <w:t>2</w:t>
      </w:r>
      <w:r w:rsidR="007038D4">
        <w:rPr>
          <w:rFonts w:ascii="Century Schoolbook" w:hAnsi="Century Schoolbook"/>
        </w:rPr>
        <w:t>)</w:t>
      </w:r>
      <w:r w:rsidRPr="00662E51">
        <w:rPr>
          <w:rFonts w:ascii="Century Schoolbook" w:hAnsi="Century Schoolbook"/>
        </w:rPr>
        <w:t xml:space="preserve"> to demand inclusion as full citizens. </w:t>
      </w:r>
      <w:r w:rsidR="00DB5A78" w:rsidRPr="00662E51">
        <w:rPr>
          <w:rFonts w:ascii="Century Schoolbook" w:hAnsi="Century Schoolbook"/>
        </w:rPr>
        <w:t xml:space="preserve">As I discuss in Section 4.1.3, </w:t>
      </w:r>
      <w:r w:rsidRPr="00662E51">
        <w:rPr>
          <w:rFonts w:ascii="Century Schoolbook" w:hAnsi="Century Schoolbook"/>
        </w:rPr>
        <w:t>I examined primary documents from 1979 to 1995 across four different archives in London, UK</w:t>
      </w:r>
      <w:r w:rsidR="00AD7D88" w:rsidRPr="00662E51">
        <w:rPr>
          <w:rFonts w:ascii="Century Schoolbook" w:hAnsi="Century Schoolbook"/>
        </w:rPr>
        <w:t xml:space="preserve">, as well as </w:t>
      </w:r>
      <w:r w:rsidR="002A7B25" w:rsidRPr="00662E51">
        <w:rPr>
          <w:rFonts w:ascii="Century Schoolbook" w:hAnsi="Century Schoolbook"/>
        </w:rPr>
        <w:t>Mrs Kiffin’s biograph</w:t>
      </w:r>
      <w:r w:rsidR="00815B74" w:rsidRPr="00662E51">
        <w:rPr>
          <w:rFonts w:ascii="Century Schoolbook" w:hAnsi="Century Schoolbook"/>
        </w:rPr>
        <w:t>y.</w:t>
      </w:r>
      <w:r w:rsidRPr="00662E51">
        <w:rPr>
          <w:rFonts w:ascii="Century Schoolbook" w:hAnsi="Century Schoolbook"/>
        </w:rPr>
        <w:t xml:space="preserve"> I also conducted four in-depth, semi-structured interviews with five key informants, who all are personally connected to either Broadwater Farm or relevant important players (e.g., Bernie Grant). As </w:t>
      </w:r>
      <w:r w:rsidR="00B2579D">
        <w:rPr>
          <w:rFonts w:ascii="Century Schoolbook" w:hAnsi="Century Schoolbook"/>
        </w:rPr>
        <w:t xml:space="preserve">I </w:t>
      </w:r>
      <w:r w:rsidR="005A30B9" w:rsidRPr="00662E51">
        <w:rPr>
          <w:rFonts w:ascii="Century Schoolbook" w:hAnsi="Century Schoolbook"/>
        </w:rPr>
        <w:fldChar w:fldCharType="begin"/>
      </w:r>
      <w:r w:rsidR="00A10C26">
        <w:rPr>
          <w:rFonts w:ascii="Century Schoolbook" w:hAnsi="Century Schoolbook"/>
        </w:rPr>
        <w:instrText xml:space="preserve"> ADDIN ZOTERO_ITEM CSL_CITATION {"citationID":"6alBKLtL","properties":{"formattedCitation":"(2025c)","plainCitation":"(2025c)","noteIndex":0},"citationItems":[{"id":6603,"uris":["http://zotero.org/users/8977980/items/HQJ2M53X"],"itemData":{"id":6603,"type":"manuscript","genre":"Manuscript under review","title":"Time in the Collage of Field and Work","author":[{"family":"Sindhwani","given":"Anil"}],"issued":{"date-parts":[["2025"]]}},"suppress-author":true}],"schema":"https://github.com/citation-style-language/schema/raw/master/csl-citation.json"} </w:instrText>
      </w:r>
      <w:r w:rsidR="005A30B9" w:rsidRPr="00662E51">
        <w:rPr>
          <w:rFonts w:ascii="Century Schoolbook" w:hAnsi="Century Schoolbook"/>
        </w:rPr>
        <w:fldChar w:fldCharType="separate"/>
      </w:r>
      <w:r w:rsidR="00A10C26" w:rsidRPr="00A10C26">
        <w:rPr>
          <w:rFonts w:ascii="Century Schoolbook" w:hAnsi="Century Schoolbook"/>
        </w:rPr>
        <w:t>(2025c)</w:t>
      </w:r>
      <w:r w:rsidR="005A30B9" w:rsidRPr="00662E51">
        <w:rPr>
          <w:rFonts w:ascii="Century Schoolbook" w:hAnsi="Century Schoolbook"/>
        </w:rPr>
        <w:fldChar w:fldCharType="end"/>
      </w:r>
      <w:r w:rsidR="005A30B9" w:rsidRPr="00662E51">
        <w:rPr>
          <w:rFonts w:ascii="Century Schoolbook" w:hAnsi="Century Schoolbook"/>
        </w:rPr>
        <w:t xml:space="preserve"> </w:t>
      </w:r>
      <w:r w:rsidR="00B2579D">
        <w:rPr>
          <w:rFonts w:ascii="Century Schoolbook" w:hAnsi="Century Schoolbook"/>
        </w:rPr>
        <w:t xml:space="preserve">have </w:t>
      </w:r>
      <w:r w:rsidRPr="00662E51">
        <w:rPr>
          <w:rFonts w:ascii="Century Schoolbook" w:hAnsi="Century Schoolbook"/>
        </w:rPr>
        <w:t xml:space="preserve">described </w:t>
      </w:r>
      <w:r w:rsidR="00B2579D">
        <w:rPr>
          <w:rFonts w:ascii="Century Schoolbook" w:hAnsi="Century Schoolbook"/>
        </w:rPr>
        <w:t xml:space="preserve">elsewhere, </w:t>
      </w:r>
      <w:r w:rsidRPr="00662E51">
        <w:rPr>
          <w:rFonts w:ascii="Century Schoolbook" w:hAnsi="Century Schoolbook"/>
        </w:rPr>
        <w:t xml:space="preserve">temporal gaps between archive and interview raised issues of memory, nostalgia, and recall. These were not treated as problems to solve but rather as reflections of the affectively charged—and ultimately </w:t>
      </w:r>
      <w:r w:rsidRPr="00662E51">
        <w:rPr>
          <w:rFonts w:ascii="Century Schoolbook" w:hAnsi="Century Schoolbook"/>
        </w:rPr>
        <w:lastRenderedPageBreak/>
        <w:t xml:space="preserve">successful—activism of the Association. Both archives and interview transcripts were coded inductively and deductively. I started with codes on </w:t>
      </w:r>
      <w:r w:rsidR="00FE3725">
        <w:rPr>
          <w:rFonts w:ascii="Century Schoolbook" w:hAnsi="Century Schoolbook"/>
        </w:rPr>
        <w:t xml:space="preserve">acts of </w:t>
      </w:r>
      <w:r w:rsidRPr="00662E51">
        <w:rPr>
          <w:rFonts w:ascii="Century Schoolbook" w:hAnsi="Century Schoolbook"/>
        </w:rPr>
        <w:t xml:space="preserve">citizenship (e.g., </w:t>
      </w:r>
      <w:r w:rsidR="000F0137" w:rsidRPr="00662E51">
        <w:rPr>
          <w:rFonts w:ascii="Century Schoolbook" w:hAnsi="Century Schoolbook"/>
        </w:rPr>
        <w:t>“</w:t>
      </w:r>
      <w:r w:rsidRPr="00662E51">
        <w:rPr>
          <w:rFonts w:ascii="Century Schoolbook" w:hAnsi="Century Schoolbook"/>
        </w:rPr>
        <w:t>habitus</w:t>
      </w:r>
      <w:r w:rsidR="000F0137" w:rsidRPr="00662E51">
        <w:rPr>
          <w:rFonts w:ascii="Century Schoolbook" w:hAnsi="Century Schoolbook"/>
        </w:rPr>
        <w:t>”</w:t>
      </w:r>
      <w:r w:rsidRPr="00662E51">
        <w:rPr>
          <w:rFonts w:ascii="Century Schoolbook" w:hAnsi="Century Schoolbook"/>
        </w:rPr>
        <w:t xml:space="preserve">, </w:t>
      </w:r>
      <w:r w:rsidR="000F0137" w:rsidRPr="00662E51">
        <w:rPr>
          <w:rFonts w:ascii="Century Schoolbook" w:hAnsi="Century Schoolbook"/>
        </w:rPr>
        <w:t>“</w:t>
      </w:r>
      <w:r w:rsidRPr="00662E51">
        <w:rPr>
          <w:rFonts w:ascii="Century Schoolbook" w:hAnsi="Century Schoolbook"/>
        </w:rPr>
        <w:t>expected subject action</w:t>
      </w:r>
      <w:r w:rsidR="000F0137" w:rsidRPr="00662E51">
        <w:rPr>
          <w:rFonts w:ascii="Century Schoolbook" w:hAnsi="Century Schoolbook"/>
        </w:rPr>
        <w:t>”</w:t>
      </w:r>
      <w:r w:rsidRPr="00662E51">
        <w:rPr>
          <w:rFonts w:ascii="Century Schoolbook" w:hAnsi="Century Schoolbook"/>
        </w:rPr>
        <w:t xml:space="preserve">, and </w:t>
      </w:r>
      <w:r w:rsidR="000F0137" w:rsidRPr="00662E51">
        <w:rPr>
          <w:rFonts w:ascii="Century Schoolbook" w:hAnsi="Century Schoolbook"/>
        </w:rPr>
        <w:t>“</w:t>
      </w:r>
      <w:r w:rsidRPr="00662E51">
        <w:rPr>
          <w:rFonts w:ascii="Century Schoolbook" w:hAnsi="Century Schoolbook"/>
        </w:rPr>
        <w:t>unexpected</w:t>
      </w:r>
      <w:r w:rsidR="000F0137" w:rsidRPr="00662E51">
        <w:rPr>
          <w:rFonts w:ascii="Century Schoolbook" w:hAnsi="Century Schoolbook"/>
        </w:rPr>
        <w:t>”</w:t>
      </w:r>
      <w:r w:rsidRPr="00662E51">
        <w:rPr>
          <w:rFonts w:ascii="Century Schoolbook" w:hAnsi="Century Schoolbook"/>
        </w:rPr>
        <w:t>) and then developing ones for authoritarian neoliberalism (</w:t>
      </w:r>
      <w:r w:rsidR="000F0137" w:rsidRPr="00662E51">
        <w:rPr>
          <w:rFonts w:ascii="Century Schoolbook" w:hAnsi="Century Schoolbook"/>
        </w:rPr>
        <w:t>“</w:t>
      </w:r>
      <w:r w:rsidRPr="00662E51">
        <w:rPr>
          <w:rFonts w:ascii="Century Schoolbook" w:hAnsi="Century Schoolbook"/>
        </w:rPr>
        <w:t>not being heard</w:t>
      </w:r>
      <w:r w:rsidR="000F0137" w:rsidRPr="00662E51">
        <w:rPr>
          <w:rFonts w:ascii="Century Schoolbook" w:hAnsi="Century Schoolbook"/>
        </w:rPr>
        <w:t>”</w:t>
      </w:r>
      <w:r w:rsidRPr="00662E51">
        <w:rPr>
          <w:rFonts w:ascii="Century Schoolbook" w:hAnsi="Century Schoolbook"/>
        </w:rPr>
        <w:t xml:space="preserve">, </w:t>
      </w:r>
      <w:r w:rsidR="000F0137" w:rsidRPr="00662E51">
        <w:rPr>
          <w:rFonts w:ascii="Century Schoolbook" w:hAnsi="Century Schoolbook"/>
        </w:rPr>
        <w:t>“</w:t>
      </w:r>
      <w:r w:rsidRPr="00662E51">
        <w:rPr>
          <w:rFonts w:ascii="Century Schoolbook" w:hAnsi="Century Schoolbook"/>
        </w:rPr>
        <w:t>police action</w:t>
      </w:r>
      <w:r w:rsidR="000F0137" w:rsidRPr="00662E51">
        <w:rPr>
          <w:rFonts w:ascii="Century Schoolbook" w:hAnsi="Century Schoolbook"/>
        </w:rPr>
        <w:t>”</w:t>
      </w:r>
      <w:r w:rsidRPr="00662E51">
        <w:rPr>
          <w:rFonts w:ascii="Century Schoolbook" w:hAnsi="Century Schoolbook"/>
        </w:rPr>
        <w:t xml:space="preserve">, </w:t>
      </w:r>
      <w:r w:rsidR="000F0137" w:rsidRPr="00662E51">
        <w:rPr>
          <w:rFonts w:ascii="Century Schoolbook" w:hAnsi="Century Schoolbook"/>
        </w:rPr>
        <w:t>“</w:t>
      </w:r>
      <w:r w:rsidRPr="00662E51">
        <w:rPr>
          <w:rFonts w:ascii="Century Schoolbook" w:hAnsi="Century Schoolbook"/>
        </w:rPr>
        <w:t>local state</w:t>
      </w:r>
      <w:r w:rsidR="000F0137" w:rsidRPr="00662E51">
        <w:rPr>
          <w:rFonts w:ascii="Century Schoolbook" w:hAnsi="Century Schoolbook"/>
        </w:rPr>
        <w:t>”</w:t>
      </w:r>
      <w:r w:rsidRPr="00662E51">
        <w:rPr>
          <w:rFonts w:ascii="Century Schoolbook" w:hAnsi="Century Schoolbook"/>
        </w:rPr>
        <w:t xml:space="preserve">, and </w:t>
      </w:r>
      <w:r w:rsidR="000F0137" w:rsidRPr="00662E51">
        <w:rPr>
          <w:rFonts w:ascii="Century Schoolbook" w:hAnsi="Century Schoolbook"/>
        </w:rPr>
        <w:t>“</w:t>
      </w:r>
      <w:r w:rsidRPr="00662E51">
        <w:rPr>
          <w:rFonts w:ascii="Century Schoolbook" w:hAnsi="Century Schoolbook"/>
        </w:rPr>
        <w:t>national state</w:t>
      </w:r>
      <w:r w:rsidR="000F0137" w:rsidRPr="00662E51">
        <w:rPr>
          <w:rFonts w:ascii="Century Schoolbook" w:hAnsi="Century Schoolbook"/>
        </w:rPr>
        <w:t>”</w:t>
      </w:r>
      <w:r w:rsidRPr="00662E51">
        <w:rPr>
          <w:rFonts w:ascii="Century Schoolbook" w:hAnsi="Century Schoolbook"/>
        </w:rPr>
        <w:t>). The same set of codes were used for both types of data. Interviewees are anonymised and quoted directly where possible, and individuals mentioned in archival sources are named because such data is publicly accessible. Overall, this combination of sources allows me to tell the BFYA’s story and examine their advocacy as accommodative resistance understood as a particular act of citizenship during a period of authoritarian neoliberalism.</w:t>
      </w:r>
    </w:p>
    <w:p w14:paraId="5D997DC2" w14:textId="77777777" w:rsidR="00DE5968" w:rsidRPr="00662E51" w:rsidRDefault="00DE5968" w:rsidP="009F2B4F">
      <w:pPr>
        <w:pStyle w:val="Newparagraph"/>
        <w:spacing w:line="360" w:lineRule="auto"/>
        <w:jc w:val="both"/>
        <w:rPr>
          <w:rFonts w:ascii="Century Schoolbook" w:hAnsi="Century Schoolbook"/>
        </w:rPr>
      </w:pPr>
    </w:p>
    <w:p w14:paraId="647A68D5" w14:textId="77777777" w:rsidR="00DE5968" w:rsidRPr="00662E51" w:rsidRDefault="00DE5968" w:rsidP="009F2B4F">
      <w:pPr>
        <w:pStyle w:val="Heading2"/>
      </w:pPr>
      <w:bookmarkStart w:id="326" w:name="_Toc216096166"/>
      <w:bookmarkStart w:id="327" w:name="_Toc221184348"/>
      <w:bookmarkStart w:id="328" w:name="_Toc231215266"/>
      <w:r w:rsidRPr="00662E51">
        <w:t>Acts of Citizenship Today; Authoritarian Neoliberalism Yesterday</w:t>
      </w:r>
      <w:bookmarkEnd w:id="326"/>
      <w:bookmarkEnd w:id="327"/>
      <w:bookmarkEnd w:id="328"/>
    </w:p>
    <w:p w14:paraId="1319FC80" w14:textId="43A8D05D" w:rsidR="009F2B4F" w:rsidRPr="00662E51" w:rsidRDefault="009F2B4F" w:rsidP="009F2B4F">
      <w:pPr>
        <w:spacing w:line="360" w:lineRule="auto"/>
        <w:ind w:left="0"/>
        <w:rPr>
          <w:szCs w:val="24"/>
        </w:rPr>
      </w:pPr>
      <w:r w:rsidRPr="00662E51">
        <w:rPr>
          <w:szCs w:val="24"/>
        </w:rPr>
        <w:t xml:space="preserve">Here, I provide a brief </w:t>
      </w:r>
      <w:r w:rsidR="00C6476F" w:rsidRPr="00662E51">
        <w:rPr>
          <w:szCs w:val="24"/>
        </w:rPr>
        <w:t>summary</w:t>
      </w:r>
      <w:r w:rsidRPr="00662E51">
        <w:rPr>
          <w:szCs w:val="24"/>
        </w:rPr>
        <w:t xml:space="preserve"> of the </w:t>
      </w:r>
      <w:r w:rsidR="004F1299" w:rsidRPr="00662E51">
        <w:rPr>
          <w:szCs w:val="24"/>
        </w:rPr>
        <w:t xml:space="preserve">theoretical frameworks </w:t>
      </w:r>
      <w:r w:rsidR="00C42112" w:rsidRPr="00662E51">
        <w:rPr>
          <w:szCs w:val="24"/>
        </w:rPr>
        <w:t>used</w:t>
      </w:r>
      <w:r w:rsidR="00331D3A" w:rsidRPr="00662E51">
        <w:rPr>
          <w:szCs w:val="24"/>
        </w:rPr>
        <w:t xml:space="preserve"> in this chapter.</w:t>
      </w:r>
      <w:r w:rsidR="004F1299" w:rsidRPr="00662E51">
        <w:rPr>
          <w:szCs w:val="24"/>
        </w:rPr>
        <w:t xml:space="preserve"> </w:t>
      </w:r>
      <w:r w:rsidR="00C3766F" w:rsidRPr="00662E51">
        <w:rPr>
          <w:szCs w:val="24"/>
        </w:rPr>
        <w:t xml:space="preserve">In addition to reiterating the core elements of authoritarian neoliberalism and acts of citizenship, I explain how the frameworks map on to the case study at hand. </w:t>
      </w:r>
    </w:p>
    <w:p w14:paraId="62720F12" w14:textId="77777777" w:rsidR="009F2B4F" w:rsidRPr="00662E51" w:rsidRDefault="009F2B4F" w:rsidP="009F2B4F">
      <w:pPr>
        <w:spacing w:line="360" w:lineRule="auto"/>
        <w:rPr>
          <w:szCs w:val="24"/>
        </w:rPr>
      </w:pPr>
    </w:p>
    <w:p w14:paraId="4714A45F" w14:textId="77777777" w:rsidR="00DE5968" w:rsidRPr="00662E51" w:rsidRDefault="00DE5968" w:rsidP="009F2B4F">
      <w:pPr>
        <w:pStyle w:val="Heading3"/>
      </w:pPr>
      <w:bookmarkStart w:id="329" w:name="_Toc221184349"/>
      <w:bookmarkStart w:id="330" w:name="_Toc231215267"/>
      <w:r w:rsidRPr="00662E51">
        <w:t>Citizenship beyond Status:</w:t>
      </w:r>
      <w:bookmarkEnd w:id="329"/>
      <w:bookmarkEnd w:id="330"/>
    </w:p>
    <w:p w14:paraId="60FF960E" w14:textId="18411780" w:rsidR="00DE5968" w:rsidRPr="00662E51" w:rsidRDefault="00DE5968" w:rsidP="00B736E3">
      <w:pPr>
        <w:pStyle w:val="Paragraph"/>
        <w:spacing w:before="0" w:line="360" w:lineRule="auto"/>
        <w:ind w:firstLine="720"/>
        <w:jc w:val="both"/>
        <w:rPr>
          <w:rFonts w:ascii="Century Schoolbook" w:hAnsi="Century Schoolbook"/>
        </w:rPr>
      </w:pPr>
      <w:r w:rsidRPr="00662E51">
        <w:rPr>
          <w:rFonts w:ascii="Century Schoolbook" w:hAnsi="Century Schoolbook"/>
        </w:rPr>
        <w:t xml:space="preserve">Following on from other scholars who looked to push past traditional conceptions of citizenship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{"citationID":"qoMDSY9Q","properties":{"formattedCitation":"(Roy and Neveu 2023)","plainCitation":"(Roy and Neveu 2023)","noteIndex":0},"citationItems":[{"id":6273,"uris":["http://zotero.org/users/8977980/items/DA7DH2T6"],"itemData":{"id":6273,"type":"article-journal","container-title":"Citizenship Studies","DOI":"10.1080/13621025.2023.2171254","ISSN":"1362-1025, 1469-3593","issue":"3","journalAbbreviation":"Citizenship Studies","language":"en","page":"385-405","source":"DOI.org (Crossref)","title":"A philosophy of the theory of “acts of citizenship” woven into the fabric of a political anthropology of citizenship","volume":"27","author":[{"family":"Roy","given":"Martin"},{"family":"Neveu","given":"Catherine"}],"issued":{"date-parts":[["2023",4,3]]}}}],"schema":"https://github.com/citation-style-language/schema/raw/master/csl-citation.json"}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(Roy and Neveu 2023)</w:t>
      </w:r>
      <w:r w:rsidRPr="00662E51">
        <w:rPr>
          <w:rFonts w:ascii="Century Schoolbook" w:hAnsi="Century Schoolbook"/>
        </w:rPr>
        <w:fldChar w:fldCharType="end"/>
      </w:r>
      <w:r w:rsidRPr="00662E51">
        <w:rPr>
          <w:rFonts w:ascii="Century Schoolbook" w:hAnsi="Century Schoolbook"/>
        </w:rPr>
        <w:t xml:space="preserve">, Isin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{"citationID":"hGSZM5AI","properties":{"formattedCitation":"(2008)","plainCitation":"(2008)","noteIndex":0},"citationItems":[{"id":256,"uris":["http://zotero.org/users/8977980/items/ZRWP6PIY"],"itemData":{"id":256,"type":"chapter","abstract":"Politics,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(2008)</w:t>
      </w:r>
      <w:r w:rsidRPr="00662E51">
        <w:rPr>
          <w:rFonts w:ascii="Century Schoolbook" w:hAnsi="Century Schoolbook"/>
        </w:rPr>
        <w:fldChar w:fldCharType="end"/>
      </w:r>
      <w:r w:rsidRPr="00662E51">
        <w:rPr>
          <w:rFonts w:ascii="Century Schoolbook" w:hAnsi="Century Schoolbook"/>
        </w:rPr>
        <w:t xml:space="preserve"> coined the </w:t>
      </w:r>
      <w:r w:rsidR="00293264" w:rsidRPr="00662E51">
        <w:rPr>
          <w:rFonts w:ascii="Century Schoolbook" w:hAnsi="Century Schoolbook"/>
        </w:rPr>
        <w:t>“</w:t>
      </w:r>
      <w:r w:rsidRPr="00662E51">
        <w:rPr>
          <w:rFonts w:ascii="Century Schoolbook" w:hAnsi="Century Schoolbook"/>
        </w:rPr>
        <w:t>acts of citizenship</w:t>
      </w:r>
      <w:r w:rsidR="00293264" w:rsidRPr="00662E51">
        <w:rPr>
          <w:rFonts w:ascii="Century Schoolbook" w:hAnsi="Century Schoolbook"/>
        </w:rPr>
        <w:t xml:space="preserve">” </w:t>
      </w:r>
      <w:r w:rsidRPr="00662E51">
        <w:rPr>
          <w:rFonts w:ascii="Century Schoolbook" w:hAnsi="Century Schoolbook"/>
        </w:rPr>
        <w:t xml:space="preserve">theory, which has been to effectively theorise a range of </w:t>
      </w:r>
      <w:r w:rsidRPr="00662E51">
        <w:rPr>
          <w:rFonts w:ascii="Century Schoolbook" w:hAnsi="Century Schoolbook"/>
          <w:i/>
          <w:iCs/>
        </w:rPr>
        <w:t>actions</w:t>
      </w:r>
      <w:r w:rsidRPr="00662E51">
        <w:rPr>
          <w:rFonts w:ascii="Century Schoolbook" w:hAnsi="Century Schoolbook"/>
        </w:rPr>
        <w:t xml:space="preserve"> rather than </w:t>
      </w:r>
      <w:r w:rsidRPr="00662E51">
        <w:rPr>
          <w:rFonts w:ascii="Century Schoolbook" w:hAnsi="Century Schoolbook"/>
          <w:i/>
          <w:iCs/>
        </w:rPr>
        <w:t>statuses</w:t>
      </w:r>
      <w:r w:rsidR="00FE176D">
        <w:rPr>
          <w:rFonts w:ascii="Century Schoolbook" w:hAnsi="Century Schoolbook"/>
        </w:rPr>
        <w:t>.</w:t>
      </w:r>
      <w:r w:rsidR="00CE737F">
        <w:rPr>
          <w:rFonts w:ascii="Century Schoolbook" w:hAnsi="Century Schoolbook"/>
        </w:rPr>
        <w:t xml:space="preserve"> Actions for instance include</w:t>
      </w:r>
      <w:r w:rsidRPr="00662E51">
        <w:rPr>
          <w:rFonts w:ascii="Century Schoolbook" w:hAnsi="Century Schoolbook"/>
        </w:rPr>
        <w:t xml:space="preserve"> protests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{"citationID":"0b3d50PW","properties":{"formattedCitation":"(Barbero 2012)","plainCitation":"(Barbero 2012)","noteIndex":0},"citationItems":[{"id":3274,"uris":["http://zotero.org/users/8977980/items/U7NNX2E6"],"itemData":{"id":3274,"type":"article-journal","abstract":"This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(Barbero 2012)</w:t>
      </w:r>
      <w:r w:rsidRPr="00662E51">
        <w:rPr>
          <w:rFonts w:ascii="Century Schoolbook" w:hAnsi="Century Schoolbook"/>
        </w:rPr>
        <w:fldChar w:fldCharType="end"/>
      </w:r>
      <w:r w:rsidRPr="00662E51">
        <w:rPr>
          <w:rFonts w:ascii="Century Schoolbook" w:hAnsi="Century Schoolbook"/>
        </w:rPr>
        <w:t xml:space="preserve"> and resistance to housing displacement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{"citationID":"6YQ2hJ5Z","properties":{"formattedCitation":"(Bernhardt and Schwiertz 2025; Jacobson 2022)","plainCitation":"(Bernhardt and Schwiertz 2025; Jacobson 2022)","noteIndex":0},"citationItems":[{"id":7057,"uris":["http://zotero.org/users/8977980/items/BH4T2EDX"],"itemData":{"id":7057,"type":"article-journal","abstract":"This paper examines how tenants in Denmark collectively enact their rights and challenge the neoliberal discourse that frames housing as an issue of personal responsibility. We show how these resid...","archive_location":"world","container-title":"Citizenship Studies","ISSN":"1362-1025","language":"EN","license":"© 2025 The Author(s). Published by Informa UK Limited, trading as Taylor &amp; Francis Group.","publisher":"Routledge","source":"www.tandfonline.com","title":"Enacting tenant citizenship and struggles for the right to home: linking activist, active and community citizenship","title-short":"Enacting tenant citizenship and struggles for the right to home","URL":"https://www.tandfonline.com/doi/abs/10.1080/13621025.2025.2470742","author":[{"family":"Bernhardt","given":"Franz"},{"family":"Schwiertz","given":"Helge"}],"accessed":{"date-parts":[["2025",10,20]]},"issued":{"date-parts":[["2025",2,17]]}}},{"id":2614,"uris":["http://zotero.org/users/8977980/items/4SUAA6HS"],"itemData":{"id":2614,"type":"article-journal","abstract":"This article examines an overlooked group of participants within 1970s housing occupation movements in Western Europe – migrants. More specifically, I analyse Italian migrants’ participation in housing occupations in the city of Frankfurt am Main, West Germany, from 1970–3. By engaging in visible protest, Italian migrant occupiers performed ‘acts of urban citizenship’ that ruptured understandings of localised citizenship and belonging. This case study thus illuminates two interrelated historic phenomena: (1) how social rights became de-territorialised and attached to the individual rather than the nation-state; and (2) how the city became a crucial site of citizenship formation, even across national borders.","container-title":"Contemporary European History","DOI":"10.1017/S0960777322000662","ISSN":"0960-7773, 1469-2171","journalAbbreviation":"Contemporary European History","language":"en","page":"1-17","source":"DOI.org (Crossref)","title":"Redefining Urban Citizenship: Italian Migrants and Housing Occupations in 1970s Frankfurt am Main","title-short":"Redefining Urban Citizenship","author":[{"family":"Jacobson","given":"Sarah"}],"issued":{"date-parts":[["2022",10,20]]}}}],"schema":"https://github.com/citation-style-language/schema/raw/master/csl-citation.json"}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(Bernhardt and Schwiertz 2025; Jacobson 2022)</w:t>
      </w:r>
      <w:r w:rsidRPr="00662E51">
        <w:rPr>
          <w:rFonts w:ascii="Century Schoolbook" w:hAnsi="Century Schoolbook"/>
        </w:rPr>
        <w:fldChar w:fldCharType="end"/>
      </w:r>
      <w:r w:rsidRPr="00662E51">
        <w:rPr>
          <w:rFonts w:ascii="Century Schoolbook" w:hAnsi="Century Schoolbook"/>
        </w:rPr>
        <w:t>, among others. Understood as decisive actions that suddenly transform subjects (or actors) into citizens through a break in the status quo, acts of citizenship are different from practices or habitus. Indeed, they expand notions of citizenship by treating it as a process rather than a status bestowed on subjects.</w:t>
      </w:r>
      <w:r w:rsidR="001C5E51" w:rsidRPr="00662E51">
        <w:rPr>
          <w:rFonts w:ascii="Century Schoolbook" w:hAnsi="Century Schoolbook"/>
        </w:rPr>
        <w:t xml:space="preserve"> The </w:t>
      </w:r>
      <w:r w:rsidRPr="00662E51">
        <w:rPr>
          <w:rFonts w:ascii="Century Schoolbook" w:hAnsi="Century Schoolbook"/>
        </w:rPr>
        <w:t xml:space="preserve">literature </w:t>
      </w:r>
      <w:r w:rsidR="001C5E51" w:rsidRPr="00662E51">
        <w:rPr>
          <w:rFonts w:ascii="Century Schoolbook" w:hAnsi="Century Schoolbook"/>
        </w:rPr>
        <w:t xml:space="preserve">on acts of citizenship typically </w:t>
      </w:r>
      <w:r w:rsidRPr="00662E51">
        <w:rPr>
          <w:rFonts w:ascii="Century Schoolbook" w:hAnsi="Century Schoolbook"/>
        </w:rPr>
        <w:t xml:space="preserve">portrays acts of citizenship as acts of oppositional or collective struggle, through which actors </w:t>
      </w:r>
      <w:r w:rsidR="00610124" w:rsidRPr="00662E51">
        <w:rPr>
          <w:rFonts w:ascii="Century Schoolbook" w:hAnsi="Century Schoolbook"/>
        </w:rPr>
        <w:t xml:space="preserve">become answerable subjects. </w:t>
      </w:r>
      <w:r w:rsidRPr="00662E51">
        <w:rPr>
          <w:rFonts w:ascii="Century Schoolbook" w:hAnsi="Century Schoolbook"/>
        </w:rPr>
        <w:t xml:space="preserve">Yet, Darling </w:t>
      </w:r>
      <w:r w:rsidRPr="00662E51">
        <w:rPr>
          <w:rFonts w:ascii="Century Schoolbook" w:hAnsi="Century Schoolbook"/>
        </w:rPr>
        <w:fldChar w:fldCharType="begin"/>
      </w:r>
      <w:r w:rsidR="005E72FD" w:rsidRPr="00662E51">
        <w:rPr>
          <w:rFonts w:ascii="Century Schoolbook" w:hAnsi="Century Schoolbook"/>
        </w:rPr>
        <w:instrText xml:space="preserve"> ADDIN ZOTERO_ITEM CSL_CITATION {"citationID":"C1OaAJOl","properties":{"formattedCitation":"(2014, 74)","plainCitation":"(2014, 74)","noteIndex":0},"citationItems":[{"id":3275,"uris":["http://zotero.org/users/8977980/items/ERTQGRHZ"],"itemData":{"id":3275,"type":"article-journal","abstract":"This paper explores the ways in which practices of asylum governance serve to depoliticise those seeking asylum in the UK. In critiquing claims over the “post-political” nature of contemporary governance, the paper proposes a focus upon situated practices of depoliticisation which displace those seeking asylum through the production of specific sites of accommodation and specific discourses of risk, security and moralised concern. The paper questions the tendency within “post-political” thought to strip the potential of modes of informal citizenship through arguing that minor acts of resistance are ineffectual and illusory. In response, the paper explores irregular migrant's “acts of citizenship”, and suggests that such prosaic acts can be powerful forms of political interruption through which new ways of seeing asylum are constructed. The paper concludes by suggesting that an incremental politics orientated around such acts of interruption is essential to challenge the material, affective and discursive closures of asylum domopolitics.","container-title":"Antipode","DOI":"10.1111/anti.12026","ISSN":"1467-8330","issue":"1","language":"en","note":"_eprint: https://onlinelibrary.wiley.com/doi/pdf/10.1111/anti.12026","page":"72-91","source":"Wiley Online Library","title":"Asylum and the Post-Political: Domopolitics, Depoliticisation and Acts of Citizenship","title-short":"Asylum and the Post-Political","volume":"46","author":[{"family":"Darling","given":"Jonathan"}],"issued":{"date-parts":[["2014"]]}},"locator":"74","label":"page","suppress-author":true}],"schema":"https://github.com/citation-style-language/schema/raw/master/csl-citation.json"}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(2014, 74)</w:t>
      </w:r>
      <w:r w:rsidRPr="00662E51">
        <w:rPr>
          <w:rFonts w:ascii="Century Schoolbook" w:hAnsi="Century Schoolbook"/>
        </w:rPr>
        <w:fldChar w:fldCharType="end"/>
      </w:r>
      <w:r w:rsidRPr="00662E51">
        <w:rPr>
          <w:rFonts w:ascii="Century Schoolbook" w:hAnsi="Century Schoolbook"/>
        </w:rPr>
        <w:t xml:space="preserve"> draws attention to </w:t>
      </w:r>
      <w:r w:rsidR="00293264" w:rsidRPr="00662E51">
        <w:rPr>
          <w:rFonts w:ascii="Century Schoolbook" w:hAnsi="Century Schoolbook"/>
        </w:rPr>
        <w:t>“</w:t>
      </w:r>
      <w:r w:rsidRPr="00662E51">
        <w:rPr>
          <w:rFonts w:ascii="Century Schoolbook" w:hAnsi="Century Schoolbook"/>
        </w:rPr>
        <w:t>less striking</w:t>
      </w:r>
      <w:r w:rsidR="00293264" w:rsidRPr="00662E51">
        <w:rPr>
          <w:rFonts w:ascii="Century Schoolbook" w:hAnsi="Century Schoolbook"/>
        </w:rPr>
        <w:t xml:space="preserve">” </w:t>
      </w:r>
      <w:r w:rsidRPr="00662E51">
        <w:rPr>
          <w:rFonts w:ascii="Century Schoolbook" w:hAnsi="Century Schoolbook"/>
        </w:rPr>
        <w:t xml:space="preserve">methods of extracting change as to understand how activism </w:t>
      </w:r>
      <w:r w:rsidR="00293264" w:rsidRPr="00662E51">
        <w:rPr>
          <w:rFonts w:ascii="Century Schoolbook" w:hAnsi="Century Schoolbook"/>
        </w:rPr>
        <w:t>“</w:t>
      </w:r>
      <w:r w:rsidRPr="00662E51">
        <w:rPr>
          <w:rFonts w:ascii="Century Schoolbook" w:hAnsi="Century Schoolbook"/>
        </w:rPr>
        <w:t>might be explored without recourse to a revolutionary framing.</w:t>
      </w:r>
      <w:r w:rsidR="00293264" w:rsidRPr="00662E51">
        <w:rPr>
          <w:rFonts w:ascii="Century Schoolbook" w:hAnsi="Century Schoolbook"/>
        </w:rPr>
        <w:t>”</w:t>
      </w:r>
      <w:r w:rsidRPr="00662E51">
        <w:rPr>
          <w:rFonts w:ascii="Century Schoolbook" w:hAnsi="Century Schoolbook"/>
        </w:rPr>
        <w:t xml:space="preserve"> In this vein, in a work on China, Jakimów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{"citationID":"YJsUeN9J","properties":{"formattedCitation":"(2022, 510)","plainCitation":"(2022, 510)","noteIndex":0},"citationItems":[{"id":5118,"uris":["http://zotero.org/users/8977980/items/WQR8VRAH"],"itemData":{"id":5118,"type":"article-journal","abstract":"The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contexts","volume":"26","author":[{"family":"Jakimów","given":"Małgorzata"}],"issued":{"date-parts":[["2022",7,4]]}},"locator":"510","label":"page","suppress-author":true}],"schema":"https://github.com/citation-style-language/schema/raw/master/csl-citation.json"}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(2022, 510)</w:t>
      </w:r>
      <w:r w:rsidRPr="00662E51">
        <w:rPr>
          <w:rFonts w:ascii="Century Schoolbook" w:hAnsi="Century Schoolbook"/>
        </w:rPr>
        <w:fldChar w:fldCharType="end"/>
      </w:r>
      <w:r w:rsidRPr="00662E51">
        <w:rPr>
          <w:rFonts w:ascii="Century Schoolbook" w:hAnsi="Century Schoolbook"/>
        </w:rPr>
        <w:t xml:space="preserve"> notes that current </w:t>
      </w:r>
      <w:r w:rsidRPr="00662E51">
        <w:rPr>
          <w:rFonts w:ascii="Century Schoolbook" w:hAnsi="Century Schoolbook"/>
        </w:rPr>
        <w:lastRenderedPageBreak/>
        <w:t xml:space="preserve">thinking on acts is constrained by an emphasis on the oppositional. Notably, this emphasis is not an intrinsic characteristic of acts but rather stems from </w:t>
      </w:r>
      <w:r w:rsidR="00293264" w:rsidRPr="00662E51">
        <w:rPr>
          <w:rFonts w:ascii="Century Schoolbook" w:hAnsi="Century Schoolbook"/>
        </w:rPr>
        <w:t>“‘</w:t>
      </w:r>
      <w:r w:rsidRPr="00662E51">
        <w:rPr>
          <w:rFonts w:ascii="Century Schoolbook" w:hAnsi="Century Schoolbook"/>
        </w:rPr>
        <w:t>heroistic</w:t>
      </w:r>
      <w:r w:rsidR="00293264" w:rsidRPr="00662E51">
        <w:rPr>
          <w:rFonts w:ascii="Century Schoolbook" w:hAnsi="Century Schoolbook"/>
        </w:rPr>
        <w:t xml:space="preserve">’ </w:t>
      </w:r>
      <w:r w:rsidRPr="00662E51">
        <w:rPr>
          <w:rFonts w:ascii="Century Schoolbook" w:hAnsi="Century Schoolbook"/>
        </w:rPr>
        <w:t>reading[s]</w:t>
      </w:r>
      <w:r w:rsidR="00293264" w:rsidRPr="00662E51">
        <w:rPr>
          <w:rFonts w:ascii="Century Schoolbook" w:hAnsi="Century Schoolbook"/>
        </w:rPr>
        <w:t>”</w:t>
      </w:r>
      <w:r w:rsidRPr="00662E51">
        <w:rPr>
          <w:rFonts w:ascii="Century Schoolbook" w:hAnsi="Century Schoolbook"/>
        </w:rPr>
        <w:t xml:space="preserve"> of Isin’s theory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{"citationID":"truKZdZU","properties":{"formattedCitation":"(Roy and Neveu 2023, 394)","plainCitation":"(Roy and Neveu 2023, 394)","noteIndex":0},"citationItems":[{"id":6273,"uris":["http://zotero.org/users/8977980/items/DA7DH2T6"],"itemData":{"id":6273,"type":"article-journal","container-title":"Citizenship Studies","DOI":"10.1080/13621025.2023.2171254","ISSN":"1362-1025, 1469-3593","issue":"3","journalAbbreviation":"Citizenship Studies","language":"en","page":"385-405","source":"DOI.org (Crossref)","title":"A philosophy of the theory of “acts of citizenship” woven into the fabric of a political anthropology of citizenship","volume":"27","author":[{"family":"Roy","given":"Martin"},{"family":"Neveu","given":"Catherine"}],"issued":{"date-parts":[["2023",4,3]]}},"locator":"394","label":"page"}],"schema":"https://github.com/citation-style-language/schema/raw/master/csl-citation.json"}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(Roy and Neveu 2023, 394)</w:t>
      </w:r>
      <w:r w:rsidRPr="00662E51">
        <w:rPr>
          <w:rFonts w:ascii="Century Schoolbook" w:hAnsi="Century Schoolbook"/>
        </w:rPr>
        <w:fldChar w:fldCharType="end"/>
      </w:r>
      <w:r w:rsidRPr="00662E51">
        <w:rPr>
          <w:rFonts w:ascii="Century Schoolbook" w:hAnsi="Century Schoolbook"/>
        </w:rPr>
        <w:t xml:space="preserve">. In line with other feminist perspectives on underappreciated forms of activism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{"citationID":"wNNXXUjV","properties":{"formattedCitation":"(D. G. Martin et al. 2007; Pottinger 2017; Wilkinson and Ortega-Alc\\uc0\\u225{}zar 2019)","plainCitation":"(D. G. Martin et al. 2007; Pottinger 2017; Wilkinson and Ortega-Alcázar 2019)","noteIndex":0},"citationItems":[{"id":5833,"uris":["http://zotero.org/users/8977980/items/72L3TA9R"],"itemData":{"id":5833,"type":"article-journal","container-title":"Women's Studies Quarterly","ISSN":"0732-1562","issue":"3/4","page":"78-94","publisher":"The Feminist Press at the City University of New York","source":"JSTOR","title":"What Counts as Activism?: The Role of Individuals in Creating Change","title-short":"What Counts as Activism?","volume":"35","author":[{"family":"Martin","given":"Deborah G."},{"family":"Hanson","given":"Susan"},{"family":"Fontaine","given":"Danielle"}],"issued":{"date-parts":[["2007"]]}}},{"id":7051,"uris":["http://zotero.org/users/8977980/items/GZZVXTGN"],"itemData":{"id":7051,"type":"article-journal","abstract":"While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activism","volume":"49","author":[{"family":"Pottinger","given":"Laura"}],"issued":{"date-parts":[["2017"]]}}},{"id":5078,"uris":["http://zotero.org/users/8977980/items/EV5QXRJZ"],"itemData":{"id":5078,"type":"article-journal","abstract":"This paper seeks to advance understandings of austerity's everyday affects by examining how neoliberal welfare retrenchment is lived, experienced and resisted. Drawing on interviews with young people in housing need, we demonstrate the ways in which day-to-day coping with welfare reform can lead to a state of fatigue, a gradual slow wearing-out that comes with having to endure everyday hardship. Such weariness, we argue, is an integral part of understanding the everyday impacts of austerity. Yet despite the apparent centrality of weariness to issues such as precarity and poverty, there has not yet been sustained discussion into the idea of weariness itself. A common conceptualisation positions weariness as the antithesis of political action, where individuals are slowly worn down until they no longer have the strength or capacity to resist. However, this paper offers a more reparative reading of weariness, one which does not narrowly conceptualise weariness as simply a closing down. Instead we question whether weariness should necessarily always be equated with inaction. The paper focuses on forms of suffering and violence that are felt as a kind of steady on-going form of endurance, rather than as a sudden eruption. We foreground affective moments that are neither passionate nor intense, but instead listless and still, generating feelings of inertia, flatness, impasse. The paper concludes with some reflections on what we term “the right to be weary,” examining how weariness could be understood as a potential retreat from the relentless drive to move forwards, a form of passive dissent.","container-title":"Transactions of the Institute of British Geographers","DOI":"10.1111/tran.12266","ISSN":"1475-5661","issue":"1","language":"en","license":"The information, practices and views in this article are those of the author(s) and do not necessarily reflect the opinion of the Royal Geographical Society (with IBG). © 2018 The Authors. Transactions of the Institute of British Geographers published by John Wiley &amp; Sons Ltd on behalf of Royal Geographical Society (with the Institute of British Geographers).","note":"_eprint: https://onlinelibrary.wiley.com/doi/pdf/10.1111/tran.12266","page":"155-167","source":"Wiley Online Library","title":"The right to be weary? Endurance and exhaustion in austere times","title-short":"The right to be weary?","volume":"44","author":[{"family":"Wilkinson","given":"Eleanor"},{"family":"Ortega-Alcázar","given":"Iliana"}],"issued":{"date-parts":[["2019"]]}}}],"schema":"https://github.com/citation-style-language/schema/raw/master/csl-citation.json"}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(D. G. Martin et al. 2007; Pottinger 2017; Wilkinson and Ortega-Alcázar 2019)</w:t>
      </w:r>
      <w:r w:rsidRPr="00662E51">
        <w:rPr>
          <w:rFonts w:ascii="Century Schoolbook" w:hAnsi="Century Schoolbook"/>
        </w:rPr>
        <w:fldChar w:fldCharType="end"/>
      </w:r>
      <w:r w:rsidRPr="00662E51">
        <w:rPr>
          <w:rFonts w:ascii="Century Schoolbook" w:hAnsi="Century Schoolbook"/>
        </w:rPr>
        <w:t xml:space="preserve">, Jakimów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{"citationID":"vG8bXcNA","properties":{"formattedCitation":"(2022, 510)","plainCitation":"(2022, 510)","noteIndex":0},"citationItems":[{"id":5118,"uris":["http://zotero.org/users/8977980/items/WQR8VRAH"],"itemData":{"id":5118,"type":"article-journal","abstract":"The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contexts","volume":"26","author":[{"family":"Jakimów","given":"Małgorzata"}],"issued":{"date-parts":[["2022",7,4]]}},"locator":"510","label":"page","suppress-author":true}],"schema":"https://github.com/citation-style-language/schema/raw/master/csl-citation.json"}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(2022, 510)</w:t>
      </w:r>
      <w:r w:rsidRPr="00662E51">
        <w:rPr>
          <w:rFonts w:ascii="Century Schoolbook" w:hAnsi="Century Schoolbook"/>
        </w:rPr>
        <w:fldChar w:fldCharType="end"/>
      </w:r>
      <w:r w:rsidRPr="00662E51">
        <w:rPr>
          <w:rFonts w:ascii="Century Schoolbook" w:hAnsi="Century Schoolbook"/>
        </w:rPr>
        <w:t xml:space="preserve"> argues that the theory should be expanded to include acts that are </w:t>
      </w:r>
      <w:r w:rsidR="00293264" w:rsidRPr="00662E51">
        <w:rPr>
          <w:rFonts w:ascii="Century Schoolbook" w:hAnsi="Century Schoolbook"/>
        </w:rPr>
        <w:t>“</w:t>
      </w:r>
      <w:r w:rsidRPr="00662E51">
        <w:rPr>
          <w:rFonts w:ascii="Century Schoolbook" w:hAnsi="Century Schoolbook"/>
        </w:rPr>
        <w:t>accommodative towards the authority.</w:t>
      </w:r>
      <w:r w:rsidR="00293264" w:rsidRPr="00662E51">
        <w:rPr>
          <w:rFonts w:ascii="Century Schoolbook" w:hAnsi="Century Schoolbook"/>
        </w:rPr>
        <w:t>”</w:t>
      </w:r>
      <w:r w:rsidRPr="00662E51">
        <w:rPr>
          <w:rFonts w:ascii="Century Schoolbook" w:hAnsi="Century Schoolbook"/>
        </w:rPr>
        <w:t xml:space="preserve"> Accommodation is not co-option by the powerful; rather, it is a covert </w:t>
      </w:r>
      <w:r w:rsidR="00293264" w:rsidRPr="00662E51">
        <w:rPr>
          <w:rFonts w:ascii="Century Schoolbook" w:hAnsi="Century Schoolbook"/>
        </w:rPr>
        <w:t>“</w:t>
      </w:r>
      <w:r w:rsidRPr="00662E51">
        <w:rPr>
          <w:rFonts w:ascii="Century Schoolbook" w:hAnsi="Century Schoolbook"/>
        </w:rPr>
        <w:t>utilisation of the state- or market-defined language and channels</w:t>
      </w:r>
      <w:r w:rsidR="00293264" w:rsidRPr="00662E51">
        <w:rPr>
          <w:rFonts w:ascii="Century Schoolbook" w:hAnsi="Century Schoolbook"/>
        </w:rPr>
        <w:t>”</w:t>
      </w:r>
      <w:r w:rsidRPr="00662E51">
        <w:rPr>
          <w:rFonts w:ascii="Century Schoolbook" w:hAnsi="Century Schoolbook"/>
        </w:rPr>
        <w:t xml:space="preserve"> that enables defiance, which often takes the form of cooperating with, or filling in for, the state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{"citationID":"SpKrP92o","properties":{"formattedCitation":"(Jakim\\uc0\\u243{}w 2017, 916)","plainCitation":"(Jakimów 2017, 916)","noteIndex":0},"citationItems":[{"id":5120,"uris":["http://zotero.org/users/8977980/items/LAMKT3ES"],"itemData":{"id":5120,"type":"article-journal","abstract":"Based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Accommodation","volume":"26","author":[{"family":"Jakimów","given":"Małgorzata"}],"issued":{"date-parts":[["2017",11,2]]}},"locator":"916","label":"page"}],"schema":"https://github.com/citation-style-language/schema/raw/master/csl-citation.json"}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(Jakimów 2017, 916)</w:t>
      </w:r>
      <w:r w:rsidRPr="00662E51">
        <w:rPr>
          <w:rFonts w:ascii="Century Schoolbook" w:hAnsi="Century Schoolbook"/>
        </w:rPr>
        <w:fldChar w:fldCharType="end"/>
      </w:r>
      <w:r w:rsidRPr="00662E51">
        <w:rPr>
          <w:rFonts w:ascii="Century Schoolbook" w:hAnsi="Century Schoolbook"/>
        </w:rPr>
        <w:t xml:space="preserve">. In this setting, accommodation is necessary because confrontational acts risk significant penalties. Jakimów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{"citationID":"39Ma5JWA","properties":{"formattedCitation":"(2022, 509)","plainCitation":"(2022, 509)","noteIndex":0},"citationItems":[{"id":5118,"uris":["http://zotero.org/users/8977980/items/WQR8VRAH"],"itemData":{"id":5118,"type":"article-journal","abstract":"The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contexts","volume":"26","author":[{"family":"Jakimów","given":"Małgorzata"}],"issued":{"date-parts":[["2022",7,4]]}},"locator":"509","label":"page","suppress-author":true}],"schema":"https://github.com/citation-style-language/schema/raw/master/csl-citation.json"}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(2022, 509)</w:t>
      </w:r>
      <w:r w:rsidRPr="00662E51">
        <w:rPr>
          <w:rFonts w:ascii="Century Schoolbook" w:hAnsi="Century Schoolbook"/>
        </w:rPr>
        <w:fldChar w:fldCharType="end"/>
      </w:r>
      <w:r w:rsidRPr="00662E51">
        <w:rPr>
          <w:rFonts w:ascii="Century Schoolbook" w:hAnsi="Century Schoolbook"/>
        </w:rPr>
        <w:t xml:space="preserve"> considers acts that </w:t>
      </w:r>
      <w:r w:rsidR="00293264" w:rsidRPr="00662E51">
        <w:rPr>
          <w:rFonts w:ascii="Century Schoolbook" w:hAnsi="Century Schoolbook"/>
        </w:rPr>
        <w:t>“</w:t>
      </w:r>
      <w:r w:rsidRPr="00662E51">
        <w:rPr>
          <w:rFonts w:ascii="Century Schoolbook" w:hAnsi="Century Schoolbook"/>
        </w:rPr>
        <w:t>work with [existing] actors and systems to exert long-term change,</w:t>
      </w:r>
      <w:r w:rsidR="00293264" w:rsidRPr="00662E51">
        <w:rPr>
          <w:rFonts w:ascii="Century Schoolbook" w:hAnsi="Century Schoolbook"/>
        </w:rPr>
        <w:t>”</w:t>
      </w:r>
      <w:r w:rsidRPr="00662E51">
        <w:rPr>
          <w:rFonts w:ascii="Century Schoolbook" w:hAnsi="Century Schoolbook"/>
        </w:rPr>
        <w:t xml:space="preserve"> termed as </w:t>
      </w:r>
      <w:r w:rsidR="00293264" w:rsidRPr="00662E51">
        <w:rPr>
          <w:rFonts w:ascii="Century Schoolbook" w:hAnsi="Century Schoolbook"/>
        </w:rPr>
        <w:t>“</w:t>
      </w:r>
      <w:r w:rsidRPr="00662E51">
        <w:rPr>
          <w:rFonts w:ascii="Century Schoolbook" w:hAnsi="Century Schoolbook"/>
        </w:rPr>
        <w:t>resistance through accommodation.</w:t>
      </w:r>
      <w:r w:rsidR="00293264" w:rsidRPr="00662E51">
        <w:rPr>
          <w:rFonts w:ascii="Century Schoolbook" w:hAnsi="Century Schoolbook"/>
        </w:rPr>
        <w:t>”</w:t>
      </w:r>
      <w:r w:rsidRPr="00662E51">
        <w:rPr>
          <w:rFonts w:ascii="Century Schoolbook" w:hAnsi="Century Schoolbook"/>
        </w:rPr>
        <w:t xml:space="preserve"> Jakimów </w:t>
      </w:r>
      <w:r w:rsidRPr="00662E51">
        <w:rPr>
          <w:rFonts w:ascii="Century Schoolbook" w:hAnsi="Century Schoolbook"/>
        </w:rPr>
        <w:fldChar w:fldCharType="begin"/>
      </w:r>
      <w:r w:rsidR="00F15CF8">
        <w:rPr>
          <w:rFonts w:ascii="Century Schoolbook" w:hAnsi="Century Schoolbook"/>
        </w:rPr>
        <w:instrText xml:space="preserve"> ADDIN ZOTERO_ITEM CSL_CITATION {"citationID":"qkXoheyf","properties":{"formattedCitation":"(2017, 2022)","plainCitation":"(2017, 2022)","noteIndex":0},"citationItems":[{"id":5120,"uris":["http://zotero.org/users/8977980/items/LAMKT3ES"],"itemData":{"id":5120,"type":"article-journal","abstract":"Based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label":"page","suppress-author":true},{"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contexts","volume":"26","author":[{"family":"Jakimów","given":"Małgorzata"}],"issued":{"date-parts":[["2022",7,4]]}},"label":"page","suppress-author":true}],"schema":"https://github.com/citation-style-language/schema/raw/master/csl-citation.json"} </w:instrText>
      </w:r>
      <w:r w:rsidRPr="00662E51">
        <w:rPr>
          <w:rFonts w:ascii="Century Schoolbook" w:hAnsi="Century Schoolbook"/>
        </w:rPr>
        <w:fldChar w:fldCharType="separate"/>
      </w:r>
      <w:r w:rsidR="00F15CF8" w:rsidRPr="00F15CF8">
        <w:rPr>
          <w:rFonts w:ascii="Century Schoolbook" w:hAnsi="Century Schoolbook"/>
        </w:rPr>
        <w:t>(2017, 2022)</w:t>
      </w:r>
      <w:r w:rsidRPr="00662E51">
        <w:rPr>
          <w:rFonts w:ascii="Century Schoolbook" w:hAnsi="Century Schoolbook"/>
        </w:rPr>
        <w:fldChar w:fldCharType="end"/>
      </w:r>
      <w:r w:rsidRPr="00662E51">
        <w:rPr>
          <w:rFonts w:ascii="Century Schoolbook" w:hAnsi="Century Schoolbook"/>
        </w:rPr>
        <w:t xml:space="preserve"> identifies one illustration that exploits existing laws: activists educating migrant labourers and also representing them in court. Thus, </w:t>
      </w:r>
      <w:r w:rsidR="00293264" w:rsidRPr="00662E51">
        <w:rPr>
          <w:rFonts w:ascii="Century Schoolbook" w:hAnsi="Century Schoolbook"/>
        </w:rPr>
        <w:t>“</w:t>
      </w:r>
      <w:r w:rsidRPr="00662E51">
        <w:rPr>
          <w:rFonts w:ascii="Century Schoolbook" w:hAnsi="Century Schoolbook"/>
        </w:rPr>
        <w:t>state-designated channels such as law or state language can become sites of citizenship contestation,</w:t>
      </w:r>
      <w:r w:rsidR="00293264" w:rsidRPr="00662E51">
        <w:rPr>
          <w:rFonts w:ascii="Century Schoolbook" w:hAnsi="Century Schoolbook"/>
        </w:rPr>
        <w:t>”</w:t>
      </w:r>
      <w:r w:rsidRPr="00662E51">
        <w:rPr>
          <w:rFonts w:ascii="Century Schoolbook" w:hAnsi="Century Schoolbook"/>
        </w:rPr>
        <w:t xml:space="preserve"> even when outright dissent is prohibited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{"citationID":"pDqrKTvg","properties":{"formattedCitation":"(Jakim\\uc0\\u243{}w 2017, 929)","plainCitation":"(Jakimów 2017, 929)","noteIndex":0},"citationItems":[{"id":5120,"uris":["http://zotero.org/users/8977980/items/LAMKT3ES"],"itemData":{"id":5120,"type":"article-journal","abstract":"Based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Accommodation","volume":"26","author":[{"family":"Jakimów","given":"Małgorzata"}],"issued":{"date-parts":[["2017",11,2]]}},"locator":"929"}],"schema":"https://github.com/citation-style-language/schema/raw/master/csl-citation.json"}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(Jakimów 2017, 929)</w:t>
      </w:r>
      <w:r w:rsidRPr="00662E51">
        <w:rPr>
          <w:rFonts w:ascii="Century Schoolbook" w:hAnsi="Century Schoolbook"/>
        </w:rPr>
        <w:fldChar w:fldCharType="end"/>
      </w:r>
      <w:r w:rsidRPr="00662E51">
        <w:rPr>
          <w:rFonts w:ascii="Century Schoolbook" w:hAnsi="Century Schoolbook"/>
        </w:rPr>
        <w:t xml:space="preserve">. Though a helpful frame for understanding undertheorised forms of activism, the accommodative approach has only been applied to overtly authoritarian regimes. This work thus utilises the concept of authoritarian neoliberalism to argue for placing citizenship acts in regimes that appear to be democratic but are in fact illiberal at their core. </w:t>
      </w:r>
    </w:p>
    <w:p w14:paraId="482C8C80" w14:textId="77777777" w:rsidR="00DE5968" w:rsidRPr="00662E51" w:rsidRDefault="00DE5968" w:rsidP="00F56305">
      <w:pPr>
        <w:pStyle w:val="Newparagraph"/>
        <w:spacing w:line="360" w:lineRule="auto"/>
        <w:jc w:val="both"/>
        <w:rPr>
          <w:rFonts w:ascii="Century Schoolbook" w:hAnsi="Century Schoolbook"/>
        </w:rPr>
      </w:pPr>
    </w:p>
    <w:p w14:paraId="7016D62D" w14:textId="77777777" w:rsidR="00DE5968" w:rsidRPr="00662E51" w:rsidRDefault="00DE5968" w:rsidP="00F56305">
      <w:pPr>
        <w:pStyle w:val="Heading3"/>
      </w:pPr>
      <w:bookmarkStart w:id="331" w:name="_Toc221184350"/>
      <w:bookmarkStart w:id="332" w:name="_Toc231215268"/>
      <w:r w:rsidRPr="00662E51">
        <w:t>Authoritarian Neoliberalism:</w:t>
      </w:r>
      <w:bookmarkEnd w:id="331"/>
      <w:bookmarkEnd w:id="332"/>
    </w:p>
    <w:p w14:paraId="372367B9" w14:textId="792809B6" w:rsidR="00DE5968" w:rsidRPr="00662E51" w:rsidRDefault="00DE5968" w:rsidP="00F56305">
      <w:pPr>
        <w:pStyle w:val="Newparagraph"/>
        <w:spacing w:line="360" w:lineRule="auto"/>
        <w:jc w:val="both"/>
        <w:rPr>
          <w:rFonts w:ascii="Century Schoolbook" w:hAnsi="Century Schoolbook"/>
        </w:rPr>
      </w:pPr>
      <w:r w:rsidRPr="00662E51">
        <w:rPr>
          <w:rFonts w:ascii="Century Schoolbook" w:hAnsi="Century Schoolbook"/>
        </w:rPr>
        <w:t xml:space="preserve">Bruff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{"citationID":"8r55RASd","properties":{"formattedCitation":"(2014)","plainCitation":"(2014)","noteIndex":0},"citationItems":[{"id":5773,"uris":["http://zotero.org/users/8977980/items/YQRZXUST"],"itemData":{"id":5773,"type":"article-journal","container-title":"Rethinking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(2014)</w:t>
      </w:r>
      <w:r w:rsidRPr="00662E51">
        <w:rPr>
          <w:rFonts w:ascii="Century Schoolbook" w:hAnsi="Century Schoolbook"/>
        </w:rPr>
        <w:fldChar w:fldCharType="end"/>
      </w:r>
      <w:r w:rsidRPr="00662E51">
        <w:rPr>
          <w:rFonts w:ascii="Century Schoolbook" w:hAnsi="Century Schoolbook"/>
        </w:rPr>
        <w:t xml:space="preserve"> argues that modern neoliberalism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{"citationID":"vTrbp1dj","properties":{"formattedCitation":"(which still persists; Bayliss et al. 2024)","plainCitation":"(which still persists; Bayliss et al. 2024)","noteIndex":0},"citationItems":[{"id":6278,"uris":["http://zotero.org/users/8977980/items/9UE2KFBV"],"itemData":{"id":6278,"type":"article-journal","abstract":"Recent declarations of the end of neoliberalism in the United Kingdom, especially since the Covid-19 pandemic, are underpinned by diffuse and unstructured understandings of the neoliberal state. We argue that state intervention is both necessary and unavoidable under neoliberalism. This article shows that the ‘market-based’ reforms and the ‘rollback of the state’ that overtly characterise neoliberalism are heavily reliant upon public policy and entail an ongoing role for state intervention both over time and across economic sectors. Using sectoral case studies of housing and water from within the United Kingdom, we demonstrate, through a tight analytical framing of both financialisation and commodification, the variegated though crucial role of the neoliberal state in restructuring provision to facilitate financialised accumulation and their transformations in response to the contradictions, dysfunctions and limitations of neoliberalised social reproduction.","container-title":"European Journal of Social Theory","DOI":"10.1177/13684310241241800","ISSN":"1368-4310","issue":"4","language":"en","page":"540-560","publisher":"SAGE Publications Ltd","source":"SAGE Journals","title":"Reports of my death are greatly exaggerated: The persistence of neoliberalism in Britain","title-short":"Reports of my death are greatly exaggerated","volume":"27","author":[{"family":"Bayliss","given":"Kate"},{"family":"Fine","given":"Ben"},{"family":"Robertson","given":"Mary"},{"family":"Saad-Filho","given":"Alfredo"}],"issued":{"date-parts":[["2024",11,1]]}},"label":"page","prefix":"which still persists; "}],"schema":"https://github.com/citation-style-language/schema/raw/master/csl-citation.json"}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(which still persists; Bayliss et al. 2024)</w:t>
      </w:r>
      <w:r w:rsidRPr="00662E51">
        <w:rPr>
          <w:rFonts w:ascii="Century Schoolbook" w:hAnsi="Century Schoolbook"/>
        </w:rPr>
        <w:fldChar w:fldCharType="end"/>
      </w:r>
      <w:r w:rsidRPr="00662E51">
        <w:rPr>
          <w:rFonts w:ascii="Century Schoolbook" w:hAnsi="Century Schoolbook"/>
        </w:rPr>
        <w:t xml:space="preserve"> is inherently authoritarian, calling it </w:t>
      </w:r>
      <w:r w:rsidR="008944A1" w:rsidRPr="00662E51">
        <w:rPr>
          <w:rFonts w:ascii="Century Schoolbook" w:hAnsi="Century Schoolbook"/>
        </w:rPr>
        <w:t>“</w:t>
      </w:r>
      <w:r w:rsidRPr="00662E51">
        <w:rPr>
          <w:rFonts w:ascii="Century Schoolbook" w:hAnsi="Century Schoolbook"/>
        </w:rPr>
        <w:t>authoritarian neoliberalism</w:t>
      </w:r>
      <w:r w:rsidR="008944A1" w:rsidRPr="00662E51">
        <w:rPr>
          <w:rFonts w:ascii="Century Schoolbook" w:hAnsi="Century Schoolbook"/>
        </w:rPr>
        <w:t>”</w:t>
      </w:r>
      <w:r w:rsidRPr="00662E51">
        <w:rPr>
          <w:rFonts w:ascii="Century Schoolbook" w:hAnsi="Century Schoolbook"/>
        </w:rPr>
        <w:t xml:space="preserve"> (AN). </w:t>
      </w:r>
      <w:r w:rsidR="006B1FBE" w:rsidRPr="00662E51">
        <w:rPr>
          <w:rFonts w:ascii="Century Schoolbook" w:hAnsi="Century Schoolbook"/>
        </w:rPr>
        <w:t xml:space="preserve">It </w:t>
      </w:r>
      <w:r w:rsidRPr="00662E51">
        <w:rPr>
          <w:rFonts w:ascii="Century Schoolbook" w:hAnsi="Century Schoolbook"/>
        </w:rPr>
        <w:t xml:space="preserve">is defined as a movement in state policy away from seeking consent for the hegemonic project of neoliberalism towards legal instruments that induce passivity. Such instruments include both insulating the state from political dissent and an increasing reliance on violent police powers. Bruff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{"citationID":"8E8vL3QE","properties":{"formattedCitation":"(2014, 120)","plainCitation":"(2014, 120)","noteIndex":0},"citationItems":[{"id":5773,"uris":["http://zotero.org/users/8977980/items/YQRZXUST"],"itemData":{"id":5773,"type":"article-journal","container-title":"Rethinking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Neoliberalism","volume":"26","author":[{"family":"Bruff","given":"Ian"}],"issued":{"date-parts":[["2014",1,2]]}},"locator":"120","label":"page","suppress-author":true}],"schema":"https://github.com/citation-style-language/schema/raw/master/csl-citation.json"}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(2014, 120)</w:t>
      </w:r>
      <w:r w:rsidRPr="00662E51">
        <w:rPr>
          <w:rFonts w:ascii="Century Schoolbook" w:hAnsi="Century Schoolbook"/>
        </w:rPr>
        <w:fldChar w:fldCharType="end"/>
      </w:r>
      <w:r w:rsidRPr="00662E51">
        <w:rPr>
          <w:rFonts w:ascii="Century Schoolbook" w:hAnsi="Century Schoolbook"/>
        </w:rPr>
        <w:t xml:space="preserve"> notes that AN also involves moral politics: </w:t>
      </w:r>
      <w:r w:rsidR="00641A8A" w:rsidRPr="00662E51">
        <w:rPr>
          <w:rFonts w:ascii="Century Schoolbook" w:hAnsi="Century Schoolbook"/>
        </w:rPr>
        <w:t>“</w:t>
      </w:r>
      <w:r w:rsidRPr="00662E51">
        <w:rPr>
          <w:rFonts w:ascii="Century Schoolbook" w:hAnsi="Century Schoolbook"/>
        </w:rPr>
        <w:t>the coupling of moralizing rhetoric about capitalism</w:t>
      </w:r>
      <w:r w:rsidR="00641A8A" w:rsidRPr="00662E51">
        <w:rPr>
          <w:rFonts w:ascii="Century Schoolbook" w:hAnsi="Century Schoolbook"/>
        </w:rPr>
        <w:t>”</w:t>
      </w:r>
      <w:r w:rsidRPr="00662E51">
        <w:rPr>
          <w:rFonts w:ascii="Century Schoolbook" w:hAnsi="Century Schoolbook"/>
        </w:rPr>
        <w:t xml:space="preserve"> to insulated and de-political decision-making practices</w:t>
      </w:r>
      <w:r w:rsidR="00641A8A" w:rsidRPr="00662E51">
        <w:rPr>
          <w:rFonts w:ascii="Century Schoolbook" w:hAnsi="Century Schoolbook"/>
        </w:rPr>
        <w:t xml:space="preserve"> </w:t>
      </w:r>
      <w:r w:rsidR="00676BA4" w:rsidRPr="00662E51">
        <w:rPr>
          <w:rFonts w:ascii="Century Schoolbook" w:hAnsi="Century Schoolbook"/>
        </w:rPr>
        <w:fldChar w:fldCharType="begin"/>
      </w:r>
      <w:r w:rsidR="00213B80">
        <w:rPr>
          <w:rFonts w:ascii="Century Schoolbook" w:hAnsi="Century Schoolbook"/>
        </w:rPr>
        <w:instrText xml:space="preserve"> ADDIN ZOTERO_ITEM CSL_CITATION {"citationID":"QJ8AE1UF","properties":{"formattedCitation":"(Da Costa Vieira 2023; J. Ward and Da Costa Vieira 2024)","plainCitation":"(Da Costa Vieira 2023; J. Ward and Da Costa Vieira 2024)","noteIndex":0},"citationItems":[{"id":5759,"uris":["http://zotero.org/users/8977980/items/QJQY2YCJ"],"itemData":{"id":5759,"type":"article-journal","abstract":"In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Vieira","given":"Thomas"}],"issued":{"date-parts":[["2023",10,1]]}}},{"id":6492,"uris":["http://zotero.org/users/8977980/items/BL9N2EIT"],"itemData":{"id":6492,"type":"article-journal","abstract":"In the face of protracted stagnation following the global financial crisis, democratic governments who remain committed to neoliberalism are still required to secure popular support for their programmes. This article evaluates how this dilemma has presaged a shift in the relationship between governmental attempts to maintain neoliberal legitimacy and the imposition of authoritarian reforms. We argue that, in the aftermath of the 2015 refugee crisis, this shift has consisted of the elevation of home affairs policy and the advance of a ‘mutated’ politics of legitimation characterised by explicit forms of ‘othering’ and hostility towards the wider political system. Drawing on the examples of the UK and France, we show how this deepening authoritarianism has manifested along two interconnected axes: (1) increased police powers and suppression of protests and civil liberties; (2) enhanced border security and restrictions on citizenship. Contributing to scholarship on authoritarian neoliberalism, we argue that this elevation of home affairs not only augurs the intensification of authoritarianism, but also reveals how governments have utilised popular resistance to authoritarian reforms to generate new forms of reactionary ‘consent’.","container-title":"Geoforum","DOI":"10.1016/j.geoforum.2024.103942","ISSN":"0016-7185","journalAbbreviation":"Geoforum","page":"103942","source":"ScienceDirect","title":"Authoritarian neoliberalism between Johnson and Jupiter: Declining legitimacy and the elevation of home affairs in post-Brexit Britain and Macron’s France","title-short":"Authoritarian neoliberalism between Johnson and Jupiter","volume":"149","author":[{"family":"Ward","given":"Joseph"},{"family":"Da Costa Vieira","given":"Thomas"}],"issued":{"date-parts":[["2024",2,1]]}}}],"schema":"https://github.com/citation-style-language/schema/raw/master/csl-citation.json"} </w:instrText>
      </w:r>
      <w:r w:rsidR="00676BA4" w:rsidRPr="00662E51">
        <w:rPr>
          <w:rFonts w:ascii="Century Schoolbook" w:hAnsi="Century Schoolbook"/>
        </w:rPr>
        <w:fldChar w:fldCharType="separate"/>
      </w:r>
      <w:r w:rsidR="00213B80" w:rsidRPr="00213B80">
        <w:rPr>
          <w:rFonts w:ascii="Century Schoolbook" w:hAnsi="Century Schoolbook"/>
        </w:rPr>
        <w:t>(Da Costa Vieira 2023; J. Ward and Da Costa Vieira 2024)</w:t>
      </w:r>
      <w:r w:rsidR="00676BA4" w:rsidRPr="00662E51">
        <w:rPr>
          <w:rFonts w:ascii="Century Schoolbook" w:hAnsi="Century Schoolbook"/>
        </w:rPr>
        <w:fldChar w:fldCharType="end"/>
      </w:r>
      <w:r w:rsidR="00632308" w:rsidRPr="00662E51">
        <w:rPr>
          <w:rFonts w:ascii="Century Schoolbook" w:hAnsi="Century Schoolbook"/>
        </w:rPr>
        <w:t xml:space="preserve">. These then </w:t>
      </w:r>
      <w:r w:rsidRPr="00662E51">
        <w:rPr>
          <w:rFonts w:ascii="Century Schoolbook" w:hAnsi="Century Schoolbook"/>
        </w:rPr>
        <w:t xml:space="preserve">appear as </w:t>
      </w:r>
      <w:r w:rsidRPr="00662E51">
        <w:rPr>
          <w:rFonts w:ascii="Century Schoolbook" w:hAnsi="Century Schoolbook"/>
        </w:rPr>
        <w:lastRenderedPageBreak/>
        <w:t xml:space="preserve">justifications for punishing stigmatised peoples and territories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{"citationID":"FjKknP7N","properties":{"formattedCitation":"(Wacquant et al. 2014)","plainCitation":"(Wacquant et al. 2014)","noteIndex":0},"citationItems":[{"id":4557,"uris":["http://zotero.org/users/8977980/items/QNSJUP9M"],"itemData":{"id":4557,"type":"article-journal","abstract":"This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Borges"}],"issued":{"date-parts":[["2014",6,1]]}}}],"schema":"https://github.com/citation-style-language/schema/raw/master/csl-citation.json"} </w:instrText>
      </w:r>
      <w:r w:rsidRPr="00662E51">
        <w:rPr>
          <w:rFonts w:ascii="Century Schoolbook" w:hAnsi="Century Schoolbook"/>
        </w:rPr>
        <w:fldChar w:fldCharType="separate"/>
      </w:r>
      <w:r w:rsidR="005E72FD" w:rsidRPr="00662E51">
        <w:rPr>
          <w:rFonts w:ascii="Century Schoolbook" w:hAnsi="Century Schoolbook"/>
        </w:rPr>
        <w:t>(Wacquant et al. 2014)</w:t>
      </w:r>
      <w:r w:rsidRPr="00662E51">
        <w:rPr>
          <w:rFonts w:ascii="Century Schoolbook" w:hAnsi="Century Schoolbook"/>
        </w:rPr>
        <w:fldChar w:fldCharType="end"/>
      </w:r>
      <w:r w:rsidRPr="00662E51">
        <w:rPr>
          <w:rFonts w:ascii="Century Schoolbook" w:hAnsi="Century Schoolbook"/>
        </w:rPr>
        <w:t xml:space="preserve">. AN is thus pervasive and has been imposed on the intimate and/or domestic spaces of Britain’s most marginalised communities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{"citationID":"kj1o4VP1","properties":{"formattedCitation":"(Davey and Koch 2021)","plainCitation":"(Davey and Koch 2021)","noteIndex":0},"citationItems":[{"id":5121,"uris":["http://zotero.org/users/8977980/items/RGMNPPDQ"],"itemData":{"id":5121,"type":"article-journal","abstract":"In Britain, especially in the 2010s, neoliberal reform involved an extension of legal coercion into the domestic and community lives of marginalized citizens. On two postindustrial housing estates in Britain, working-class residents experience this “everyday authoritarianism” in areas that the liberal state typically constructs as private and purports to leave alone: the home and the intimate relations that frame it. Residents engage this legal coercion by adopting responses that range from defensive avoidance to co-opting officials to acts of vigilantism. By doing so, they negotiate the presence of an authority that is often out of sync with their own expectations for protection, and in some cases actively undermines their efforts to remain safe. Their pluralism can be framed neither in terms of an acceptance of state authority nor as a straightforward refusal to be governed. Rather, it reveals the contradictory ways in which marginalized citizens define their relationship to the state under contemporary conditions of class fragmentation. By adding detail on everyday life to meta-narratives of an authoritarian turn, this article theorizes the political potential and limits of people's daily engagements with the state for contesting the latter's authority. [class, coercion, liberal governance]","container-title":"PoLAR: Political and Legal Anthropology Review","DOI":"10.1111/plar.12422","ISSN":"1555-2934","issue":"1","language":"en","note":"_eprint: https://onlinelibrary.wiley.com/doi/pdf/10.1111/plar.12422","page":"43-59","source":"Wiley Online Library","title":"Everyday Authoritarianism: Class and Coercion on Housing Estates in Neoliberal Britain","title-short":"Everyday Authoritarianism","volume":"44","author":[{"family":"Davey","given":"Ryan"},{"family":"Koch","given":"Insa Lee"}],"issued":{"date-parts":[["2021"]]}},"label":"page"}],"schema":"https://github.com/citation-style-language/schema/raw/master/csl-citation.json"}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(Davey and Koch 2021)</w:t>
      </w:r>
      <w:r w:rsidRPr="00662E51">
        <w:rPr>
          <w:rFonts w:ascii="Century Schoolbook" w:hAnsi="Century Schoolbook"/>
        </w:rPr>
        <w:fldChar w:fldCharType="end"/>
      </w:r>
      <w:r w:rsidRPr="00662E51">
        <w:rPr>
          <w:rFonts w:ascii="Century Schoolbook" w:hAnsi="Century Schoolbook"/>
        </w:rPr>
        <w:t xml:space="preserve">. Although some perspectives position authoritarian neoliberalism as a purely national process, other scholars have argued for a scalar view that captures how the urban scale is productive and supportive of AN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{"citationID":"CFKXa9oo","properties":{"formattedCitation":"(Pileti\\uc0\\u263{} 2022)","plainCitation":"(Piletić 2022)","noteIndex":0},"citationItems":[{"id":5764,"uris":["http://zotero.org/users/8977980/items/NAKP7URT"],"itemData":{"id":5764,"type":"article-journal","container-title":"Globalizations","DOI":"10.1080/14747731.2021.1882817","ISSN":"1474-7731, 1474-774X","issue":"2","journalAbbreviation":"Globalizations","language":"en","page":"285-300","source":"DOI.org (Crossref)","title":"The role of the urban scale in anchoring authoritarian neoliberalism: a look at post-2012 neoliberalization in Belgrade, Serbia","title-short":"The role of the urban scale in anchoring authoritarian neoliberalism","volume":"19","author":[{"family":"Piletić","given":"Aleksandra"}],"issued":{"date-parts":[["2022",2,17]]}}}],"schema":"https://github.com/citation-style-language/schema/raw/master/csl-citation.json"}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(Piletić 2022)</w:t>
      </w:r>
      <w:r w:rsidRPr="00662E51">
        <w:rPr>
          <w:rFonts w:ascii="Century Schoolbook" w:hAnsi="Century Schoolbook"/>
        </w:rPr>
        <w:fldChar w:fldCharType="end"/>
      </w:r>
      <w:r w:rsidRPr="00662E51">
        <w:rPr>
          <w:rFonts w:ascii="Century Schoolbook" w:hAnsi="Century Schoolbook"/>
        </w:rPr>
        <w:t xml:space="preserve">. However, as is explored in the next section, the various scales of the state do not always move in the same direction; the interstices of decision making can be exploited in pursuit of change. </w:t>
      </w:r>
    </w:p>
    <w:p w14:paraId="644EE2EC" w14:textId="31818B83" w:rsidR="00DE5968" w:rsidRPr="00662E51" w:rsidRDefault="00DE5968" w:rsidP="00F56305">
      <w:pPr>
        <w:pStyle w:val="Newparagraph"/>
        <w:spacing w:line="360" w:lineRule="auto"/>
        <w:jc w:val="both"/>
        <w:rPr>
          <w:rFonts w:ascii="Century Schoolbook" w:hAnsi="Century Schoolbook"/>
        </w:rPr>
      </w:pPr>
      <w:r w:rsidRPr="00662E51">
        <w:rPr>
          <w:rFonts w:ascii="Century Schoolbook" w:hAnsi="Century Schoolbook"/>
        </w:rPr>
        <w:t xml:space="preserve">AN is also not a new phenomenon: scholars have argued that Thatcher and her government utilised AN’s methods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{"citationID":"vNN891kV","properties":{"formattedCitation":"(M. D. J. Ryan 2019)","plainCitation":"(M. D. J. Ryan 2019)","noteIndex":0},"citationItems":[{"id":5778,"uris":["http://zotero.org/users/8977980/items/KAAG23WN"],"itemData":{"id":5778,"type":"article-journal","abstract":"From the legislated 'embedding' of neoliberalism as seen with constitutional debt ceilings, through sweeping free trade agreements, to the direct, violent suppression of political freedoms; democracy today seems to be under siege from all sides. In response to these troubling developments, Ian Bruff (2014) recently introduced the concept of 'authoritarian neoliberalism' to understand increasingly undemocratic forms of state and state action in the current conjuncture. This article argues that although 'authoritarian neoliberalism' presents a useful development in our understanding of these processes, the concept faces several challenges - in particular, that of obscuring a broader history of authoritarianism and its contradictions, by separating neoliberalism into distinct phases. This article considers two moments of authoritarianism within the history of neoliberalism: the United Kingdom under Margaret Thatcher, and the Greek experience of mandated austerity within the strictures of the European Monetary Union (EMU). Through these examples, the article will engage with claims that the 'authoritarian neoliberalism' of the post-2007 context is somehow 'qualitatively distinct' from earlier forms. It is argued that an enforced separation between these two cases is unhelpful, and that more fruitful directions for this emerging research agenda lie not in a conceptual separation of the past, but rather a consideration of the durability of authoritarian state forms.","container-title":"Competition &amp; Change","DOI":"10.1177/1024529418797867","ISSN":"1024-5294, 1477-2221","issue":"2","journalAbbreviation":"Compet. Chang.","language":"English","note":"number-of-pages: 22\npublisher-place: London\nWeb of Science ID: WOS:000462050600002","page":"116-137","publisher":"SAGE Publications Ltd","source":"Clarivate Analytics Web of Science","title":"Interrogating 'authoritarian neoliberalism': The problem of periodization","title-short":"Interrogating 'authoritarian neoliberalism'","volume":"23","author":[{"family":"Ryan","given":"Matthew D. J."}],"issued":{"date-parts":[["2019",4]]}}}],"schema":"https://github.com/citation-style-language/schema/raw/master/csl-citation.json"}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(M. D. J. Ryan 2019)</w:t>
      </w:r>
      <w:r w:rsidRPr="00662E51">
        <w:rPr>
          <w:rFonts w:ascii="Century Schoolbook" w:hAnsi="Century Schoolbook"/>
        </w:rPr>
        <w:fldChar w:fldCharType="end"/>
      </w:r>
      <w:r w:rsidRPr="00662E51">
        <w:rPr>
          <w:rFonts w:ascii="Century Schoolbook" w:hAnsi="Century Schoolbook"/>
        </w:rPr>
        <w:t xml:space="preserve">, which was encapsulated by their emphasis on ‘law and order’ and racialised politics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{"citationID":"ZTQDr1yv","properties":{"formattedCitation":"(S. Hall et al. [1978] 2019)","plainCitation":"(S. Hall et al. [1978] 2019)","noteIndex":0},"citationItems":[{"id":5777,"uris":["http://zotero.org/users/8977980/items/3K89WG2H"],"itemData":{"id":5777,"type":"book","edition":"2nd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(S. Hall et al. [1978] 2019)</w:t>
      </w:r>
      <w:r w:rsidRPr="00662E51">
        <w:rPr>
          <w:rFonts w:ascii="Century Schoolbook" w:hAnsi="Century Schoolbook"/>
        </w:rPr>
        <w:fldChar w:fldCharType="end"/>
      </w:r>
      <w:r w:rsidRPr="00662E51">
        <w:rPr>
          <w:rFonts w:ascii="Century Schoolbook" w:hAnsi="Century Schoolbook"/>
        </w:rPr>
        <w:t xml:space="preserve">. Policing during Thatcherism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{"citationID":"RuMP5Qqg","properties":{"formattedCitation":"(and now; Elliott-Cooper 2021)","plainCitation":"(and now; 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policing","URL":"https://www.manchesterhive.com/view/9781526143945/9781526143945.xml","author":[{"family":"Elliott-Cooper","given":"Adam"}],"accessed":{"date-parts":[["2024",2,1]]},"issued":{"date-parts":[["2021",5,1]]}},"label":"page","prefix":"and now;"}],"schema":"https://github.com/citation-style-language/schema/raw/master/csl-citation.json"}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(and now; Elliott-Cooper 2021)</w:t>
      </w:r>
      <w:r w:rsidRPr="00662E51">
        <w:rPr>
          <w:rFonts w:ascii="Century Schoolbook" w:hAnsi="Century Schoolbook"/>
        </w:rPr>
        <w:fldChar w:fldCharType="end"/>
      </w:r>
      <w:r w:rsidRPr="00662E51">
        <w:rPr>
          <w:rFonts w:ascii="Century Schoolbook" w:hAnsi="Century Schoolbook"/>
        </w:rPr>
        <w:t xml:space="preserve"> was explicitly racial, focusing on young Black men, and was often exercised through procedures that amount to everyday oppression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{"citationID":"eUeWVBms","properties":{"formattedCitation":"(Davey and Koch 2021)","plainCitation":"(Davey and Koch 2021)","noteIndex":0},"citationItems":[{"id":5121,"uris":["http://zotero.org/users/8977980/items/RGMNPPDQ"],"itemData":{"id":5121,"type":"article-journal","abstract":"In Britain, especially in the 2010s, neoliberal reform involved an extension of legal coercion into the domestic and community lives of marginalized citizens. On two postindustrial housing estates in Britain, working-class residents experience this “everyday authoritarianism” in areas that the liberal state typically constructs as private and purports to leave alone: the home and the intimate relations that frame it. Residents engage this legal coercion by adopting responses that range from defensive avoidance to co-opting officials to acts of vigilantism. By doing so, they negotiate the presence of an authority that is often out of sync with their own expectations for protection, and in some cases actively undermines their efforts to remain safe. Their pluralism can be framed neither in terms of an acceptance of state authority nor as a straightforward refusal to be governed. Rather, it reveals the contradictory ways in which marginalized citizens define their relationship to the state under contemporary conditions of class fragmentation. By adding detail on everyday life to meta-narratives of an authoritarian turn, this article theorizes the political potential and limits of people's daily engagements with the state for contesting the latter's authority. [class, coercion, liberal governance]","container-title":"PoLAR: Political and Legal Anthropology Review","DOI":"10.1111/plar.12422","ISSN":"1555-2934","issue":"1","language":"en","note":"_eprint: https://onlinelibrary.wiley.com/doi/pdf/10.1111/plar.12422","page":"43-59","source":"Wiley Online Library","title":"Everyday Authoritarianism: Class and Coercion on Housing Estates in Neoliberal Britain","title-short":"Everyday Authoritarianism","volume":"44","author":[{"family":"Davey","given":"Ryan"},{"family":"Koch","given":"Insa Lee"}],"issued":{"date-parts":[["2021"]]}}}],"schema":"https://github.com/citation-style-language/schema/raw/master/csl-citation.json"}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(Davey and Koch 2021)</w:t>
      </w:r>
      <w:r w:rsidRPr="00662E51">
        <w:rPr>
          <w:rFonts w:ascii="Century Schoolbook" w:hAnsi="Century Schoolbook"/>
        </w:rPr>
        <w:fldChar w:fldCharType="end"/>
      </w:r>
      <w:r w:rsidRPr="00662E51">
        <w:rPr>
          <w:rFonts w:ascii="Century Schoolbook" w:hAnsi="Century Schoolbook"/>
        </w:rPr>
        <w:t>.</w:t>
      </w:r>
      <w:r w:rsidR="00632308" w:rsidRPr="00662E51">
        <w:t xml:space="preserve"> </w:t>
      </w:r>
      <w:r w:rsidR="00632308" w:rsidRPr="00662E51">
        <w:rPr>
          <w:rFonts w:ascii="Century Schoolbook" w:hAnsi="Century Schoolbook"/>
        </w:rPr>
        <w:t>Extensive</w:t>
      </w:r>
      <w:r w:rsidR="00D35A1A" w:rsidRPr="00662E51">
        <w:rPr>
          <w:rFonts w:ascii="Century Schoolbook" w:hAnsi="Century Schoolbook"/>
        </w:rPr>
        <w:t xml:space="preserve"> literature on Thatcherism also has revealed the extensive moralising rhetoric attached to f</w:t>
      </w:r>
      <w:r w:rsidR="00885955">
        <w:rPr>
          <w:rFonts w:ascii="Century Schoolbook" w:hAnsi="Century Schoolbook"/>
        </w:rPr>
        <w:t>r</w:t>
      </w:r>
      <w:r w:rsidR="00D35A1A" w:rsidRPr="00662E51">
        <w:rPr>
          <w:rFonts w:ascii="Century Schoolbook" w:hAnsi="Century Schoolbook"/>
        </w:rPr>
        <w:t xml:space="preserve">ee market capitalism during her </w:t>
      </w:r>
      <w:r w:rsidR="00F679D5" w:rsidRPr="00662E51">
        <w:rPr>
          <w:rFonts w:ascii="Century Schoolbook" w:hAnsi="Century Schoolbook"/>
        </w:rPr>
        <w:t xml:space="preserve">ministry </w:t>
      </w:r>
      <w:r w:rsidR="00D35A1A" w:rsidRPr="00662E51">
        <w:rPr>
          <w:rFonts w:ascii="Century Schoolbook" w:hAnsi="Century Schoolbook"/>
        </w:rPr>
        <w:fldChar w:fldCharType="begin"/>
      </w:r>
      <w:r w:rsidR="00213B80">
        <w:rPr>
          <w:rFonts w:ascii="Century Schoolbook" w:hAnsi="Century Schoolbook"/>
        </w:rPr>
        <w:instrText xml:space="preserve"> ADDIN ZOTERO_ITEM CSL_CITATION {"citationID":"3iPlfArT","properties":{"formattedCitation":"(e.g., Da Costa Vieira 2023; Gamble 1989; S. Hall 1985; S. Hall et al. [1978] 2019)","plainCitation":"(e.g., Da Costa Vieira 2023; Gamble 1989; S. Hall 1985; S. Hall et al. [1978] 2019)","noteIndex":0},"citationItems":[{"id":5759,"uris":["http://zotero.org/users/8977980/items/QJQY2YCJ"],"itemData":{"id":5759,"type":"article-journal","abstract":"In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Vieira","given":"Thomas"}],"issued":{"date-parts":[["2023",10,1]]}},"prefix":"e.g., "},{"id":3,"uris":["http://zotero.org/users/8977980/items/U4XCFRW8"],"itemData":{"id":3,"type":"book","ISBN":"978-1-349-19438-4","publisher":"Palgrave Macmillan UK","publisher-place":"London","title":"The Free Economy and the Strong State: The Politics of Thatcherism","author":[{"family":"Gamble","given":"Andrew"}],"issued":{"date-parts":[["1989"]]}}},{"id":5795,"uris":["http://zotero.org/users/8977980/items/NRTYHPYC"],"itemData":{"id":5795,"type":"article-journal","container-title":"New Left Review","issue":"I/151","language":"en","page":"115-123","source":"Zotero","title":"Authoritarian Populism: A Reply to Jessop et al","author":[{"family":"Hall","given":"Stuart"}],"issued":{"date-parts":[["1985",6]]}}},{"id":5777,"uris":["http://zotero.org/users/8977980/items/3K89WG2H"],"itemData":{"id":5777,"type":"book","edition":"2nd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schema":"https://github.com/citation-style-language/schema/raw/master/csl-citation.json"} </w:instrText>
      </w:r>
      <w:r w:rsidR="00D35A1A" w:rsidRPr="00662E51">
        <w:rPr>
          <w:rFonts w:ascii="Century Schoolbook" w:hAnsi="Century Schoolbook"/>
        </w:rPr>
        <w:fldChar w:fldCharType="separate"/>
      </w:r>
      <w:r w:rsidR="00213B80" w:rsidRPr="00213B80">
        <w:rPr>
          <w:rFonts w:ascii="Century Schoolbook" w:hAnsi="Century Schoolbook"/>
        </w:rPr>
        <w:t>(e.g., Da Costa Vieira 2023; Gamble 1989; S. Hall 1985; S. Hall et al. [1978] 2019)</w:t>
      </w:r>
      <w:r w:rsidR="00D35A1A" w:rsidRPr="00662E51">
        <w:rPr>
          <w:rFonts w:ascii="Century Schoolbook" w:hAnsi="Century Schoolbook"/>
        </w:rPr>
        <w:fldChar w:fldCharType="end"/>
      </w:r>
      <w:r w:rsidR="00D35A1A" w:rsidRPr="00662E51">
        <w:rPr>
          <w:rFonts w:ascii="Century Schoolbook" w:hAnsi="Century Schoolbook"/>
        </w:rPr>
        <w:t>.</w:t>
      </w:r>
      <w:r w:rsidR="00F679D5" w:rsidRPr="00662E51">
        <w:rPr>
          <w:rFonts w:ascii="Century Schoolbook" w:hAnsi="Century Schoolbook"/>
        </w:rPr>
        <w:t xml:space="preserve"> </w:t>
      </w:r>
      <w:r w:rsidRPr="00662E51">
        <w:rPr>
          <w:rFonts w:ascii="Century Schoolbook" w:hAnsi="Century Schoolbook"/>
        </w:rPr>
        <w:t xml:space="preserve">AN has been a core part of British political life and therefore relevant to understanding citizenship-making and -claiming. Nevertheless, literature on acts of citizenship currently privileges an idea of activist citizenship rooted in a Global North conception of democracy: an organised, collective struggle that engages in oppositional resistance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{"citationID":"VBxmRN80","properties":{"formattedCitation":"(Pottinger 2017)","plainCitation":"(Pottinger 2017)","noteIndex":0},"citationItems":[{"id":7051,"uris":["http://zotero.org/users/8977980/items/GZZVXTGN"],"itemData":{"id":7051,"type":"article-journal","abstract":"While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(Pottinger 2017)</w:t>
      </w:r>
      <w:r w:rsidRPr="00662E51">
        <w:rPr>
          <w:rFonts w:ascii="Century Schoolbook" w:hAnsi="Century Schoolbook"/>
        </w:rPr>
        <w:fldChar w:fldCharType="end"/>
      </w:r>
      <w:r w:rsidRPr="00662E51">
        <w:rPr>
          <w:rFonts w:ascii="Century Schoolbook" w:hAnsi="Century Schoolbook"/>
        </w:rPr>
        <w:t>. Conceptions of citizenships acts therefore remain constrained.</w:t>
      </w:r>
    </w:p>
    <w:p w14:paraId="416452D9" w14:textId="2A29D317" w:rsidR="00DE5968" w:rsidRPr="00662E51" w:rsidRDefault="00DE5968" w:rsidP="00F56305">
      <w:pPr>
        <w:pStyle w:val="Newparagraph"/>
        <w:spacing w:line="360" w:lineRule="auto"/>
        <w:jc w:val="both"/>
        <w:rPr>
          <w:rFonts w:ascii="Century Schoolbook" w:hAnsi="Century Schoolbook"/>
        </w:rPr>
      </w:pPr>
      <w:r w:rsidRPr="00662E51">
        <w:rPr>
          <w:rFonts w:ascii="Century Schoolbook" w:hAnsi="Century Schoolbook"/>
        </w:rPr>
        <w:t xml:space="preserve">I follow Jakimów’s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{"citationID":"Gs6tAafb","properties":{"formattedCitation":"(2022)","plainCitation":"(2022)","noteIndex":0},"citationItems":[{"id":5118,"uris":["http://zotero.org/users/8977980/items/WQR8VRAH"],"itemData":{"id":5118,"type":"article-journal","abstract":"The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(2022)</w:t>
      </w:r>
      <w:r w:rsidRPr="00662E51">
        <w:rPr>
          <w:rFonts w:ascii="Century Schoolbook" w:hAnsi="Century Schoolbook"/>
        </w:rPr>
        <w:fldChar w:fldCharType="end"/>
      </w:r>
      <w:r w:rsidRPr="00662E51">
        <w:rPr>
          <w:rFonts w:ascii="Century Schoolbook" w:hAnsi="Century Schoolbook"/>
        </w:rPr>
        <w:t xml:space="preserve"> suggestion by turning to accommodative resistance during a time of authoritarian neoliberalism in London. Using the example of the Broadwater Farm Youth Association, I demonstrate the potential of accommodative resistance to transform subjects into citizens. The overarching claim here is that BFYA was a space through which local community organisers were able to become full citizens through accommodative acts of citizenship. These acts, while ostensibly not radical, form an everyday resistance to the authoritarianism present in Thatcherism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{"citationID":"3WpL329R","properties":{"formattedCitation":"(S. Hall et al. [1978] 2019)","plainCitation":"(S. Hall et al. [1978] 2019)","noteIndex":0},"citationItems":[{"id":5777,"uris":["http://zotero.org/users/8977980/items/3K89WG2H"],"itemData":{"id":5777,"type":"book","edition":"2nd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(S. Hall et al. [1978] 2019)</w:t>
      </w:r>
      <w:r w:rsidRPr="00662E51">
        <w:rPr>
          <w:rFonts w:ascii="Century Schoolbook" w:hAnsi="Century Schoolbook"/>
        </w:rPr>
        <w:fldChar w:fldCharType="end"/>
      </w:r>
      <w:r w:rsidRPr="00662E51">
        <w:rPr>
          <w:rFonts w:ascii="Century Schoolbook" w:hAnsi="Century Schoolbook"/>
        </w:rPr>
        <w:t>.</w:t>
      </w:r>
    </w:p>
    <w:p w14:paraId="40CB23E0" w14:textId="0868CF34" w:rsidR="00DE5968" w:rsidRPr="00662E51" w:rsidRDefault="00DE5968" w:rsidP="00F56305">
      <w:pPr>
        <w:pStyle w:val="Newparagraph"/>
        <w:spacing w:line="360" w:lineRule="auto"/>
        <w:jc w:val="both"/>
        <w:rPr>
          <w:rFonts w:ascii="Century Schoolbook" w:hAnsi="Century Schoolbook"/>
        </w:rPr>
      </w:pPr>
      <w:r w:rsidRPr="00662E51">
        <w:rPr>
          <w:rFonts w:ascii="Century Schoolbook" w:hAnsi="Century Schoolbook"/>
        </w:rPr>
        <w:lastRenderedPageBreak/>
        <w:t xml:space="preserve">Before moving to analysis, it is important to differentiate between acts of citizenship that—while neither spectacles nor confrontational—are still oppositional, and those that are accommodating. One illustration is Pontrandolfo’s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{"citationID":"W0Iw6Yhb","properties":{"formattedCitation":"(2018)","plainCitation":"(2018)","noteIndex":0},"citationItems":[{"id":1415,"uris":["http://zotero.org/users/8977980/items/B2S7Z254"],"itemData":{"id":1415,"type":"article-journal","abstract":"This article presents the case study of a community-based Roma struggle to challenge categorisations, improve housing conditions and access citizenship rights. It is an ethnographic account of the citizenship enactments that a Roma family network, which migrated from Romania to Italy, has been pursuing since its arrival in the southern Italian town of Bari. The aim is to promote the value of ethnographic research in understanding the numerous, complex ways in which 'being political' among Roma is possible. This can take place not only through elite Roma activism, or by communities of Roma producing 'hidden transcripts', but also through community-based 'acts of citizenship'.","container-title":"Nomadic Peoples","ISSN":"0822-7942","issue":"1","page":"83-103","publisher":"White Horse Press","source":"JSTOR","title":"Roma 'Acts of Citizenship': Negotiating Categories and Housing Solutions","title-short":"ROMA 'ACTS OF CITIZENSHIP'","volume":"22","author":[{"family":"Pontrandolfo","given":"Stefania"}],"issued":{"date-parts":[["2018"]]}},"label":"page","suppress-author":true}],"schema":"https://github.com/citation-style-language/schema/raw/master/csl-citation.json"}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(2018)</w:t>
      </w:r>
      <w:r w:rsidRPr="00662E51">
        <w:rPr>
          <w:rFonts w:ascii="Century Schoolbook" w:hAnsi="Century Schoolbook"/>
        </w:rPr>
        <w:fldChar w:fldCharType="end"/>
      </w:r>
      <w:r w:rsidRPr="00662E51">
        <w:rPr>
          <w:rFonts w:ascii="Century Schoolbook" w:hAnsi="Century Schoolbook"/>
        </w:rPr>
        <w:t xml:space="preserve"> examination of how Romani families negotiations with a local Italian government surface as citizenship acts. Here, negotiation was predicated on accommodation—Romani families sent </w:t>
      </w:r>
      <w:r w:rsidR="00A67BC2" w:rsidRPr="00662E51">
        <w:rPr>
          <w:rFonts w:ascii="Century Schoolbook" w:hAnsi="Century Schoolbook"/>
        </w:rPr>
        <w:t>“</w:t>
      </w:r>
      <w:r w:rsidRPr="00662E51">
        <w:rPr>
          <w:rFonts w:ascii="Century Schoolbook" w:hAnsi="Century Schoolbook"/>
        </w:rPr>
        <w:t>the children to [Italian] schools and [had] them vaccinated,</w:t>
      </w:r>
      <w:r w:rsidR="00A67BC2" w:rsidRPr="00662E51">
        <w:rPr>
          <w:rFonts w:ascii="Century Schoolbook" w:hAnsi="Century Schoolbook"/>
        </w:rPr>
        <w:t>”</w:t>
      </w:r>
      <w:r w:rsidRPr="00662E51">
        <w:rPr>
          <w:rFonts w:ascii="Century Schoolbook" w:hAnsi="Century Schoolbook"/>
        </w:rPr>
        <w:t xml:space="preserve"> undermining how decisionmakers </w:t>
      </w:r>
      <w:r w:rsidR="00A67BC2" w:rsidRPr="00662E51">
        <w:rPr>
          <w:rFonts w:ascii="Century Schoolbook" w:hAnsi="Century Schoolbook"/>
        </w:rPr>
        <w:t>“</w:t>
      </w:r>
      <w:r w:rsidRPr="00662E51">
        <w:rPr>
          <w:rFonts w:ascii="Century Schoolbook" w:hAnsi="Century Schoolbook"/>
        </w:rPr>
        <w:t>imagined</w:t>
      </w:r>
      <w:r w:rsidR="00A67BC2" w:rsidRPr="00662E51">
        <w:rPr>
          <w:rFonts w:ascii="Century Schoolbook" w:hAnsi="Century Schoolbook"/>
        </w:rPr>
        <w:t xml:space="preserve">” </w:t>
      </w:r>
      <w:r w:rsidRPr="00662E51">
        <w:rPr>
          <w:rFonts w:ascii="Century Schoolbook" w:hAnsi="Century Schoolbook"/>
        </w:rPr>
        <w:t xml:space="preserve">them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{"citationID":"4qYcCVCH","properties":{"formattedCitation":"(Pontrandolfo 2018, 92)","plainCitation":"(Pontrandolfo 2018, 92)","noteIndex":0},"citationItems":[{"id":1415,"uris":["http://zotero.org/users/8977980/items/B2S7Z254"],"itemData":{"id":1415,"type":"article-journal","abstract":"This article presents the case study of a community-based Roma struggle to challenge categorisations, improve housing conditions and access citizenship rights. It is an ethnographic account of the citizenship enactments that a Roma family network, which migrated from Romania to Italy, has been pursuing since its arrival in the southern Italian town of Bari. The aim is to promote the value of ethnographic research in understanding the numerous, complex ways in which 'being political' among Roma is possible. This can take place not only through elite Roma activism, or by communities of Roma producing 'hidden transcripts', but also through community-based 'acts of citizenship'.","container-title":"Nomadic Peoples","ISSN":"0822-7942","issue":"1","page":"83-103","publisher":"White Horse Press","source":"JSTOR","title":"Roma 'Acts of Citizenship': Negotiating Categories and Housing Solutions","title-short":"ROMA 'ACTS OF CITIZENSHIP'","volume":"22","author":[{"family":"Pontrandolfo","given":"Stefania"}],"issued":{"date-parts":[["2018"]]}},"locator":"92"}],"schema":"https://github.com/citation-style-language/schema/raw/master/csl-citation.json"}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(Pontrandolfo 2018, 92)</w:t>
      </w:r>
      <w:r w:rsidRPr="00662E51">
        <w:rPr>
          <w:rFonts w:ascii="Century Schoolbook" w:hAnsi="Century Schoolbook"/>
        </w:rPr>
        <w:fldChar w:fldCharType="end"/>
      </w:r>
      <w:r w:rsidRPr="00662E51">
        <w:rPr>
          <w:rFonts w:ascii="Century Schoolbook" w:hAnsi="Century Schoolbook"/>
        </w:rPr>
        <w:t>. This is in contrast with other acts of citizenship: the Romani have historically had to avoid institutions rather than collaborating with them, which is not confrontational but still has an oppositional form in its refusal of the state. Differentiation is important as activism is necessarily multifaceted and may include both accommodating and oppositional acts. These are not my focus here but do represent another avenue to explore acts of citizenship.</w:t>
      </w:r>
    </w:p>
    <w:p w14:paraId="4C2C286F" w14:textId="77777777" w:rsidR="00DE5968" w:rsidRPr="00662E51" w:rsidRDefault="00DE5968" w:rsidP="00F56305">
      <w:pPr>
        <w:pStyle w:val="Newparagraph"/>
        <w:spacing w:line="360" w:lineRule="auto"/>
        <w:jc w:val="both"/>
        <w:rPr>
          <w:rFonts w:ascii="Century Schoolbook" w:hAnsi="Century Schoolbook"/>
        </w:rPr>
      </w:pPr>
    </w:p>
    <w:p w14:paraId="5517FEEB" w14:textId="5C97055A" w:rsidR="00DE5968" w:rsidRPr="00662E51" w:rsidRDefault="00DE5968" w:rsidP="00F56305">
      <w:pPr>
        <w:pStyle w:val="Heading2"/>
      </w:pPr>
      <w:bookmarkStart w:id="333" w:name="_Toc216096167"/>
      <w:bookmarkStart w:id="334" w:name="_Toc221184351"/>
      <w:bookmarkStart w:id="335" w:name="_Toc231215269"/>
      <w:r w:rsidRPr="00662E51">
        <w:t>Resistance in the time of Authoritarian Neoliberalism</w:t>
      </w:r>
      <w:bookmarkEnd w:id="333"/>
      <w:bookmarkEnd w:id="334"/>
      <w:r w:rsidR="00BC44B5">
        <w:t>:</w:t>
      </w:r>
      <w:bookmarkEnd w:id="335"/>
    </w:p>
    <w:p w14:paraId="149B59FC" w14:textId="63574F2C" w:rsidR="00DE5968" w:rsidRPr="00662E51" w:rsidRDefault="00DE5968" w:rsidP="00F56305">
      <w:pPr>
        <w:pStyle w:val="Paragraph"/>
        <w:spacing w:before="0" w:line="360" w:lineRule="auto"/>
        <w:jc w:val="both"/>
        <w:rPr>
          <w:rFonts w:ascii="Century Schoolbook" w:hAnsi="Century Schoolbook"/>
        </w:rPr>
      </w:pPr>
      <w:r w:rsidRPr="00662E51">
        <w:rPr>
          <w:rFonts w:ascii="Century Schoolbook" w:hAnsi="Century Schoolbook"/>
        </w:rPr>
        <w:t xml:space="preserve">Here, I explain how BFYA’s activities are accommodative resistance during a period of authoritarian neoliberalism. I begin by setting the scene, focusing on how the historical context reflects a localised form of neoliberal authoritarianism. I next delineate some of the Association’s specific organising tactics that </w:t>
      </w:r>
      <w:r w:rsidR="009C533F" w:rsidRPr="00662E51">
        <w:rPr>
          <w:rFonts w:ascii="Century Schoolbook" w:hAnsi="Century Schoolbook"/>
        </w:rPr>
        <w:t>“</w:t>
      </w:r>
      <w:r w:rsidRPr="00662E51">
        <w:rPr>
          <w:rFonts w:ascii="Century Schoolbook" w:hAnsi="Century Schoolbook"/>
        </w:rPr>
        <w:t>work[ed] with [existing] actors and systems to exert long-term change</w:t>
      </w:r>
      <w:r w:rsidR="009C533F" w:rsidRPr="00662E51">
        <w:rPr>
          <w:rFonts w:ascii="Century Schoolbook" w:hAnsi="Century Schoolbook"/>
        </w:rPr>
        <w:t xml:space="preserve">” </w:t>
      </w:r>
      <w:r w:rsidRPr="00662E51">
        <w:rPr>
          <w:rFonts w:ascii="Century Schoolbook" w:hAnsi="Century Schoolbook"/>
        </w:rPr>
        <w:t xml:space="preserve">rather than confrontational ones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{"citationID":"g8Suk5h8","properties":{"formattedCitation":"(Jakim\\uc0\\u243{}w 2022, 509)","plainCitation":"(Jakimów 2022, 509)","noteIndex":0},"citationItems":[{"id":5118,"uris":["http://zotero.org/users/8977980/items/WQR8VRAH"],"itemData":{"id":5118,"type":"article-journal","abstract":"The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contexts","volume":"26","author":[{"family":"Jakimów","given":"Małgorzata"}],"issued":{"date-parts":[["2022",7,4]]}},"locator":"509","label":"page"}],"schema":"https://github.com/citation-style-language/schema/raw/master/csl-citation.json"}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(Jakimów 2022, 509)</w:t>
      </w:r>
      <w:r w:rsidRPr="00662E51">
        <w:rPr>
          <w:rFonts w:ascii="Century Schoolbook" w:hAnsi="Century Schoolbook"/>
        </w:rPr>
        <w:fldChar w:fldCharType="end"/>
      </w:r>
      <w:r w:rsidRPr="00662E51">
        <w:rPr>
          <w:rFonts w:ascii="Century Schoolbook" w:hAnsi="Century Schoolbook"/>
        </w:rPr>
        <w:t xml:space="preserve">. Emphasising accommodative forms of resistance allows me to trace how, at the micro-level, BFYA produced answerable subjects and full citizens. </w:t>
      </w:r>
      <w:r w:rsidR="009031F5" w:rsidRPr="00662E51">
        <w:rPr>
          <w:rFonts w:ascii="Century Schoolbook" w:hAnsi="Century Schoolbook"/>
        </w:rPr>
        <w:t>My emphasis does not ignore the importance of confrontation; rather, the intent is to highlight the strategic value of accommodative resistance.</w:t>
      </w:r>
    </w:p>
    <w:p w14:paraId="26D7DF81" w14:textId="77777777" w:rsidR="00DE5968" w:rsidRPr="00662E51" w:rsidRDefault="00DE5968" w:rsidP="00F56305">
      <w:pPr>
        <w:pStyle w:val="Newparagraph"/>
        <w:spacing w:line="360" w:lineRule="auto"/>
        <w:jc w:val="both"/>
        <w:rPr>
          <w:rFonts w:ascii="Century Schoolbook" w:hAnsi="Century Schoolbook"/>
        </w:rPr>
      </w:pPr>
    </w:p>
    <w:p w14:paraId="42A6323A" w14:textId="77777777" w:rsidR="00DE5968" w:rsidRPr="00662E51" w:rsidRDefault="00DE5968" w:rsidP="00F56305">
      <w:pPr>
        <w:pStyle w:val="Heading3"/>
      </w:pPr>
      <w:bookmarkStart w:id="336" w:name="_Toc221184352"/>
      <w:bookmarkStart w:id="337" w:name="_Toc231215270"/>
      <w:r w:rsidRPr="00662E51">
        <w:t>Authoritarian Neoliberalism during Thatcher:</w:t>
      </w:r>
      <w:bookmarkEnd w:id="336"/>
      <w:bookmarkEnd w:id="337"/>
    </w:p>
    <w:p w14:paraId="4AECB85D" w14:textId="7A63B9DE" w:rsidR="00234326" w:rsidRDefault="00DE5968" w:rsidP="00421807">
      <w:pPr>
        <w:pStyle w:val="Paragraph"/>
        <w:spacing w:before="0" w:line="360" w:lineRule="auto"/>
        <w:ind w:firstLine="720"/>
        <w:jc w:val="both"/>
        <w:rPr>
          <w:rFonts w:ascii="Century Schoolbook" w:hAnsi="Century Schoolbook"/>
        </w:rPr>
      </w:pPr>
      <w:r w:rsidRPr="00662E51">
        <w:rPr>
          <w:rFonts w:ascii="Century Schoolbook" w:hAnsi="Century Schoolbook"/>
        </w:rPr>
        <w:t xml:space="preserve">As aforementioned, Thatcherism was tightly bound up with authoritarianism, and thus political advocacy during this time period was constrained by police coercion and insulation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{"citationID":"omBGv9gJ","properties":{"formattedCitation":"(S. Hall et al. [1978] 2019)","plainCitation":"(S. Hall et al. [1978] 2019)","noteIndex":0},"citationItems":[{"id":5777,"uris":["http://zotero.org/users/8977980/items/3K89WG2H"],"itemData":{"id":5777,"type":"book","edition":"2nd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(S. Hall et al. [1978] 2019)</w:t>
      </w:r>
      <w:r w:rsidRPr="00662E51">
        <w:rPr>
          <w:rFonts w:ascii="Century Schoolbook" w:hAnsi="Century Schoolbook"/>
        </w:rPr>
        <w:fldChar w:fldCharType="end"/>
      </w:r>
      <w:r w:rsidRPr="00662E51">
        <w:rPr>
          <w:rFonts w:ascii="Century Schoolbook" w:hAnsi="Century Schoolbook"/>
        </w:rPr>
        <w:t xml:space="preserve">. Elliott-Cooper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fRI1b96M","properties":{"formattedCitation":"(2021)","plainCitation":"(2021)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(2021)</w:t>
      </w:r>
      <w:r w:rsidRPr="00662E51">
        <w:rPr>
          <w:rFonts w:ascii="Century Schoolbook" w:hAnsi="Century Schoolbook"/>
        </w:rPr>
        <w:fldChar w:fldCharType="end"/>
      </w:r>
      <w:r w:rsidRPr="00662E51">
        <w:rPr>
          <w:rFonts w:ascii="Century Schoolbook" w:hAnsi="Century Schoolbook"/>
        </w:rPr>
        <w:t xml:space="preserve"> reminds us that to be Black in Britain is to always suffer authoritarianism, whether it is explicitly racist police violence or colonialist logics </w:t>
      </w:r>
      <w:r w:rsidRPr="00662E51">
        <w:rPr>
          <w:rFonts w:ascii="Century Schoolbook" w:hAnsi="Century Schoolbook"/>
        </w:rPr>
        <w:lastRenderedPageBreak/>
        <w:t xml:space="preserve">that insulate(d) the state from dissent. Broadwater Farm was no different: as a stigmatised territory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{"citationID":"MBQnACEg","properties":{"formattedCitation":"(Wacquant et al. 2014)","plainCitation":"(Wacquant et al. 2014)","noteIndex":0},"citationItems":[{"id":4557,"uris":["http://zotero.org/users/8977980/items/QNSJUP9M"],"itemData":{"id":4557,"type":"article-journal","abstract":"This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Borges"}],"issued":{"date-parts":[["2014",6,1]]}}}],"schema":"https://github.com/citation-style-language/schema/raw/master/csl-citation.json"} </w:instrText>
      </w:r>
      <w:r w:rsidRPr="00662E51">
        <w:rPr>
          <w:rFonts w:ascii="Century Schoolbook" w:hAnsi="Century Schoolbook"/>
        </w:rPr>
        <w:fldChar w:fldCharType="separate"/>
      </w:r>
      <w:r w:rsidR="005E72FD" w:rsidRPr="00662E51">
        <w:rPr>
          <w:rFonts w:ascii="Century Schoolbook" w:hAnsi="Century Schoolbook"/>
        </w:rPr>
        <w:t>(Wacquant et al. 2014)</w:t>
      </w:r>
      <w:r w:rsidRPr="00662E51">
        <w:rPr>
          <w:rFonts w:ascii="Century Schoolbook" w:hAnsi="Century Schoolbook"/>
        </w:rPr>
        <w:fldChar w:fldCharType="end"/>
      </w:r>
      <w:r w:rsidRPr="00662E51">
        <w:rPr>
          <w:rFonts w:ascii="Century Schoolbook" w:hAnsi="Century Schoolbook"/>
        </w:rPr>
        <w:t xml:space="preserve">, it was routinely the subject of a local form of authoritarian neoliberalism. For one, as described by K.3 and K.4, the estate experienced heightened policing designed to punish the residents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{"citationID":"Oh2yjUDR","properties":{"formattedCitation":"(see also Gifford 1986; Jefferson 2012)","plainCitation":"(see also Gifford 1986; Jefferson 2012)","noteIndex":0},"citationItems":[{"id":5214,"uris":["http://zotero.org/users/8977980/items/QT5S27DM"],"itemData":{"id":5214,"type":"book","edition":"First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Tottenham","URL":"https://berniegrantarchive.org.uk/bg-303-623-bro/","author":[{"family":"Gifford","given":"Lord"}],"issued":{"date-parts":[["1986",1,1]]}},"prefix":"see also"},{"id":5828,"uris":["http://zotero.org/users/8977980/items/7A3KPT7E"],"itemData":{"id":5828,"type":"article-journal","container-title":"Criminal Justice Matters","DOI":"10.1080/09627251.2012.670995","ISSN":"0962-7251","issue":"1","note":"_eprint: https://doi.org/10.1080/09627251.2012.670995","page":"8-9","publisher":"Routledge","source":"Taylor and Francis+NEJM","title":"Policing the riots: from Bristol and Brixton to Tottenham, via Toxteth, Handsworth, etc: Tony Jefferson tells the angry, ongoing story of rioting over the past 30 years","title-short":"Policing the riots","volume":"87","author":[{"family":"Jefferson","given":"Tony"}],"issued":{"date-parts":[["2012",3,1]]}}}],"schema":"https://github.com/citation-style-language/schema/raw/master/csl-citation.json"}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(see also Gifford 1986; Jefferson 2012)</w:t>
      </w:r>
      <w:r w:rsidRPr="00662E51">
        <w:rPr>
          <w:rFonts w:ascii="Century Schoolbook" w:hAnsi="Century Schoolbook"/>
        </w:rPr>
        <w:fldChar w:fldCharType="end"/>
      </w:r>
      <w:r w:rsidRPr="00662E51">
        <w:rPr>
          <w:rFonts w:ascii="Century Schoolbook" w:hAnsi="Century Schoolbook"/>
        </w:rPr>
        <w:t xml:space="preserve">. This was true even before the post-1985 uprising media frenzy that stigmatised  BF as a </w:t>
      </w:r>
      <w:r w:rsidR="000F0867" w:rsidRPr="00662E51">
        <w:rPr>
          <w:rFonts w:ascii="Century Schoolbook" w:hAnsi="Century Schoolbook"/>
        </w:rPr>
        <w:t>“</w:t>
      </w:r>
      <w:r w:rsidRPr="00662E51">
        <w:rPr>
          <w:rFonts w:ascii="Century Schoolbook" w:hAnsi="Century Schoolbook"/>
        </w:rPr>
        <w:t>hellish place of criminal activity and racial hatred</w:t>
      </w:r>
      <w:r w:rsidR="000F0867" w:rsidRPr="00662E51">
        <w:rPr>
          <w:rFonts w:ascii="Century Schoolbook" w:hAnsi="Century Schoolbook"/>
        </w:rPr>
        <w:t xml:space="preserve">” </w:t>
      </w:r>
      <w:r w:rsidRPr="00662E51">
        <w:rPr>
          <w:rFonts w:ascii="Century Schoolbook" w:hAnsi="Century Schoolbook"/>
        </w:rPr>
        <w:t>towards white inhabitants, with racist and moralising language</w:t>
      </w:r>
      <w:r w:rsidR="007B352C" w:rsidRPr="00662E51">
        <w:rPr>
          <w:rFonts w:ascii="Century Schoolbook" w:hAnsi="Century Schoolbook"/>
        </w:rPr>
        <w:t xml:space="preserve"> </w:t>
      </w:r>
      <w:r w:rsidR="007B352C" w:rsidRPr="00662E51">
        <w:rPr>
          <w:rFonts w:ascii="Century Schoolbook" w:hAnsi="Century Schoolbook"/>
        </w:rPr>
        <w:fldChar w:fldCharType="begin"/>
      </w:r>
      <w:r w:rsidR="00C64710" w:rsidRPr="00662E51">
        <w:rPr>
          <w:rFonts w:ascii="Century Schoolbook" w:hAnsi="Century Schoolbook"/>
        </w:rPr>
        <w:instrText xml:space="preserve"> ADDIN ZOTERO_ITEM CSL_CITATION {"citationID":"xvz9d7Yh","properties":{"formattedCitation":"(Gifford 1986, 124)","plainCitation":"(Gifford 1986, 124)","noteIndex":0},"citationItems":[{"id":5214,"uris":["http://zotero.org/users/8977980/items/QT5S27DM"],"itemData":{"id":5214,"type":"book","edition":"First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Tottenham","URL":"https://berniegrantarchive.org.uk/bg-303-623-bro/","author":[{"family":"Gifford","given":"Lord"}],"issued":{"date-parts":[["1986",1,1]]}},"locator":"124","label":"page"}],"schema":"https://github.com/citation-style-language/schema/raw/master/csl-citation.json"} </w:instrText>
      </w:r>
      <w:r w:rsidR="007B352C" w:rsidRPr="00662E51">
        <w:rPr>
          <w:rFonts w:ascii="Century Schoolbook" w:hAnsi="Century Schoolbook"/>
        </w:rPr>
        <w:fldChar w:fldCharType="separate"/>
      </w:r>
      <w:r w:rsidR="00C64710" w:rsidRPr="00662E51">
        <w:rPr>
          <w:rFonts w:ascii="Century Schoolbook" w:hAnsi="Century Schoolbook"/>
        </w:rPr>
        <w:t>(Gifford 1986, 124)</w:t>
      </w:r>
      <w:r w:rsidR="007B352C" w:rsidRPr="00662E51">
        <w:rPr>
          <w:rFonts w:ascii="Century Schoolbook" w:hAnsi="Century Schoolbook"/>
        </w:rPr>
        <w:fldChar w:fldCharType="end"/>
      </w:r>
      <w:r w:rsidR="007B352C" w:rsidRPr="00662E51">
        <w:rPr>
          <w:rFonts w:ascii="Century Schoolbook" w:hAnsi="Century Schoolbook"/>
        </w:rPr>
        <w:t>. The Gifford report</w:t>
      </w:r>
      <w:r w:rsidR="00C64710" w:rsidRPr="00662E51">
        <w:rPr>
          <w:rFonts w:ascii="Century Schoolbook" w:hAnsi="Century Schoolbook"/>
        </w:rPr>
        <w:t xml:space="preserve"> </w:t>
      </w:r>
      <w:r w:rsidR="00C64710" w:rsidRPr="00662E51">
        <w:rPr>
          <w:rFonts w:ascii="Century Schoolbook" w:hAnsi="Century Schoolbook"/>
        </w:rPr>
        <w:fldChar w:fldCharType="begin"/>
      </w:r>
      <w:r w:rsidR="00054FE6" w:rsidRPr="00662E51">
        <w:rPr>
          <w:rFonts w:ascii="Century Schoolbook" w:hAnsi="Century Schoolbook"/>
        </w:rPr>
        <w:instrText xml:space="preserve"> ADDIN ZOTERO_ITEM CSL_CITATION {"citationID":"fVMt802u","properties":{"formattedCitation":"(1986, 125)","plainCitation":"(1986, 125)","noteIndex":0},"citationItems":[{"id":5214,"uris":["http://zotero.org/users/8977980/items/QT5S27DM"],"itemData":{"id":5214,"type":"book","edition":"First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ocator":"125","label":"page","suppress-author":true}],"schema":"https://github.com/citation-style-language/schema/raw/master/csl-citation.json"} </w:instrText>
      </w:r>
      <w:r w:rsidR="00C64710" w:rsidRPr="00662E51">
        <w:rPr>
          <w:rFonts w:ascii="Century Schoolbook" w:hAnsi="Century Schoolbook"/>
        </w:rPr>
        <w:fldChar w:fldCharType="separate"/>
      </w:r>
      <w:r w:rsidR="00054FE6" w:rsidRPr="00662E51">
        <w:rPr>
          <w:rFonts w:ascii="Century Schoolbook" w:hAnsi="Century Schoolbook"/>
        </w:rPr>
        <w:t>(1986, 125)</w:t>
      </w:r>
      <w:r w:rsidR="00C64710" w:rsidRPr="00662E51">
        <w:rPr>
          <w:rFonts w:ascii="Century Schoolbook" w:hAnsi="Century Schoolbook"/>
        </w:rPr>
        <w:fldChar w:fldCharType="end"/>
      </w:r>
      <w:r w:rsidR="00C64710" w:rsidRPr="00662E51">
        <w:rPr>
          <w:rFonts w:ascii="Century Schoolbook" w:hAnsi="Century Schoolbook"/>
        </w:rPr>
        <w:t xml:space="preserve"> wri</w:t>
      </w:r>
      <w:r w:rsidR="007B352C" w:rsidRPr="00662E51">
        <w:rPr>
          <w:rFonts w:ascii="Century Schoolbook" w:hAnsi="Century Schoolbook"/>
        </w:rPr>
        <w:t>tes the following:</w:t>
      </w:r>
    </w:p>
    <w:p w14:paraId="4B4CC6D3" w14:textId="77777777" w:rsidR="00BC44B5" w:rsidRPr="00BC44B5" w:rsidRDefault="00BC44B5" w:rsidP="00BC44B5">
      <w:pPr>
        <w:pStyle w:val="Newparagraph"/>
        <w:spacing w:line="240" w:lineRule="auto"/>
      </w:pPr>
    </w:p>
    <w:p w14:paraId="4CBDD08E" w14:textId="67AF8AF5" w:rsidR="00234326" w:rsidRDefault="007B352C" w:rsidP="00BC44B5">
      <w:pPr>
        <w:pStyle w:val="Paragraph"/>
        <w:spacing w:before="0" w:line="240" w:lineRule="auto"/>
        <w:ind w:left="720"/>
        <w:jc w:val="both"/>
        <w:rPr>
          <w:rFonts w:ascii="Century Schoolbook" w:hAnsi="Century Schoolbook"/>
        </w:rPr>
      </w:pPr>
      <w:r w:rsidRPr="00662E51">
        <w:rPr>
          <w:rFonts w:ascii="Century Schoolbook" w:hAnsi="Century Schoolbook"/>
        </w:rPr>
        <w:t>The racist theme which appears in some of the reports which w</w:t>
      </w:r>
      <w:r w:rsidR="00054FE6" w:rsidRPr="00662E51">
        <w:rPr>
          <w:rFonts w:ascii="Century Schoolbook" w:hAnsi="Century Schoolbook"/>
        </w:rPr>
        <w:t xml:space="preserve">e </w:t>
      </w:r>
      <w:r w:rsidRPr="00662E51">
        <w:rPr>
          <w:rFonts w:ascii="Century Schoolbook" w:hAnsi="Century Schoolbook"/>
        </w:rPr>
        <w:t>have quoted - White people being hated and terrorised by Black - was reinforced by headlines about "hyenas", "butchers", and</w:t>
      </w:r>
      <w:r w:rsidR="00054FE6" w:rsidRPr="00662E51">
        <w:rPr>
          <w:rFonts w:ascii="Century Schoolbook" w:hAnsi="Century Schoolbook"/>
        </w:rPr>
        <w:t xml:space="preserve"> </w:t>
      </w:r>
      <w:r w:rsidRPr="00662E51">
        <w:rPr>
          <w:rFonts w:ascii="Century Schoolbook" w:hAnsi="Century Schoolbook"/>
        </w:rPr>
        <w:t>"monsters". It became personalised in a particularly unpleasant way</w:t>
      </w:r>
      <w:r w:rsidR="00054FE6" w:rsidRPr="00662E51">
        <w:rPr>
          <w:rFonts w:ascii="Century Schoolbook" w:hAnsi="Century Schoolbook"/>
        </w:rPr>
        <w:t xml:space="preserve"> </w:t>
      </w:r>
      <w:r w:rsidRPr="00662E51">
        <w:rPr>
          <w:rFonts w:ascii="Century Schoolbook" w:hAnsi="Century Schoolbook"/>
        </w:rPr>
        <w:t>around Councillor Bernie Grant. A report in the Sun of 9th October,</w:t>
      </w:r>
      <w:r w:rsidR="00054FE6" w:rsidRPr="00662E51">
        <w:rPr>
          <w:rFonts w:ascii="Century Schoolbook" w:hAnsi="Century Schoolbook"/>
        </w:rPr>
        <w:t xml:space="preserve"> </w:t>
      </w:r>
      <w:r w:rsidRPr="00662E51">
        <w:rPr>
          <w:rFonts w:ascii="Century Schoolbook" w:hAnsi="Century Schoolbook"/>
        </w:rPr>
        <w:t>under the headline "DON'T CALL ME BARMY BERNIE", describes</w:t>
      </w:r>
      <w:r w:rsidR="00054FE6" w:rsidRPr="00662E51">
        <w:rPr>
          <w:rFonts w:ascii="Century Schoolbook" w:hAnsi="Century Schoolbook"/>
        </w:rPr>
        <w:t xml:space="preserve"> </w:t>
      </w:r>
      <w:r w:rsidRPr="00662E51">
        <w:rPr>
          <w:rFonts w:ascii="Century Schoolbook" w:hAnsi="Century Schoolbook"/>
        </w:rPr>
        <w:t>Councillor Grant as "peeling a banana and juggling with an orange".</w:t>
      </w:r>
      <w:r w:rsidR="00054FE6" w:rsidRPr="00662E51">
        <w:rPr>
          <w:rFonts w:ascii="Century Schoolbook" w:hAnsi="Century Schoolbook"/>
        </w:rPr>
        <w:t xml:space="preserve"> </w:t>
      </w:r>
      <w:r w:rsidRPr="00662E51">
        <w:rPr>
          <w:rFonts w:ascii="Century Schoolbook" w:hAnsi="Century Schoolbook"/>
        </w:rPr>
        <w:t>An unnamed Labour councillor is quoted in the report as saying</w:t>
      </w:r>
      <w:r w:rsidR="00054FE6" w:rsidRPr="00662E51">
        <w:rPr>
          <w:rFonts w:ascii="Century Schoolbook" w:hAnsi="Century Schoolbook"/>
        </w:rPr>
        <w:t xml:space="preserve"> </w:t>
      </w:r>
      <w:r w:rsidRPr="00662E51">
        <w:rPr>
          <w:rFonts w:ascii="Century Schoolbook" w:hAnsi="Century Schoolbook"/>
        </w:rPr>
        <w:t>that: "Bernie Grant is like the leader of a Black tribe - always looking</w:t>
      </w:r>
      <w:r w:rsidR="00054FE6" w:rsidRPr="00662E51">
        <w:rPr>
          <w:rFonts w:ascii="Century Schoolbook" w:hAnsi="Century Schoolbook"/>
        </w:rPr>
        <w:t xml:space="preserve"> </w:t>
      </w:r>
      <w:r w:rsidRPr="00662E51">
        <w:rPr>
          <w:rFonts w:ascii="Century Schoolbook" w:hAnsi="Century Schoolbook"/>
        </w:rPr>
        <w:t>for battles and shaking his spear. He sees all Whites as his enemy."</w:t>
      </w:r>
      <w:r w:rsidR="00054FE6" w:rsidRPr="00662E51">
        <w:rPr>
          <w:rFonts w:ascii="Century Schoolbook" w:hAnsi="Century Schoolbook"/>
        </w:rPr>
        <w:t xml:space="preserve"> </w:t>
      </w:r>
      <w:r w:rsidRPr="00662E51">
        <w:rPr>
          <w:rFonts w:ascii="Century Schoolbook" w:hAnsi="Century Schoolbook"/>
        </w:rPr>
        <w:t>This kind of reporting had nothing to do with criticism of Councillor</w:t>
      </w:r>
      <w:r w:rsidR="00054FE6" w:rsidRPr="00662E51">
        <w:rPr>
          <w:rFonts w:ascii="Century Schoolbook" w:hAnsi="Century Schoolbook"/>
        </w:rPr>
        <w:t xml:space="preserve"> </w:t>
      </w:r>
      <w:r w:rsidRPr="00662E51">
        <w:rPr>
          <w:rFonts w:ascii="Century Schoolbook" w:hAnsi="Century Schoolbook"/>
        </w:rPr>
        <w:t>Grant's statements</w:t>
      </w:r>
      <w:r w:rsidR="00253D98">
        <w:rPr>
          <w:rFonts w:ascii="Century Schoolbook" w:hAnsi="Century Schoolbook"/>
        </w:rPr>
        <w:t>…</w:t>
      </w:r>
      <w:r w:rsidRPr="00662E51">
        <w:rPr>
          <w:rFonts w:ascii="Century Schoolbook" w:hAnsi="Century Schoolbook"/>
        </w:rPr>
        <w:t xml:space="preserve"> The crude images of</w:t>
      </w:r>
      <w:r w:rsidR="00054FE6" w:rsidRPr="00662E51">
        <w:rPr>
          <w:rFonts w:ascii="Century Schoolbook" w:hAnsi="Century Schoolbook"/>
        </w:rPr>
        <w:t xml:space="preserve"> </w:t>
      </w:r>
      <w:r w:rsidRPr="00662E51">
        <w:rPr>
          <w:rFonts w:ascii="Century Schoolbook" w:hAnsi="Century Schoolbook"/>
        </w:rPr>
        <w:t>Councillor Grant as being a madman from the jungle were</w:t>
      </w:r>
      <w:r w:rsidR="00054FE6" w:rsidRPr="00662E51">
        <w:rPr>
          <w:rFonts w:ascii="Century Schoolbook" w:hAnsi="Century Schoolbook"/>
        </w:rPr>
        <w:t xml:space="preserve"> </w:t>
      </w:r>
      <w:r w:rsidRPr="00662E51">
        <w:rPr>
          <w:rFonts w:ascii="Century Schoolbook" w:hAnsi="Century Schoolbook"/>
        </w:rPr>
        <w:t>inexcusable, and they were to continue for months.</w:t>
      </w:r>
    </w:p>
    <w:p w14:paraId="1DC8C7B6" w14:textId="77777777" w:rsidR="00BC44B5" w:rsidRPr="00BC44B5" w:rsidRDefault="00BC44B5" w:rsidP="00BC44B5">
      <w:pPr>
        <w:pStyle w:val="Newparagraph"/>
        <w:spacing w:line="240" w:lineRule="auto"/>
      </w:pPr>
    </w:p>
    <w:p w14:paraId="187F3366" w14:textId="679889B2" w:rsidR="004E7051" w:rsidRDefault="00DE5968" w:rsidP="00C664FF">
      <w:pPr>
        <w:pStyle w:val="Paragraph"/>
        <w:spacing w:before="0" w:line="360" w:lineRule="auto"/>
        <w:jc w:val="both"/>
        <w:rPr>
          <w:rFonts w:ascii="Century Schoolbook" w:hAnsi="Century Schoolbook"/>
        </w:rPr>
      </w:pPr>
      <w:r w:rsidRPr="00662E51">
        <w:rPr>
          <w:rFonts w:ascii="Century Schoolbook" w:hAnsi="Century Schoolbook"/>
        </w:rPr>
        <w:t xml:space="preserve">The stigmatisation of BF became an element in national discourse, as the repeated references in the Gifford report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{"citationID":"1P2IbIbv","properties":{"formattedCitation":"(1986)","plainCitation":"(1986)","noteIndex":0},"citationItems":[{"id":5214,"uris":["http://zotero.org/users/8977980/items/QT5S27DM"],"itemData":{"id":5214,"type":"book","edition":"First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(1986)</w:t>
      </w:r>
      <w:r w:rsidRPr="00662E51">
        <w:rPr>
          <w:rFonts w:ascii="Century Schoolbook" w:hAnsi="Century Schoolbook"/>
        </w:rPr>
        <w:fldChar w:fldCharType="end"/>
      </w:r>
      <w:r w:rsidRPr="00662E51">
        <w:rPr>
          <w:rFonts w:ascii="Century Schoolbook" w:hAnsi="Century Schoolbook"/>
        </w:rPr>
        <w:t xml:space="preserve"> attest to. The post-riot occupation is a flagrant example of police violence (KI.5, interview, 27 Jan. 2024) that both white inhabitants and local Tory politicians supported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{"citationID":"1eKHFeed","properties":{"formattedCitation":"(Kavanagh 1985; Platt 1986)","plainCitation":"(Kavanagh 1985; Platt 1986)","noteIndex":0},"citationItems":[{"id":5420,"uris":["http://zotero.org/users/8977980/items/S73MRGRV"],"itemData":{"id":5420,"type":"article-newspaper","archive":"George Padmore Institute","archive_location":"BPM/7/1/6/3","container-title":"The Journal","page":"4","publisher-place":"London (UK), United Kingdom","title":"'Keep police on the Farm' - 5,000 Petition Whitehall","author":[{"family":"Kavanagh","given":"Kevin"}],"issued":{"date-parts":[["1985",12,13]]}}},{"id":5374,"uris":["http://zotero.org/users/8977980/items/XDGD9REE"],"itemData":{"id":5374,"type":"article-magazine","archive":"Haringey Borough Archives","archive_location":"925.3 BRO","container-title":"New Socialist","issue":"37","page":"6-8","title":"Return to Broadwater Farm","author":[{"family":"Platt","given":"Steve"}],"issued":{"date-parts":[["1986",4]]}}}],"schema":"https://github.com/citation-style-language/schema/raw/master/csl-citation.json"}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(Kavanagh 1985; Platt 1986)</w:t>
      </w:r>
      <w:r w:rsidRPr="00662E51">
        <w:rPr>
          <w:rFonts w:ascii="Century Schoolbook" w:hAnsi="Century Schoolbook"/>
        </w:rPr>
        <w:fldChar w:fldCharType="end"/>
      </w:r>
      <w:r w:rsidRPr="00662E51">
        <w:rPr>
          <w:rFonts w:ascii="Century Schoolbook" w:hAnsi="Century Schoolbook"/>
        </w:rPr>
        <w:t xml:space="preserve">. AN is not just restricted to 1985, even with the increase in race-related uprisings in other cities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{"citationID":"gSAo3fQo","properties":{"formattedCitation":"(Elliott-Cooper 2021)","plainCitation":"(Elliott-Cooper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(Elliott-Cooper 2021)</w:t>
      </w:r>
      <w:r w:rsidRPr="00662E51">
        <w:rPr>
          <w:rFonts w:ascii="Century Schoolbook" w:hAnsi="Century Schoolbook"/>
        </w:rPr>
        <w:fldChar w:fldCharType="end"/>
      </w:r>
      <w:r w:rsidRPr="00662E51">
        <w:rPr>
          <w:rFonts w:ascii="Century Schoolbook" w:hAnsi="Century Schoolbook"/>
        </w:rPr>
        <w:t xml:space="preserve">. The Broadwater Farm Defense Campaign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{"citationID":"b7ivOKlP","properties":{"formattedCitation":"(Elliott-Cooper 2021)","plainCitation":"(Elliott-Cooper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(Elliott-Cooper 2021)</w:t>
      </w:r>
      <w:r w:rsidRPr="00662E51">
        <w:rPr>
          <w:rFonts w:ascii="Century Schoolbook" w:hAnsi="Century Schoolbook"/>
        </w:rPr>
        <w:fldChar w:fldCharType="end"/>
      </w:r>
      <w:r w:rsidRPr="00662E51">
        <w:rPr>
          <w:rFonts w:ascii="Century Schoolbook" w:hAnsi="Century Schoolbook"/>
        </w:rPr>
        <w:t xml:space="preserve">, a police oversight and community defense group, demonstrates ongoing AN in Tottenham and across the UK. My emphasis on race is not to erase the inclusive, multiracial politics of BFYA (discussed below). Instead, race matters because powerful institutions </w:t>
      </w:r>
      <w:r w:rsidR="00085F16" w:rsidRPr="00662E51">
        <w:rPr>
          <w:rFonts w:ascii="Century Schoolbook" w:hAnsi="Century Schoolbook"/>
        </w:rPr>
        <w:t xml:space="preserve">(like media organs and state actors) </w:t>
      </w:r>
      <w:r w:rsidRPr="00662E51">
        <w:rPr>
          <w:rFonts w:ascii="Century Schoolbook" w:hAnsi="Century Schoolbook"/>
        </w:rPr>
        <w:t xml:space="preserve">racialised the estate, the Association, and crime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{"citationID":"sUAcBmGZ","properties":{"formattedCitation":"(S. Hall et al. [1978] 2019)","plainCitation":"(S. Hall et al. [1978] 2019)","noteIndex":0},"citationItems":[{"id":5777,"uris":["http://zotero.org/users/8977980/items/3K89WG2H"],"itemData":{"id":5777,"type":"book","edition":"2nd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(S. Hall et al. [1978] 2019)</w:t>
      </w:r>
      <w:r w:rsidRPr="00662E51">
        <w:rPr>
          <w:rFonts w:ascii="Century Schoolbook" w:hAnsi="Century Schoolbook"/>
        </w:rPr>
        <w:fldChar w:fldCharType="end"/>
      </w:r>
      <w:r w:rsidRPr="00662E51">
        <w:rPr>
          <w:rFonts w:ascii="Century Schoolbook" w:hAnsi="Century Schoolbook"/>
        </w:rPr>
        <w:t xml:space="preserve">. In turn, the estate was further stigmatised, punished, and isolated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{"citationID":"b2bIDAxs","properties":{"formattedCitation":"(Wacquant et al. 2014)","plainCitation":"(Wacquant et al. 2014)","noteIndex":0},"citationItems":[{"id":4557,"uris":["http://zotero.org/users/8977980/items/QNSJUP9M"],"itemData":{"id":4557,"type":"article-journal","abstract":"This theme issue of Environment and Planning A builds on the analytic framework elaborated by Wacquant in Urban Outcasts (Polity Press, 2008) and on the activities of the Leverhulme Network on Advanced Urban Marginality to synthesize and stimulate inquiries into the triadic nexus of symbolic space, social space, and physical space at the lower end of the urban spectrum. The concept of territorial stigmatization weds with Bourdieu's theory of ‘symbolic power’ Goffman's model of the management of ‘spoiled identity’ to capture how the blemish of place impacts the residents of disparaged districts, the surrounding denizens and commercial operators, street-level public bureaucracies, specialists in cultural production (such as journalists, scholars, and politicians), and state officials and policies. Spatial taint is a novel and distinctive phenomenon that crystallized at century's end along with the dissolution of the neighborhoods of relegation emblematic of the Fordist–Keynesian phase of industrial capitalism. It differs from the traditional topography of disrepute in the industrial city in that it has become autonomized, nationalized and democratized, equated with social disintegration, racialized through selective accentuation, and it elicits revulsion often leading to punitive corrective measures. The sociosymbolic strategies fashioned by the residents of defamed quarters to cope with spatial denigration span a panoply ranging from submission to defiance, and their adoption depends on position and trajectory in social and physical space. Territorial stigmatization is not a static condition or a neutral process, but a consequential and injurious form of action through collective representation fastened on place. By probing how it operates in different urban settings and political formations, the contributors to this issue advance our empirical understanding of the role of symbolic structures in the production of inequality and marginality in the city. They also suggest the need for public policies designed to reduce, not only the burden of material deprivation, but also the press of symbolic domination in the metropolis.","container-title":"Environment and Planning A: Economy and Space","DOI":"10.1068/a4606ge","ISSN":"0308-518X","issue":"6","journalAbbreviation":"Environ Plan A","language":"en","page":"1270-1280","publisher":"SAGE Publications Ltd","source":"SAGE Journals","title":"Territorial Stigmatization in Action","volume":"46","author":[{"family":"Wacquant","given":"Loïc"},{"family":"Slater","given":"Tom"},{"family":"Pereira","given":"Virgílio Borges"}],"issued":{"date-parts":[["2014",6,1]]}}}],"schema":"https://github.com/citation-style-language/schema/raw/master/csl-citation.json"} </w:instrText>
      </w:r>
      <w:r w:rsidRPr="00662E51">
        <w:rPr>
          <w:rFonts w:ascii="Century Schoolbook" w:hAnsi="Century Schoolbook"/>
        </w:rPr>
        <w:fldChar w:fldCharType="separate"/>
      </w:r>
      <w:r w:rsidR="005E72FD" w:rsidRPr="00662E51">
        <w:rPr>
          <w:rFonts w:ascii="Century Schoolbook" w:hAnsi="Century Schoolbook"/>
        </w:rPr>
        <w:t>(Wacquant et al. 2014)</w:t>
      </w:r>
      <w:r w:rsidRPr="00662E51">
        <w:rPr>
          <w:rFonts w:ascii="Century Schoolbook" w:hAnsi="Century Schoolbook"/>
        </w:rPr>
        <w:fldChar w:fldCharType="end"/>
      </w:r>
      <w:r w:rsidRPr="00662E51">
        <w:rPr>
          <w:rFonts w:ascii="Century Schoolbook" w:hAnsi="Century Schoolbook"/>
        </w:rPr>
        <w:t xml:space="preserve">. </w:t>
      </w:r>
      <w:r w:rsidR="007E633B" w:rsidRPr="00662E51">
        <w:rPr>
          <w:rFonts w:ascii="Century Schoolbook" w:hAnsi="Century Schoolbook"/>
        </w:rPr>
        <w:t xml:space="preserve">Indeed, KI.4—who is white—remembers a time </w:t>
      </w:r>
      <w:r w:rsidR="000453AF" w:rsidRPr="00662E51">
        <w:rPr>
          <w:rFonts w:ascii="Century Schoolbook" w:hAnsi="Century Schoolbook"/>
        </w:rPr>
        <w:t>the BFYA were threatened:</w:t>
      </w:r>
    </w:p>
    <w:p w14:paraId="5DCDF72A" w14:textId="77777777" w:rsidR="00BC44B5" w:rsidRPr="00BC44B5" w:rsidRDefault="00BC44B5" w:rsidP="00BC44B5">
      <w:pPr>
        <w:pStyle w:val="Newparagraph"/>
        <w:spacing w:line="240" w:lineRule="auto"/>
      </w:pPr>
    </w:p>
    <w:p w14:paraId="50C90115" w14:textId="3958402C" w:rsidR="004E7051" w:rsidRDefault="005E419C" w:rsidP="00BC44B5">
      <w:pPr>
        <w:pStyle w:val="Paragraph"/>
        <w:spacing w:before="0" w:line="240" w:lineRule="auto"/>
        <w:ind w:left="720"/>
        <w:rPr>
          <w:rFonts w:ascii="Century Schoolbook" w:hAnsi="Century Schoolbook"/>
        </w:rPr>
      </w:pPr>
      <w:r w:rsidRPr="00662E51">
        <w:rPr>
          <w:rFonts w:ascii="Century Schoolbook" w:hAnsi="Century Schoolbook"/>
        </w:rPr>
        <w:t>We used to get hate mail for working in a black community. Letters with razor blades, sizes, cassette with a message saying “We know who you are. We know where you live.” My car used to get burgled and the only thing that was taken from my briefcase was contacts and addresses… so it was just information gathering…. we were seen as a direct threat.</w:t>
      </w:r>
      <w:r w:rsidR="002568F4" w:rsidRPr="00662E51">
        <w:rPr>
          <w:rFonts w:ascii="Century Schoolbook" w:hAnsi="Century Schoolbook"/>
        </w:rPr>
        <w:t xml:space="preserve"> </w:t>
      </w:r>
      <w:r w:rsidR="00B91B63" w:rsidRPr="00662E51">
        <w:rPr>
          <w:rFonts w:ascii="Century Schoolbook" w:hAnsi="Century Schoolbook"/>
        </w:rPr>
        <w:t>Because we're getting organised, you know, and getting things done.</w:t>
      </w:r>
    </w:p>
    <w:p w14:paraId="6F000869" w14:textId="77777777" w:rsidR="00BC44B5" w:rsidRPr="00BC44B5" w:rsidRDefault="00BC44B5" w:rsidP="00BC44B5">
      <w:pPr>
        <w:pStyle w:val="Newparagraph"/>
        <w:spacing w:line="240" w:lineRule="auto"/>
      </w:pPr>
    </w:p>
    <w:p w14:paraId="7CE1B727" w14:textId="0CE49128" w:rsidR="00DE5968" w:rsidRPr="00662E51" w:rsidRDefault="00DE5968" w:rsidP="00054FE6">
      <w:pPr>
        <w:pStyle w:val="Paragraph"/>
        <w:spacing w:before="0" w:line="360" w:lineRule="auto"/>
        <w:jc w:val="both"/>
        <w:rPr>
          <w:rFonts w:ascii="Century Schoolbook" w:hAnsi="Century Schoolbook"/>
        </w:rPr>
      </w:pPr>
      <w:r w:rsidRPr="00662E51">
        <w:rPr>
          <w:rFonts w:ascii="Century Schoolbook" w:hAnsi="Century Schoolbook"/>
        </w:rPr>
        <w:t xml:space="preserve">On insulation, Dillon and Fanning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{"citationID":"pGMrjXKb","properties":{"formattedCitation":"(2011, 59)","plainCitation":"(2011, 59)","noteIndex":0},"citationItems":[{"id":254,"uris":["http://zotero.org/users/8977980/items/4A2LKAH2"],"itemData":{"id":254,"type":"book","collection-title":"Urban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locator":"59","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(2011, 59)</w:t>
      </w:r>
      <w:r w:rsidRPr="00662E51">
        <w:rPr>
          <w:rFonts w:ascii="Century Schoolbook" w:hAnsi="Century Schoolbook"/>
        </w:rPr>
        <w:fldChar w:fldCharType="end"/>
      </w:r>
      <w:r w:rsidRPr="00662E51">
        <w:rPr>
          <w:rFonts w:ascii="Century Schoolbook" w:hAnsi="Century Schoolbook"/>
        </w:rPr>
        <w:t xml:space="preserve"> document a significant history of Haringey Council engaging in what they call </w:t>
      </w:r>
      <w:r w:rsidR="00090B9F" w:rsidRPr="00662E51">
        <w:rPr>
          <w:rFonts w:ascii="Century Schoolbook" w:hAnsi="Century Schoolbook"/>
        </w:rPr>
        <w:t>“</w:t>
      </w:r>
      <w:r w:rsidRPr="00662E51">
        <w:rPr>
          <w:rFonts w:ascii="Century Schoolbook" w:hAnsi="Century Schoolbook"/>
        </w:rPr>
        <w:t>paternalistic municipalism.</w:t>
      </w:r>
      <w:r w:rsidR="00090B9F" w:rsidRPr="00662E51">
        <w:rPr>
          <w:rFonts w:ascii="Century Schoolbook" w:hAnsi="Century Schoolbook"/>
        </w:rPr>
        <w:t>”</w:t>
      </w:r>
      <w:r w:rsidRPr="00662E51">
        <w:rPr>
          <w:rFonts w:ascii="Century Schoolbook" w:hAnsi="Century Schoolbook"/>
        </w:rPr>
        <w:t xml:space="preserve"> This orientation towards residents meant the Council managed participation rather than seriously taking it into consideration, especially in housing and planning. It also indicates the scalar dimension of AN—insulation occurs at the local level, too. For example, by funnelling funding towards its own community centres, the Council established </w:t>
      </w:r>
      <w:r w:rsidR="00090B9F" w:rsidRPr="00662E51">
        <w:rPr>
          <w:rFonts w:ascii="Century Schoolbook" w:hAnsi="Century Schoolbook"/>
        </w:rPr>
        <w:t>“</w:t>
      </w:r>
      <w:r w:rsidRPr="00662E51">
        <w:rPr>
          <w:rFonts w:ascii="Century Schoolbook" w:hAnsi="Century Schoolbook"/>
        </w:rPr>
        <w:t>proxies to be consulted in lieu of wider engagement with communities,</w:t>
      </w:r>
      <w:r w:rsidR="00090B9F" w:rsidRPr="00662E51">
        <w:rPr>
          <w:rFonts w:ascii="Century Schoolbook" w:hAnsi="Century Schoolbook"/>
        </w:rPr>
        <w:t>”</w:t>
      </w:r>
      <w:r w:rsidRPr="00662E51">
        <w:rPr>
          <w:rFonts w:ascii="Century Schoolbook" w:hAnsi="Century Schoolbook"/>
        </w:rPr>
        <w:t xml:space="preserve"> which replaced rather than supported genuine community consultation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{"citationID":"Up2rjjYW","properties":{"formattedCitation":"(Dillon and Fanning 2011, 35)","plainCitation":"(Dillon and Fanning 2011, 35)","noteIndex":0},"citationItems":[{"id":254,"uris":["http://zotero.org/users/8977980/items/4A2LKAH2"],"itemData":{"id":254,"type":"book","collection-title":"Urban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locator":"35","label":"pag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(Dillon and Fanning 2011, 35)</w:t>
      </w:r>
      <w:r w:rsidRPr="00662E51">
        <w:rPr>
          <w:rFonts w:ascii="Century Schoolbook" w:hAnsi="Century Schoolbook"/>
        </w:rPr>
        <w:fldChar w:fldCharType="end"/>
      </w:r>
      <w:r w:rsidRPr="00662E51">
        <w:rPr>
          <w:rFonts w:ascii="Century Schoolbook" w:hAnsi="Century Schoolbook"/>
        </w:rPr>
        <w:t xml:space="preserve">. Stirling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{"citationID":"Ht3seCI4","properties":{"formattedCitation":"(2022)","plainCitation":"(2022)","noteIndex":0},"citationItems":[{"id":5209,"uris":["http://zotero.org/users/8977980/items/V3IR23E3"],"itemData":{"id":5209,"type":"interview","abstract":"In the third episode of the Lost Blocks Collective podcast, LBC member Elliesse sits down with Clasford Stirling, an incredibly well-known community figure in Broadwater Farm, who has worked with the youth on the estate since the 1980's. Clasford talks us through the history of the estate, highlighting a number of different community figures and detailing the incredible work of the Youth Association, which he helped formed. \n\nIn The Voices of Broadwater Farm podcast the Collective interview a number of Broadwater Farm residents and community figures, providing them with a platform through which to discuss the estate and their experiences growing up there.","title":"The Voices of Broadwater Farm - Clasford Stirling MBE","URL":"https://www.youtube.com/watch?v=kx6PtEipg0M","interviewer":[{"literal":"Lost Block Collective"}],"author":[{"family":"Stirling","given":"Clasford"}],"accessed":{"date-parts":[["2023",9,29]]},"issued":{"date-parts":[["2022",8,18]]}},"suppress-author":true}],"schema":"https://github.com/citation-style-language/schema/raw/master/csl-citation.json"}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(2022)</w:t>
      </w:r>
      <w:r w:rsidRPr="00662E51">
        <w:rPr>
          <w:rFonts w:ascii="Century Schoolbook" w:hAnsi="Century Schoolbook"/>
        </w:rPr>
        <w:fldChar w:fldCharType="end"/>
      </w:r>
      <w:r w:rsidRPr="00662E51">
        <w:rPr>
          <w:rFonts w:ascii="Century Schoolbook" w:hAnsi="Century Schoolbook"/>
        </w:rPr>
        <w:t>, BFYA leader, said that the problem with the Council is that they</w:t>
      </w:r>
      <w:r w:rsidR="00090B9F" w:rsidRPr="00662E51">
        <w:rPr>
          <w:rFonts w:ascii="Century Schoolbook" w:hAnsi="Century Schoolbook"/>
        </w:rPr>
        <w:t xml:space="preserve"> “</w:t>
      </w:r>
      <w:r w:rsidRPr="00662E51">
        <w:rPr>
          <w:rFonts w:ascii="Century Schoolbook" w:hAnsi="Century Schoolbook"/>
        </w:rPr>
        <w:t>believe their job is to regulate everything that happens on council estates,</w:t>
      </w:r>
      <w:r w:rsidR="00090B9F" w:rsidRPr="00662E51">
        <w:rPr>
          <w:rFonts w:ascii="Century Schoolbook" w:hAnsi="Century Schoolbook"/>
        </w:rPr>
        <w:t>”</w:t>
      </w:r>
      <w:r w:rsidRPr="00662E51">
        <w:rPr>
          <w:rFonts w:ascii="Century Schoolbook" w:hAnsi="Century Schoolbook"/>
        </w:rPr>
        <w:t xml:space="preserve"> while BFYA co-founder Kiffin believed that the Council resisted coordination with the BFYA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{"citationID":"hXOrhnnu","properties":{"formattedCitation":"(Young 1992; J. L. Smith 1993)","plainCitation":"(Young 1992; J. L. Smith 1993)","noteIndex":0},"citationItems":[{"id":5326,"uris":["http://zotero.org/users/8977980/items/ILJE9RXJ"],"itemData":{"id":5326,"type":"article-newspaper","archive":"The Times Digital Archive","container-title":"The Times","ISSN":"0140-0460","issue":"64377","language":"English","note":"8","page":"8","source":"Gale","title":"Tenants build a better future for Broadwater Farm","author":[{"family":"Young","given":"John"}],"issued":{"date-parts":[["1992",7,6]]}}},{"id":5324,"uris":["http://zotero.org/users/8977980/items/5VHBHWGE"],"itemData":{"id":5324,"type":"article-newspaper","archive":"The Times Digital Archive","container-title":"The Times","ISSN":"0140-0460","issue":"64704","language":"English","note":"14","page":"14","publisher-place":"London, UK","source":"Gale","title":"Back from the brink","author":[{"family":"Smith","given":"Julia Llewellyn"}],"issued":{"date-parts":[["1993",7,23]]}}}],"schema":"https://github.com/citation-style-language/schema/raw/master/csl-citation.json"}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(Young 1992; J. L. Smith 1993)</w:t>
      </w:r>
      <w:r w:rsidRPr="00662E51">
        <w:rPr>
          <w:rFonts w:ascii="Century Schoolbook" w:hAnsi="Century Schoolbook"/>
        </w:rPr>
        <w:fldChar w:fldCharType="end"/>
      </w:r>
      <w:r w:rsidRPr="00662E51">
        <w:rPr>
          <w:rFonts w:ascii="Century Schoolbook" w:hAnsi="Century Schoolbook"/>
        </w:rPr>
        <w:t xml:space="preserve">. Both KI.3 and KI.4 (interview, 27 Nov. 2023) remember having trouble with Haringey Council, ranging from bureaucratic runaround to delayed reporting. As such, AN in Broadwater Farm meant two things. First, the multiple scales of the state actively suppressed BF inhabitants. BF residents were ignored by their local council and then subjected to racist policing supported by Thatcherite, moralising discourses. Second, BF denizens were pushed outside the traditional citizenship framework. As Elliott-Cooper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{"citationID":"Zzx1zrPZ","properties":{"formattedCitation":"(2021, 68; see also S. Hall et al. [1978] 2019)","plainCitation":"(2021, 68; see also S. Hall et al. [1978] 2019)","noteIndex":0},"citationItems":[{"id":5679,"uris":["http://zotero.org/users/8977980/items/VM8DZIZ5"],"itemData":{"id":5679,"type":"book","DOI":"10.7765/9781526143945","ISBN":"978-1-5261-4394-5","publisher":"Manchester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locator":"68","label":"page","suppress-author":true},{"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label":"page","prefix":"see also"}],"schema":"https://github.com/citation-style-language/schema/raw/master/csl-citation.json"}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(2021, 68; see also S. Hall et al. [1978] 2019)</w:t>
      </w:r>
      <w:r w:rsidRPr="00662E51">
        <w:rPr>
          <w:rFonts w:ascii="Century Schoolbook" w:hAnsi="Century Schoolbook"/>
        </w:rPr>
        <w:fldChar w:fldCharType="end"/>
      </w:r>
      <w:r w:rsidRPr="00662E51">
        <w:rPr>
          <w:rFonts w:ascii="Century Schoolbook" w:hAnsi="Century Schoolbook"/>
        </w:rPr>
        <w:t xml:space="preserve"> writes, this framework follows from Thatcherism’s </w:t>
      </w:r>
      <w:r w:rsidR="00090B9F" w:rsidRPr="00662E51">
        <w:rPr>
          <w:rFonts w:ascii="Century Schoolbook" w:hAnsi="Century Schoolbook"/>
        </w:rPr>
        <w:t>“</w:t>
      </w:r>
      <w:r w:rsidRPr="00662E51">
        <w:rPr>
          <w:rFonts w:ascii="Century Schoolbook" w:hAnsi="Century Schoolbook"/>
        </w:rPr>
        <w:t>myth of the well-ordered, respectable, British nuclear family</w:t>
      </w:r>
      <w:r w:rsidR="00090B9F" w:rsidRPr="00662E51">
        <w:rPr>
          <w:rFonts w:ascii="Century Schoolbook" w:hAnsi="Century Schoolbook"/>
        </w:rPr>
        <w:t xml:space="preserve">” </w:t>
      </w:r>
      <w:r w:rsidRPr="00662E51">
        <w:rPr>
          <w:rFonts w:ascii="Century Schoolbook" w:hAnsi="Century Schoolbook"/>
        </w:rPr>
        <w:t xml:space="preserve">that was </w:t>
      </w:r>
      <w:r w:rsidR="00090B9F" w:rsidRPr="00662E51">
        <w:rPr>
          <w:rFonts w:ascii="Century Schoolbook" w:hAnsi="Century Schoolbook"/>
        </w:rPr>
        <w:t>“</w:t>
      </w:r>
      <w:r w:rsidRPr="00662E51">
        <w:rPr>
          <w:rFonts w:ascii="Century Schoolbook" w:hAnsi="Century Schoolbook"/>
        </w:rPr>
        <w:t>central here to the wider moral economy</w:t>
      </w:r>
      <w:r w:rsidR="00090B9F" w:rsidRPr="00662E51">
        <w:rPr>
          <w:rFonts w:ascii="Century Schoolbook" w:hAnsi="Century Schoolbook"/>
        </w:rPr>
        <w:t>”</w:t>
      </w:r>
      <w:r w:rsidRPr="00662E51">
        <w:rPr>
          <w:rFonts w:ascii="Century Schoolbook" w:hAnsi="Century Schoolbook"/>
        </w:rPr>
        <w:t xml:space="preserve"> of the era. These threads </w:t>
      </w:r>
      <w:r w:rsidR="009E64D5" w:rsidRPr="00662E51">
        <w:rPr>
          <w:rFonts w:ascii="Century Schoolbook" w:hAnsi="Century Schoolbook"/>
        </w:rPr>
        <w:t>indicate</w:t>
      </w:r>
      <w:r w:rsidRPr="00662E51">
        <w:rPr>
          <w:rFonts w:ascii="Century Schoolbook" w:hAnsi="Century Schoolbook"/>
        </w:rPr>
        <w:t xml:space="preserve"> a period of authoritarian neoliberalism that constrained activism of the day. It also reflects how the local state positioned BF residents as less-than-full citizens, ignoring their concerns and shutting them out of decision-making processes. It is in this milieu that the BFYA’s activism was able to succeed through accommodative resistance. </w:t>
      </w:r>
    </w:p>
    <w:p w14:paraId="7A3C5C6F" w14:textId="77777777" w:rsidR="00DE5968" w:rsidRPr="00662E51" w:rsidRDefault="00DE5968" w:rsidP="00F56305">
      <w:pPr>
        <w:pStyle w:val="Newparagraph"/>
        <w:spacing w:line="360" w:lineRule="auto"/>
        <w:jc w:val="both"/>
        <w:rPr>
          <w:rFonts w:ascii="Century Schoolbook" w:hAnsi="Century Schoolbook"/>
        </w:rPr>
      </w:pPr>
    </w:p>
    <w:p w14:paraId="78B30588" w14:textId="77777777" w:rsidR="00DE5968" w:rsidRPr="00662E51" w:rsidRDefault="00DE5968" w:rsidP="00F56305">
      <w:pPr>
        <w:pStyle w:val="Heading3"/>
      </w:pPr>
      <w:bookmarkStart w:id="338" w:name="_Toc221184353"/>
      <w:bookmarkStart w:id="339" w:name="_Toc231215271"/>
      <w:r w:rsidRPr="00662E51">
        <w:lastRenderedPageBreak/>
        <w:t>Resistance through Accommodation:</w:t>
      </w:r>
      <w:bookmarkEnd w:id="338"/>
      <w:bookmarkEnd w:id="339"/>
    </w:p>
    <w:p w14:paraId="514EA8A5" w14:textId="41291EBA" w:rsidR="005D7BAD" w:rsidRDefault="00DE5968" w:rsidP="005D7BAD">
      <w:pPr>
        <w:pStyle w:val="Paragraph"/>
        <w:spacing w:before="0" w:line="360" w:lineRule="auto"/>
        <w:ind w:firstLine="720"/>
        <w:jc w:val="both"/>
        <w:rPr>
          <w:rFonts w:ascii="Century Schoolbook" w:hAnsi="Century Schoolbook"/>
        </w:rPr>
      </w:pPr>
      <w:r w:rsidRPr="00662E51">
        <w:rPr>
          <w:rFonts w:ascii="Century Schoolbook" w:hAnsi="Century Schoolbook"/>
        </w:rPr>
        <w:t xml:space="preserve">With the context of authoritarian neoliberalism established, I now consider those activities that are </w:t>
      </w:r>
      <w:r w:rsidR="00090B9F" w:rsidRPr="00662E51">
        <w:rPr>
          <w:rFonts w:ascii="Century Schoolbook" w:hAnsi="Century Schoolbook"/>
        </w:rPr>
        <w:t>“</w:t>
      </w:r>
      <w:r w:rsidRPr="00662E51">
        <w:rPr>
          <w:rFonts w:ascii="Century Schoolbook" w:hAnsi="Century Schoolbook"/>
        </w:rPr>
        <w:t>resistance through accommodation</w:t>
      </w:r>
      <w:r w:rsidR="00090B9F" w:rsidRPr="00662E51">
        <w:rPr>
          <w:rFonts w:ascii="Century Schoolbook" w:hAnsi="Century Schoolbook"/>
        </w:rPr>
        <w:t xml:space="preserve">” </w:t>
      </w:r>
      <w:r w:rsidRPr="00662E51">
        <w:rPr>
          <w:rFonts w:ascii="Century Schoolbook" w:hAnsi="Century Schoolbook"/>
        </w:rPr>
        <w:t xml:space="preserve">as laid out by Jakimów </w:t>
      </w:r>
      <w:r w:rsidRPr="00662E51">
        <w:rPr>
          <w:rFonts w:ascii="Century Schoolbook" w:hAnsi="Century Schoolbook"/>
        </w:rPr>
        <w:fldChar w:fldCharType="begin"/>
      </w:r>
      <w:r w:rsidR="00F15CF8">
        <w:rPr>
          <w:rFonts w:ascii="Century Schoolbook" w:hAnsi="Century Schoolbook"/>
        </w:rPr>
        <w:instrText xml:space="preserve"> ADDIN ZOTERO_ITEM CSL_CITATION {"citationID":"IIQFFkE5","properties":{"formattedCitation":"(2017, 2022)","plainCitation":"(2017, 2022)","noteIndex":0},"citationItems":[{"id":5120,"uris":["http://zotero.org/users/8977980/items/LAMKT3ES"],"itemData":{"id":5120,"type":"article-journal","abstract":"Based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label":"page","suppress-author":true},{"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contexts","volume":"26","author":[{"family":"Jakimów","given":"Małgorzata"}],"issued":{"date-parts":[["2022",7,4]]}},"label":"page","suppress-author":true}],"schema":"https://github.com/citation-style-language/schema/raw/master/csl-citation.json"} </w:instrText>
      </w:r>
      <w:r w:rsidRPr="00662E51">
        <w:rPr>
          <w:rFonts w:ascii="Century Schoolbook" w:hAnsi="Century Schoolbook"/>
        </w:rPr>
        <w:fldChar w:fldCharType="separate"/>
      </w:r>
      <w:r w:rsidR="00F15CF8" w:rsidRPr="00F15CF8">
        <w:rPr>
          <w:rFonts w:ascii="Century Schoolbook" w:hAnsi="Century Schoolbook"/>
        </w:rPr>
        <w:t>(2017, 2022)</w:t>
      </w:r>
      <w:r w:rsidRPr="00662E51">
        <w:rPr>
          <w:rFonts w:ascii="Century Schoolbook" w:hAnsi="Century Schoolbook"/>
        </w:rPr>
        <w:fldChar w:fldCharType="end"/>
      </w:r>
      <w:r w:rsidRPr="00662E51">
        <w:rPr>
          <w:rFonts w:ascii="Century Schoolbook" w:hAnsi="Century Schoolbook"/>
        </w:rPr>
        <w:t xml:space="preserve">. BFYA’s initial conception, for instance, was to give the youth </w:t>
      </w:r>
      <w:r w:rsidR="00090B9F" w:rsidRPr="00662E51">
        <w:rPr>
          <w:rFonts w:ascii="Century Schoolbook" w:hAnsi="Century Schoolbook"/>
        </w:rPr>
        <w:t>“</w:t>
      </w:r>
      <w:r w:rsidRPr="00662E51">
        <w:rPr>
          <w:rFonts w:ascii="Century Schoolbook" w:hAnsi="Century Schoolbook"/>
        </w:rPr>
        <w:t>something to do</w:t>
      </w:r>
      <w:r w:rsidR="00090B9F" w:rsidRPr="00662E51">
        <w:rPr>
          <w:rFonts w:ascii="Century Schoolbook" w:hAnsi="Century Schoolbook"/>
        </w:rPr>
        <w:t xml:space="preserve">” </w:t>
      </w:r>
      <w:r w:rsidRPr="00662E51">
        <w:rPr>
          <w:rFonts w:ascii="Century Schoolbook" w:hAnsi="Century Schoolbook"/>
        </w:rPr>
        <w:t xml:space="preserve">because the local authority was failing to provide services, with the aim of reducing crime on the estate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{"citationID":"TLLLxbZW","properties":{"formattedCitation":"(Williams 1994)","plainCitation":"(Williams 1994)","noteIndex":0},"citationItems":[{"id":5315,"uris":["http://zotero.org/users/8977980/items/Q3WDKSWW"],"itemData":{"id":5315,"type":"book","abstract":"KEEPER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(Williams 1994)</w:t>
      </w:r>
      <w:r w:rsidRPr="00662E51">
        <w:rPr>
          <w:rFonts w:ascii="Century Schoolbook" w:hAnsi="Century Schoolbook"/>
        </w:rPr>
        <w:fldChar w:fldCharType="end"/>
      </w:r>
      <w:r w:rsidRPr="00662E51">
        <w:rPr>
          <w:rFonts w:ascii="Century Schoolbook" w:hAnsi="Century Schoolbook"/>
        </w:rPr>
        <w:t xml:space="preserve">. While parallel, non-state provision might be radical, it is in essence an enforcement of existing rights that are violated by the state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{"citationID":"1OatI2Bt","properties":{"formattedCitation":"(Jakim\\uc0\\u243{}w 2022)","plainCitation":"(Jakimów 2022)","noteIndex":0},"citationItems":[{"id":5118,"uris":["http://zotero.org/users/8977980/items/WQR8VRAH"],"itemData":{"id":5118,"type":"article-journal","abstract":"The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contexts","volume":"26","author":[{"family":"Jakimów","given":"Małgorzata"}],"issued":{"date-parts":[["2022",7,4]]}},"label":"page"}],"schema":"https://github.com/citation-style-language/schema/raw/master/csl-citation.json"}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(Jakimów 2022)</w:t>
      </w:r>
      <w:r w:rsidRPr="00662E51">
        <w:rPr>
          <w:rFonts w:ascii="Century Schoolbook" w:hAnsi="Century Schoolbook"/>
        </w:rPr>
        <w:fldChar w:fldCharType="end"/>
      </w:r>
      <w:r w:rsidRPr="00662E51">
        <w:rPr>
          <w:rFonts w:ascii="Century Schoolbook" w:hAnsi="Century Schoolbook"/>
        </w:rPr>
        <w:t xml:space="preserve">. The BFYA’s takeover of the chip shop was done with the (tacit) approval of the estate’s Housing Manager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{"citationID":"lxg6uI5J","properties":{"formattedCitation":"(Gifford 1986, 25)","plainCitation":"(Gifford 1986, 25)","noteIndex":0},"citationItems":[{"id":5214,"uris":["http://zotero.org/users/8977980/items/QT5S27DM"],"itemData":{"id":5214,"type":"book","edition":"First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Tottenham","URL":"https://berniegrantarchive.org.uk/bg-303-623-bro/","author":[{"family":"Gifford","given":"Lord"}],"issued":{"date-parts":[["1986",1,1]]}},"locator":"25"}],"schema":"https://github.com/citation-style-language/schema/raw/master/csl-citation.json"}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(Gifford 1986, 25)</w:t>
      </w:r>
      <w:r w:rsidRPr="00662E51">
        <w:rPr>
          <w:rFonts w:ascii="Century Schoolbook" w:hAnsi="Century Schoolbook"/>
        </w:rPr>
        <w:fldChar w:fldCharType="end"/>
      </w:r>
      <w:r w:rsidRPr="00662E51">
        <w:rPr>
          <w:rFonts w:ascii="Century Schoolbook" w:hAnsi="Century Schoolbook"/>
        </w:rPr>
        <w:t xml:space="preserve">. While an unorthodox approach, the takeover is another example of BFYA filling in for the state by creating a space for social mixing between residents of differing identities. This too can be seen in Platt’s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{"citationID":"4zDLaE3i","properties":{"formattedCitation":"(1986, 7)","plainCitation":"(1986, 7)","noteIndex":0},"citationItems":[{"id":5374,"uris":["http://zotero.org/users/8977980/items/XDGD9REE"],"itemData":{"id":5374,"type":"article-magazine","archive":"Haringey Borough Archives","archive_location":"925.3 BRO","container-title":"New Socialist","issue":"37","page":"6-8","title":"Return to Broadwater Farm","author":[{"family":"Platt","given":"Steve"}],"issued":{"date-parts":[["1986",4]]}},"locator":"7","label":"page","suppress-author":true}],"schema":"https://github.com/citation-style-language/schema/raw/master/csl-citation.json"}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(1986, 7)</w:t>
      </w:r>
      <w:r w:rsidRPr="00662E51">
        <w:rPr>
          <w:rFonts w:ascii="Century Schoolbook" w:hAnsi="Century Schoolbook"/>
        </w:rPr>
        <w:fldChar w:fldCharType="end"/>
      </w:r>
      <w:r w:rsidRPr="00662E51">
        <w:rPr>
          <w:rFonts w:ascii="Century Schoolbook" w:hAnsi="Century Schoolbook"/>
        </w:rPr>
        <w:t xml:space="preserve"> depiction of a white pensioner’s lunch club </w:t>
      </w:r>
      <w:r w:rsidR="00090B9F" w:rsidRPr="00662E51">
        <w:rPr>
          <w:rFonts w:ascii="Century Schoolbook" w:hAnsi="Century Schoolbook"/>
        </w:rPr>
        <w:t>“</w:t>
      </w:r>
      <w:r w:rsidRPr="00662E51">
        <w:rPr>
          <w:rFonts w:ascii="Century Schoolbook" w:hAnsi="Century Schoolbook"/>
        </w:rPr>
        <w:t>coexist[ing] in the same room as the Youth Association’s club for young people on the estate.</w:t>
      </w:r>
      <w:r w:rsidR="00090B9F" w:rsidRPr="00662E51">
        <w:rPr>
          <w:rFonts w:ascii="Century Schoolbook" w:hAnsi="Century Schoolbook"/>
        </w:rPr>
        <w:t xml:space="preserve">” </w:t>
      </w:r>
      <w:r w:rsidRPr="00662E51">
        <w:rPr>
          <w:rFonts w:ascii="Century Schoolbook" w:hAnsi="Century Schoolbook"/>
        </w:rPr>
        <w:t>The same is true of the nursery</w:t>
      </w:r>
      <w:r w:rsidR="00BC44B5">
        <w:rPr>
          <w:rFonts w:ascii="Century Schoolbook" w:hAnsi="Century Schoolbook"/>
        </w:rPr>
        <w:t xml:space="preserve">. </w:t>
      </w:r>
      <w:r w:rsidRPr="00662E51">
        <w:rPr>
          <w:rFonts w:ascii="Century Schoolbook" w:hAnsi="Century Schoolbook"/>
        </w:rPr>
        <w:t xml:space="preserve">Kiffin and colleagues once approached the Council’s Chief Executive, about access to space for the nursery. He </w:t>
      </w:r>
      <w:r w:rsidR="00B76E94">
        <w:rPr>
          <w:rFonts w:ascii="Century Schoolbook" w:hAnsi="Century Schoolbook"/>
        </w:rPr>
        <w:t>said</w:t>
      </w:r>
      <w:r w:rsidRPr="00662E51">
        <w:rPr>
          <w:rFonts w:ascii="Century Schoolbook" w:hAnsi="Century Schoolbook"/>
        </w:rPr>
        <w:t xml:space="preserve"> to the Gifford Report</w:t>
      </w:r>
      <w:r w:rsidR="00B76E94">
        <w:rPr>
          <w:rFonts w:ascii="Century Schoolbook" w:hAnsi="Century Schoolbook"/>
        </w:rPr>
        <w:t>,</w:t>
      </w:r>
    </w:p>
    <w:p w14:paraId="1B8A9DD2" w14:textId="77777777" w:rsidR="00BC44B5" w:rsidRPr="00BC44B5" w:rsidRDefault="00BC44B5" w:rsidP="00BC44B5">
      <w:pPr>
        <w:pStyle w:val="Newparagraph"/>
        <w:spacing w:line="240" w:lineRule="auto"/>
      </w:pPr>
    </w:p>
    <w:p w14:paraId="0B3885B2" w14:textId="0E76A97E" w:rsidR="00EA25D5" w:rsidRDefault="00EA25D5" w:rsidP="00BC44B5">
      <w:pPr>
        <w:pStyle w:val="Paragraph"/>
        <w:spacing w:before="0" w:line="240" w:lineRule="auto"/>
        <w:ind w:left="720"/>
        <w:jc w:val="both"/>
        <w:rPr>
          <w:rFonts w:ascii="Century Schoolbook" w:hAnsi="Century Schoolbook"/>
        </w:rPr>
      </w:pPr>
      <w:r w:rsidRPr="00662E51">
        <w:rPr>
          <w:rFonts w:ascii="Century Schoolbook" w:hAnsi="Century Schoolbook"/>
        </w:rPr>
        <w:t>“</w:t>
      </w:r>
      <w:r w:rsidR="005D7BAD" w:rsidRPr="00662E51">
        <w:rPr>
          <w:rFonts w:ascii="Century Schoolbook" w:hAnsi="Century Schoolbook"/>
        </w:rPr>
        <w:t>T</w:t>
      </w:r>
      <w:r w:rsidR="00DE5968" w:rsidRPr="00662E51">
        <w:rPr>
          <w:rFonts w:ascii="Century Schoolbook" w:hAnsi="Century Schoolbook"/>
        </w:rPr>
        <w:t>hey were quite determined about it. My little bit was to try and create a climate of opinion to overcome the resistance that obviously existed within the bureaucracy.</w:t>
      </w:r>
      <w:r w:rsidRPr="00662E51">
        <w:rPr>
          <w:rFonts w:ascii="Century Schoolbook" w:hAnsi="Century Schoolbook"/>
        </w:rPr>
        <w:t xml:space="preserve"> It was not the normal thing to do in those days, handing over this professional institution to unpaid volunteers. I told some minor white lies like saying, well it was only a temporary thing. I knew damned well that once Dolly Kiffin got her hands on it</w:t>
      </w:r>
      <w:r w:rsidR="00660A35" w:rsidRPr="00662E51">
        <w:rPr>
          <w:rFonts w:ascii="Century Schoolbook" w:hAnsi="Century Schoolbook"/>
        </w:rPr>
        <w:t>,</w:t>
      </w:r>
      <w:r w:rsidRPr="00662E51">
        <w:rPr>
          <w:rFonts w:ascii="Century Schoolbook" w:hAnsi="Century Schoolbook"/>
        </w:rPr>
        <w:t xml:space="preserve"> we would never get it back</w:t>
      </w:r>
      <w:r w:rsidR="00B76E94">
        <w:rPr>
          <w:rFonts w:ascii="Century Schoolbook" w:hAnsi="Century Schoolbook"/>
        </w:rPr>
        <w:t>.</w:t>
      </w:r>
      <w:r w:rsidRPr="00662E51">
        <w:rPr>
          <w:rFonts w:ascii="Century Schoolbook" w:hAnsi="Century Schoolbook"/>
        </w:rPr>
        <w:t>”</w:t>
      </w:r>
      <w:r w:rsidR="00B76E94">
        <w:rPr>
          <w:rFonts w:ascii="Century Schoolbook" w:hAnsi="Century Schoolbook"/>
        </w:rPr>
        <w:t xml:space="preserve"> </w:t>
      </w:r>
      <w:r w:rsidR="00B76E94" w:rsidRPr="00662E51">
        <w:rPr>
          <w:rFonts w:ascii="Century Schoolbook" w:hAnsi="Century Schoolbook"/>
        </w:rPr>
        <w:fldChar w:fldCharType="begin"/>
      </w:r>
      <w:r w:rsidR="00FE688C">
        <w:rPr>
          <w:rFonts w:ascii="Century Schoolbook" w:hAnsi="Century Schoolbook"/>
        </w:rPr>
        <w:instrText xml:space="preserve"> ADDIN ZOTERO_ITEM CSL_CITATION {"citationID":"uIYv5Z4e","properties":{"formattedCitation":"(Gifford 1986, 27\\uc0\\u8211{}28)","plainCitation":"(Gifford 1986, 27–28)","noteIndex":0},"citationItems":[{"id":5214,"uris":["http://zotero.org/users/8977980/items/QT5S27DM"],"itemData":{"id":5214,"type":"book","edition":"First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ocator":"27-8","label":"page"}],"schema":"https://github.com/citation-style-language/schema/raw/master/csl-citation.json"} </w:instrText>
      </w:r>
      <w:r w:rsidR="00B76E94" w:rsidRPr="00662E51">
        <w:rPr>
          <w:rFonts w:ascii="Century Schoolbook" w:hAnsi="Century Schoolbook"/>
        </w:rPr>
        <w:fldChar w:fldCharType="separate"/>
      </w:r>
      <w:r w:rsidR="00FE688C" w:rsidRPr="00FE688C">
        <w:rPr>
          <w:rFonts w:ascii="Century Schoolbook" w:hAnsi="Century Schoolbook"/>
        </w:rPr>
        <w:t>(Gifford 1986, 27–28)</w:t>
      </w:r>
      <w:r w:rsidR="00B76E94" w:rsidRPr="00662E51">
        <w:rPr>
          <w:rFonts w:ascii="Century Schoolbook" w:hAnsi="Century Schoolbook"/>
        </w:rPr>
        <w:fldChar w:fldCharType="end"/>
      </w:r>
    </w:p>
    <w:p w14:paraId="259D439B" w14:textId="77777777" w:rsidR="00BC44B5" w:rsidRPr="00BC44B5" w:rsidRDefault="00BC44B5" w:rsidP="00BC44B5">
      <w:pPr>
        <w:pStyle w:val="Newparagraph"/>
        <w:spacing w:line="240" w:lineRule="auto"/>
      </w:pPr>
    </w:p>
    <w:p w14:paraId="19564577" w14:textId="71136C64" w:rsidR="0000657C" w:rsidRDefault="00DE5968" w:rsidP="004C52E7">
      <w:pPr>
        <w:pStyle w:val="Paragraph"/>
        <w:spacing w:before="0" w:line="360" w:lineRule="auto"/>
        <w:jc w:val="both"/>
        <w:rPr>
          <w:rFonts w:ascii="Century Schoolbook" w:hAnsi="Century Schoolbook"/>
        </w:rPr>
      </w:pPr>
      <w:r w:rsidRPr="00662E51">
        <w:rPr>
          <w:rFonts w:ascii="Century Schoolbook" w:hAnsi="Century Schoolbook"/>
        </w:rPr>
        <w:t xml:space="preserve">BFYA was ultimately successful in their effort. Here, the YA engaged in accommodative resistance by “seeking to enforce… existing rights, which are often routinely violated” by the state through welfare provision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{"citationID":"EXHC1wBL","properties":{"formattedCitation":"(Jakim\\uc0\\u243{}w 2022, 509)","plainCitation":"(Jakimów 2022, 509)","noteIndex":0},"citationItems":[{"id":5118,"uris":["http://zotero.org/users/8977980/items/WQR8VRAH"],"itemData":{"id":5118,"type":"article-journal","abstract":"The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contexts","volume":"26","author":[{"family":"Jakimów","given":"Małgorzata"}],"issued":{"date-parts":[["2022",7,4]]}},"locator":"509"}],"schema":"https://github.com/citation-style-language/schema/raw/master/csl-citation.json"}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(Jakimów 2022, 509)</w:t>
      </w:r>
      <w:r w:rsidRPr="00662E51">
        <w:rPr>
          <w:rFonts w:ascii="Century Schoolbook" w:hAnsi="Century Schoolbook"/>
        </w:rPr>
        <w:fldChar w:fldCharType="end"/>
      </w:r>
      <w:r w:rsidRPr="00662E51">
        <w:rPr>
          <w:rFonts w:ascii="Century Schoolbook" w:hAnsi="Century Schoolbook"/>
        </w:rPr>
        <w:t xml:space="preserve">. This is not a protest or confrontation with Haringey Council; it is an accommodation of its failures by replacing it. As work continued post-uprising, the Association itself undertook some consultations for Haringey Council in connection with the £33 million refurbishment grant. Consultations began as early as 1983 and continued through at least 1988 for different projects like estate beautification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{"citationID":"8XVboMNj","properties":{"formattedCitation":"(BFYA 1988)","plainCitation":"(BFYA 1988)","noteIndex":0},"citationItems":[{"id":5369,"uris":["http://zotero.org/users/8977980/items/GA6G4QMX"],"itemData":{"id":5369,"type":"report","archive":"Haringey Borough Archives","archive_location":"925.3 BRO","publisher-place":"London, UK","title":"Cultivating the Farm: Environmental work carried out by the Community to improve conditions of living on the Broadwater Farm Estate","author":[{"literal":"BFYA"}],"issued":{"date-parts":[["1988"]]}}}],"schema":"https://github.com/citation-style-language/schema/raw/master/csl-citation.json"}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(BFYA 1988)</w:t>
      </w:r>
      <w:r w:rsidRPr="00662E51">
        <w:rPr>
          <w:rFonts w:ascii="Century Schoolbook" w:hAnsi="Century Schoolbook"/>
        </w:rPr>
        <w:fldChar w:fldCharType="end"/>
      </w:r>
      <w:r w:rsidRPr="00662E51">
        <w:rPr>
          <w:rFonts w:ascii="Century Schoolbook" w:hAnsi="Century Schoolbook"/>
        </w:rPr>
        <w:t xml:space="preserve">. At the time, consultations were normally conducted with the providers (unions) rather than users (council tenants)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{"citationID":"LCzDV4Xm","properties":{"formattedCitation":"(Dillon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 xml:space="preserve">(Dillon and </w:t>
      </w:r>
      <w:r w:rsidRPr="00662E51">
        <w:rPr>
          <w:rFonts w:ascii="Century Schoolbook" w:hAnsi="Century Schoolbook"/>
        </w:rPr>
        <w:lastRenderedPageBreak/>
        <w:t>Fanning 2011)</w:t>
      </w:r>
      <w:r w:rsidRPr="00662E51">
        <w:rPr>
          <w:rFonts w:ascii="Century Schoolbook" w:hAnsi="Century Schoolbook"/>
        </w:rPr>
        <w:fldChar w:fldCharType="end"/>
      </w:r>
      <w:r w:rsidRPr="00662E51">
        <w:rPr>
          <w:rFonts w:ascii="Century Schoolbook" w:hAnsi="Century Schoolbook"/>
        </w:rPr>
        <w:t>, so both represents a significant break from practice and is a moment when BF tenants became (literally) answerable subjects. BF residents also started negotiations with the Council to form a housing management team so that they could manage the estate themselves</w:t>
      </w:r>
      <w:r w:rsidR="00A66E83" w:rsidRPr="00662E51">
        <w:rPr>
          <w:rFonts w:ascii="Century Schoolbook" w:hAnsi="Century Schoolbook"/>
        </w:rPr>
        <w:t>, though I have not been able to trace this to conclusion</w:t>
      </w:r>
      <w:r w:rsidRPr="00662E51">
        <w:rPr>
          <w:rFonts w:ascii="Century Schoolbook" w:hAnsi="Century Schoolbook"/>
        </w:rPr>
        <w:t xml:space="preserv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{"citationID":"HpoHP4UX","properties":{"formattedCitation":"(Murray 1994)","plainCitation":"(Murray 1994)","noteIndex":0},"citationItems":[{"id":5320,"uris":["http://zotero.org/users/8977980/items/77G79AHT"],"itemData":{"id":5320,"type":"article-newspaper","archive":"The Times Digital Archive","container-title":"The Times","ISSN":"0140-0460","issue":"65017","language":"English","note":"3","page":"3","source":"Gale","title":"Residents object to outdated reputation","author":[{"family":"Murray","given":"Ian"}],"issued":{"date-parts":[["1994",7,27]]}}}],"schema":"https://github.com/citation-style-language/schema/raw/master/csl-citation.json"}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(Murray 1994)</w:t>
      </w:r>
      <w:r w:rsidRPr="00662E51">
        <w:rPr>
          <w:rFonts w:ascii="Century Schoolbook" w:hAnsi="Century Schoolbook"/>
        </w:rPr>
        <w:fldChar w:fldCharType="end"/>
      </w:r>
      <w:r w:rsidRPr="00662E51">
        <w:rPr>
          <w:rFonts w:ascii="Century Schoolbook" w:hAnsi="Century Schoolbook"/>
        </w:rPr>
        <w:t xml:space="preserve">. While these two activities were done with the consent of the local state, consent does not itself mean that the acts are not resistance. The use of existing laws (in the case of estate self-management) and the establishment of new political practices (in the case of consultation) represent moves against </w:t>
      </w:r>
      <w:r w:rsidR="00090B9F" w:rsidRPr="00662E51">
        <w:rPr>
          <w:rFonts w:ascii="Century Schoolbook" w:hAnsi="Century Schoolbook"/>
        </w:rPr>
        <w:t>“</w:t>
      </w:r>
      <w:r w:rsidRPr="00662E51">
        <w:rPr>
          <w:rFonts w:ascii="Century Schoolbook" w:hAnsi="Century Schoolbook"/>
        </w:rPr>
        <w:t>prescribed habitus and political taboos</w:t>
      </w:r>
      <w:r w:rsidR="00090B9F" w:rsidRPr="00662E51">
        <w:rPr>
          <w:rFonts w:ascii="Century Schoolbook" w:hAnsi="Century Schoolbook"/>
        </w:rPr>
        <w:t>”</w:t>
      </w:r>
      <w:r w:rsidRPr="00662E51">
        <w:rPr>
          <w:rFonts w:ascii="Century Schoolbook" w:hAnsi="Century Schoolbook"/>
        </w:rPr>
        <w:t xml:space="preserv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{"citationID":"i9sanneS","properties":{"formattedCitation":"(Jakim\\uc0\\u243{}w 2022, 509)","plainCitation":"(Jakimów 2022, 509)","noteIndex":0},"citationItems":[{"id":5118,"uris":["http://zotero.org/users/8977980/items/WQR8VRAH"],"itemData":{"id":5118,"type":"article-journal","abstract":"The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contexts","volume":"26","author":[{"family":"Jakimów","given":"Małgorzata"}],"issued":{"date-parts":[["2022",7,4]]}},"locator":"509","label":"page"}],"schema":"https://github.com/citation-style-language/schema/raw/master/csl-citation.json"}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(Jakimów 2022, 509)</w:t>
      </w:r>
      <w:r w:rsidRPr="00662E51">
        <w:rPr>
          <w:rFonts w:ascii="Century Schoolbook" w:hAnsi="Century Schoolbook"/>
        </w:rPr>
        <w:fldChar w:fldCharType="end"/>
      </w:r>
      <w:r w:rsidRPr="00662E51">
        <w:rPr>
          <w:rFonts w:ascii="Century Schoolbook" w:hAnsi="Century Schoolbook"/>
        </w:rPr>
        <w:t xml:space="preserve">. </w:t>
      </w:r>
      <w:r w:rsidR="00C1219D" w:rsidRPr="00662E51">
        <w:rPr>
          <w:rFonts w:ascii="Century Schoolbook" w:hAnsi="Century Schoolbook"/>
        </w:rPr>
        <w:t xml:space="preserve">This is because state actors did not expect BF residents (understood as Black, young, and politically disengaged) to demand the ‘right to have rights’ associated with full citizens. </w:t>
      </w:r>
      <w:r w:rsidR="00E8150F" w:rsidRPr="00662E51">
        <w:rPr>
          <w:rFonts w:ascii="Century Schoolbook" w:hAnsi="Century Schoolbook"/>
        </w:rPr>
        <w:t>Indeed, KI.3 (interview, 27 Nov. 2023</w:t>
      </w:r>
      <w:r w:rsidR="00056646" w:rsidRPr="00662E51">
        <w:rPr>
          <w:rFonts w:ascii="Century Schoolbook" w:hAnsi="Century Schoolbook"/>
        </w:rPr>
        <w:t>)</w:t>
      </w:r>
      <w:r w:rsidR="009554A0" w:rsidRPr="00662E51">
        <w:rPr>
          <w:rFonts w:ascii="Century Schoolbook" w:hAnsi="Century Schoolbook"/>
        </w:rPr>
        <w:t xml:space="preserve"> </w:t>
      </w:r>
      <w:r w:rsidR="0068306A" w:rsidRPr="00662E51">
        <w:rPr>
          <w:rFonts w:ascii="Century Schoolbook" w:hAnsi="Century Schoolbook"/>
        </w:rPr>
        <w:t xml:space="preserve">said, </w:t>
      </w:r>
    </w:p>
    <w:p w14:paraId="44EC81C1" w14:textId="77777777" w:rsidR="008B4588" w:rsidRPr="008B4588" w:rsidRDefault="008B4588" w:rsidP="008B4588">
      <w:pPr>
        <w:pStyle w:val="Newparagraph"/>
        <w:spacing w:line="240" w:lineRule="auto"/>
      </w:pPr>
    </w:p>
    <w:p w14:paraId="3F5C09CB" w14:textId="5D42DE84" w:rsidR="0000657C" w:rsidRDefault="00163035" w:rsidP="008B4588">
      <w:pPr>
        <w:pStyle w:val="Paragraph"/>
        <w:spacing w:before="0" w:line="240" w:lineRule="auto"/>
        <w:ind w:left="720"/>
        <w:jc w:val="both"/>
        <w:rPr>
          <w:rFonts w:ascii="Century Schoolbook" w:hAnsi="Century Schoolbook"/>
        </w:rPr>
      </w:pPr>
      <w:r w:rsidRPr="00662E51">
        <w:rPr>
          <w:rFonts w:ascii="Century Schoolbook" w:hAnsi="Century Schoolbook"/>
        </w:rPr>
        <w:t>It was unusual for Black people to get involved in local government politics. Yes, you have the odd one dotted around. But it was unusual that Black residents got involved. It was even more strange what we [the BFYA</w:t>
      </w:r>
      <w:r w:rsidR="0060181F" w:rsidRPr="00662E51">
        <w:rPr>
          <w:rFonts w:ascii="Century Schoolbook" w:hAnsi="Century Schoolbook"/>
        </w:rPr>
        <w:t xml:space="preserve">] </w:t>
      </w:r>
      <w:r w:rsidRPr="00662E51">
        <w:rPr>
          <w:rFonts w:ascii="Century Schoolbook" w:hAnsi="Century Schoolbook"/>
        </w:rPr>
        <w:t xml:space="preserve">was doing. I never got </w:t>
      </w:r>
      <w:r w:rsidR="0060181F" w:rsidRPr="00662E51">
        <w:rPr>
          <w:rFonts w:ascii="Century Schoolbook" w:hAnsi="Century Schoolbook"/>
        </w:rPr>
        <w:t xml:space="preserve">[politically] </w:t>
      </w:r>
      <w:r w:rsidRPr="00662E51">
        <w:rPr>
          <w:rFonts w:ascii="Century Schoolbook" w:hAnsi="Century Schoolbook"/>
        </w:rPr>
        <w:t>involved until that time.</w:t>
      </w:r>
      <w:r w:rsidR="0060181F" w:rsidRPr="00662E51">
        <w:rPr>
          <w:rFonts w:ascii="Century Schoolbook" w:hAnsi="Century Schoolbook"/>
        </w:rPr>
        <w:t xml:space="preserve"> </w:t>
      </w:r>
      <w:r w:rsidRPr="00662E51">
        <w:rPr>
          <w:rFonts w:ascii="Century Schoolbook" w:hAnsi="Century Schoolbook"/>
        </w:rPr>
        <w:t>I never know my dad or mom get involved</w:t>
      </w:r>
      <w:r w:rsidR="0060181F" w:rsidRPr="00662E51">
        <w:rPr>
          <w:rFonts w:ascii="Century Schoolbook" w:hAnsi="Century Schoolbook"/>
        </w:rPr>
        <w:t xml:space="preserve">, </w:t>
      </w:r>
      <w:r w:rsidRPr="00662E51">
        <w:rPr>
          <w:rFonts w:ascii="Century Schoolbook" w:hAnsi="Century Schoolbook"/>
        </w:rPr>
        <w:t xml:space="preserve">never. </w:t>
      </w:r>
      <w:r w:rsidR="0060181F" w:rsidRPr="00662E51">
        <w:rPr>
          <w:rFonts w:ascii="Century Schoolbook" w:hAnsi="Century Schoolbook"/>
        </w:rPr>
        <w:t xml:space="preserve">[I never heard] </w:t>
      </w:r>
      <w:r w:rsidRPr="00662E51">
        <w:rPr>
          <w:rFonts w:ascii="Century Schoolbook" w:hAnsi="Century Schoolbook"/>
        </w:rPr>
        <w:t>my dad and mom discuss politics</w:t>
      </w:r>
      <w:r w:rsidR="0060181F" w:rsidRPr="00662E51">
        <w:rPr>
          <w:rFonts w:ascii="Century Schoolbook" w:hAnsi="Century Schoolbook"/>
        </w:rPr>
        <w:t xml:space="preserve">…  That </w:t>
      </w:r>
      <w:r w:rsidRPr="00662E51">
        <w:rPr>
          <w:rFonts w:ascii="Century Schoolbook" w:hAnsi="Century Schoolbook"/>
        </w:rPr>
        <w:t>weren</w:t>
      </w:r>
      <w:r w:rsidR="0060181F" w:rsidRPr="00662E51">
        <w:rPr>
          <w:rFonts w:ascii="Century Schoolbook" w:hAnsi="Century Schoolbook"/>
        </w:rPr>
        <w:t xml:space="preserve">’t </w:t>
      </w:r>
      <w:r w:rsidRPr="00662E51">
        <w:rPr>
          <w:rFonts w:ascii="Century Schoolbook" w:hAnsi="Century Schoolbook"/>
        </w:rPr>
        <w:t xml:space="preserve">the thing in the </w:t>
      </w:r>
      <w:r w:rsidR="00127E74" w:rsidRPr="00662E51">
        <w:rPr>
          <w:rFonts w:ascii="Century Schoolbook" w:hAnsi="Century Schoolbook"/>
        </w:rPr>
        <w:t>B</w:t>
      </w:r>
      <w:r w:rsidRPr="00662E51">
        <w:rPr>
          <w:rFonts w:ascii="Century Schoolbook" w:hAnsi="Century Schoolbook"/>
        </w:rPr>
        <w:t>lack community cause we were just trying to get along in England, let alone politics.</w:t>
      </w:r>
      <w:r w:rsidR="0060181F" w:rsidRPr="00662E51">
        <w:rPr>
          <w:rFonts w:ascii="Century Schoolbook" w:hAnsi="Century Schoolbook"/>
        </w:rPr>
        <w:t xml:space="preserve"> </w:t>
      </w:r>
      <w:r w:rsidR="00127E74" w:rsidRPr="00662E51">
        <w:rPr>
          <w:rFonts w:ascii="Century Schoolbook" w:hAnsi="Century Schoolbook"/>
        </w:rPr>
        <w:t>S</w:t>
      </w:r>
      <w:r w:rsidRPr="00662E51">
        <w:rPr>
          <w:rFonts w:ascii="Century Schoolbook" w:hAnsi="Century Schoolbook"/>
        </w:rPr>
        <w:t xml:space="preserve">o for </w:t>
      </w:r>
      <w:r w:rsidR="00127E74" w:rsidRPr="00662E51">
        <w:rPr>
          <w:rFonts w:ascii="Century Schoolbook" w:hAnsi="Century Schoolbook"/>
        </w:rPr>
        <w:t xml:space="preserve">[a] </w:t>
      </w:r>
      <w:r w:rsidRPr="00662E51">
        <w:rPr>
          <w:rFonts w:ascii="Century Schoolbook" w:hAnsi="Century Schoolbook"/>
        </w:rPr>
        <w:t xml:space="preserve">section of the </w:t>
      </w:r>
      <w:r w:rsidR="00127E74" w:rsidRPr="00662E51">
        <w:rPr>
          <w:rFonts w:ascii="Century Schoolbook" w:hAnsi="Century Schoolbook"/>
        </w:rPr>
        <w:t>B</w:t>
      </w:r>
      <w:r w:rsidRPr="00662E51">
        <w:rPr>
          <w:rFonts w:ascii="Century Schoolbook" w:hAnsi="Century Schoolbook"/>
        </w:rPr>
        <w:t>lack community now getting involved was strange</w:t>
      </w:r>
      <w:r w:rsidR="0060181F" w:rsidRPr="00662E51">
        <w:rPr>
          <w:rFonts w:ascii="Century Schoolbook" w:hAnsi="Century Schoolbook"/>
        </w:rPr>
        <w:t xml:space="preserve"> t</w:t>
      </w:r>
      <w:r w:rsidRPr="00662E51">
        <w:rPr>
          <w:rFonts w:ascii="Century Schoolbook" w:hAnsi="Century Schoolbook"/>
        </w:rPr>
        <w:t>o a lot of people.</w:t>
      </w:r>
    </w:p>
    <w:p w14:paraId="22C9D07D" w14:textId="77777777" w:rsidR="008B4588" w:rsidRPr="008B4588" w:rsidRDefault="008B4588" w:rsidP="008B4588">
      <w:pPr>
        <w:pStyle w:val="Newparagraph"/>
        <w:spacing w:line="240" w:lineRule="auto"/>
      </w:pPr>
    </w:p>
    <w:p w14:paraId="06E83250" w14:textId="38EEE1DF" w:rsidR="00DE5968" w:rsidRPr="00662E51" w:rsidRDefault="00C1219D" w:rsidP="00EA25D5">
      <w:pPr>
        <w:pStyle w:val="Paragraph"/>
        <w:spacing w:before="0" w:line="360" w:lineRule="auto"/>
        <w:jc w:val="both"/>
        <w:rPr>
          <w:rFonts w:ascii="Century Schoolbook" w:hAnsi="Century Schoolbook"/>
        </w:rPr>
      </w:pPr>
      <w:r w:rsidRPr="00662E51">
        <w:rPr>
          <w:rFonts w:ascii="Century Schoolbook" w:hAnsi="Century Schoolbook"/>
        </w:rPr>
        <w:t>Yet, the above actions represent diverse forms of citizenship acts that reflect the status of citizen.</w:t>
      </w:r>
    </w:p>
    <w:p w14:paraId="14DEDCF0" w14:textId="337B5969" w:rsidR="00DE5968" w:rsidRDefault="00DE5968" w:rsidP="00D809C5">
      <w:pPr>
        <w:pStyle w:val="Newparagraph"/>
        <w:spacing w:line="360" w:lineRule="auto"/>
        <w:jc w:val="both"/>
        <w:rPr>
          <w:rFonts w:ascii="Century Schoolbook" w:hAnsi="Century Schoolbook"/>
        </w:rPr>
      </w:pPr>
      <w:r w:rsidRPr="00662E51">
        <w:rPr>
          <w:rFonts w:ascii="Century Schoolbook" w:hAnsi="Century Schoolbook"/>
        </w:rPr>
        <w:t xml:space="preserve">BFYA’s advocacy was also about gaining more representation to the local state—that is, literally becoming answerable citizens. As aforementioned, the racist Tenants’ Association initially barred Black residents, meaning Black residents had limited formal representation to the Council. BFYA provided a formalised platform for becoming literally answerable by forcing Haringey Council to acknowledge the estate’s Black residents. A panel of Broadwater Farm residents, Haringey Council, and relevant agencies was set up to make decisions about the estate. The panel was led by MP Bernie Grant, and represents one of several platforms through which BF inhabitants could influence the decision-making process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{"citationID":"n2WZUOEC","properties":{"formattedCitation":"(Gifford 1986)","plainCitation":"(Gifford 1986)","noteIndex":0},"citationItems":[{"id":5214,"uris":["http://zotero.org/users/8977980/items/QT5S27DM"],"itemData":{"id":5214,"type":"book","edition":"First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(Gifford 1986)</w:t>
      </w:r>
      <w:r w:rsidRPr="00662E51">
        <w:rPr>
          <w:rFonts w:ascii="Century Schoolbook" w:hAnsi="Century Schoolbook"/>
        </w:rPr>
        <w:fldChar w:fldCharType="end"/>
      </w:r>
      <w:r w:rsidRPr="00662E51">
        <w:rPr>
          <w:rFonts w:ascii="Century Schoolbook" w:hAnsi="Century Schoolbook"/>
        </w:rPr>
        <w:t xml:space="preserve">. The creation of a new platform mirrors my </w:t>
      </w:r>
      <w:r w:rsidRPr="00662E51">
        <w:rPr>
          <w:rFonts w:ascii="Century Schoolbook" w:hAnsi="Century Schoolbook"/>
        </w:rPr>
        <w:lastRenderedPageBreak/>
        <w:t xml:space="preserve">discussion with KI.4 (interview, 27 Nov. 2023) about </w:t>
      </w:r>
      <w:r w:rsidR="00D25A93" w:rsidRPr="00662E51">
        <w:rPr>
          <w:rFonts w:ascii="Century Schoolbook" w:hAnsi="Century Schoolbook"/>
        </w:rPr>
        <w:t>“</w:t>
      </w:r>
      <w:r w:rsidRPr="00662E51">
        <w:rPr>
          <w:rFonts w:ascii="Century Schoolbook" w:hAnsi="Century Schoolbook"/>
        </w:rPr>
        <w:t>set channels.</w:t>
      </w:r>
      <w:r w:rsidR="00D25A93" w:rsidRPr="00662E51">
        <w:rPr>
          <w:rFonts w:ascii="Century Schoolbook" w:hAnsi="Century Schoolbook"/>
        </w:rPr>
        <w:t>”</w:t>
      </w:r>
      <w:r w:rsidRPr="00662E51">
        <w:rPr>
          <w:rFonts w:ascii="Century Schoolbook" w:hAnsi="Century Schoolbook"/>
        </w:rPr>
        <w:t xml:space="preserve"> They said about their engagement with the YA, </w:t>
      </w:r>
    </w:p>
    <w:p w14:paraId="0B18091A" w14:textId="77777777" w:rsidR="008B4588" w:rsidRPr="00662E51" w:rsidRDefault="008B4588" w:rsidP="008B4588">
      <w:pPr>
        <w:pStyle w:val="Newparagraph"/>
        <w:spacing w:line="240" w:lineRule="auto"/>
        <w:jc w:val="both"/>
        <w:rPr>
          <w:rFonts w:ascii="Century Schoolbook" w:hAnsi="Century Schoolbook"/>
        </w:rPr>
      </w:pPr>
    </w:p>
    <w:p w14:paraId="44CEADAB" w14:textId="1DA198D5" w:rsidR="00DE5968" w:rsidRDefault="00D25A93" w:rsidP="008B4588">
      <w:pPr>
        <w:pStyle w:val="Newparagraph"/>
        <w:spacing w:line="240" w:lineRule="auto"/>
        <w:ind w:left="720" w:firstLine="0"/>
        <w:jc w:val="both"/>
        <w:rPr>
          <w:rFonts w:ascii="Century Schoolbook" w:hAnsi="Century Schoolbook"/>
        </w:rPr>
      </w:pPr>
      <w:r w:rsidRPr="00662E51">
        <w:rPr>
          <w:rFonts w:ascii="Century Schoolbook" w:hAnsi="Century Schoolbook"/>
        </w:rPr>
        <w:t>“</w:t>
      </w:r>
      <w:r w:rsidR="00DE5968" w:rsidRPr="00662E51">
        <w:rPr>
          <w:rFonts w:ascii="Century Schoolbook" w:hAnsi="Century Schoolbook"/>
        </w:rPr>
        <w:t xml:space="preserve">[activists] got to have the strength to bypass [the Council’s] set channels. You know you've got to go into council meetings and shout... [the Council] couldn't keep us on the straight and narrow of their processes, their procedures: </w:t>
      </w:r>
      <w:r w:rsidRPr="00662E51">
        <w:rPr>
          <w:rFonts w:ascii="Century Schoolbook" w:hAnsi="Century Schoolbook"/>
        </w:rPr>
        <w:t>‘</w:t>
      </w:r>
      <w:r w:rsidR="00DE5968" w:rsidRPr="00662E51">
        <w:rPr>
          <w:rFonts w:ascii="Century Schoolbook" w:hAnsi="Century Schoolbook"/>
        </w:rPr>
        <w:t xml:space="preserve">you know, it has to go to </w:t>
      </w:r>
      <w:r w:rsidR="00DE5968" w:rsidRPr="00662E51">
        <w:rPr>
          <w:rFonts w:ascii="Century Schoolbook" w:hAnsi="Century Schoolbook"/>
          <w:i/>
          <w:iCs/>
        </w:rPr>
        <w:t>this</w:t>
      </w:r>
      <w:r w:rsidR="00DE5968" w:rsidRPr="00662E51">
        <w:rPr>
          <w:rFonts w:ascii="Century Schoolbook" w:hAnsi="Century Schoolbook"/>
        </w:rPr>
        <w:t xml:space="preserve"> panel.</w:t>
      </w:r>
      <w:r w:rsidRPr="00662E51">
        <w:rPr>
          <w:rFonts w:ascii="Century Schoolbook" w:hAnsi="Century Schoolbook"/>
        </w:rPr>
        <w:t>’”</w:t>
      </w:r>
    </w:p>
    <w:p w14:paraId="1564D4B7" w14:textId="77777777" w:rsidR="008B4588" w:rsidRPr="00662E51" w:rsidRDefault="008B4588" w:rsidP="008B4588">
      <w:pPr>
        <w:pStyle w:val="Newparagraph"/>
        <w:spacing w:line="240" w:lineRule="auto"/>
        <w:ind w:left="720" w:firstLine="0"/>
        <w:jc w:val="both"/>
        <w:rPr>
          <w:rFonts w:ascii="Century Schoolbook" w:hAnsi="Century Schoolbook"/>
        </w:rPr>
      </w:pPr>
    </w:p>
    <w:p w14:paraId="57EA29C3" w14:textId="38307BC7" w:rsidR="003F3584" w:rsidRDefault="00DE5968" w:rsidP="00F56305">
      <w:pPr>
        <w:pStyle w:val="Newparagraph"/>
        <w:spacing w:line="360" w:lineRule="auto"/>
        <w:ind w:firstLine="0"/>
        <w:jc w:val="both"/>
        <w:rPr>
          <w:rFonts w:ascii="Century Schoolbook" w:hAnsi="Century Schoolbook"/>
        </w:rPr>
      </w:pPr>
      <w:r w:rsidRPr="00662E51">
        <w:rPr>
          <w:rFonts w:ascii="Century Schoolbook" w:hAnsi="Century Schoolbook"/>
        </w:rPr>
        <w:t xml:space="preserve">This matches with another anecdote from Kiffin’s biography. Williams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{"citationID":"lOTro1CQ","properties":{"formattedCitation":"(1994, 67)","plainCitation":"(1994, 67)","noteIndex":0},"citationItems":[{"id":5315,"uris":["http://zotero.org/users/8977980/items/Q3WDKSWW"],"itemData":{"id":5315,"type":"book","abstract":"KEEPER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DREAM","author":[{"family":"Williams","given":"Paul"}],"accessed":{"date-parts":[["2023",10,12]]},"issued":{"date-parts":[["1994"]]}},"locator":"67","label":"page","suppress-author":true}],"schema":"https://github.com/citation-style-language/schema/raw/master/csl-citation.json"}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(1994, 67)</w:t>
      </w:r>
      <w:r w:rsidRPr="00662E51">
        <w:rPr>
          <w:rFonts w:ascii="Century Schoolbook" w:hAnsi="Century Schoolbook"/>
        </w:rPr>
        <w:fldChar w:fldCharType="end"/>
      </w:r>
      <w:r w:rsidRPr="00662E51">
        <w:rPr>
          <w:rFonts w:ascii="Century Schoolbook" w:hAnsi="Century Schoolbook"/>
        </w:rPr>
        <w:t xml:space="preserve"> writes that BFYA and the Council were in a disagreement about building a new community centre on BF in 1989.</w:t>
      </w:r>
      <w:r w:rsidR="00292686" w:rsidRPr="00662E51">
        <w:rPr>
          <w:rFonts w:ascii="Century Schoolbook" w:hAnsi="Century Schoolbook"/>
        </w:rPr>
        <w:t xml:space="preserve"> Frustrated with an impasse, Kiffin </w:t>
      </w:r>
    </w:p>
    <w:p w14:paraId="5801692C" w14:textId="77777777" w:rsidR="008B4588" w:rsidRPr="00662E51" w:rsidRDefault="008B4588" w:rsidP="008B4588">
      <w:pPr>
        <w:pStyle w:val="Newparagraph"/>
        <w:spacing w:line="240" w:lineRule="auto"/>
        <w:ind w:firstLine="0"/>
        <w:jc w:val="both"/>
        <w:rPr>
          <w:rFonts w:ascii="Century Schoolbook" w:hAnsi="Century Schoolbook"/>
        </w:rPr>
      </w:pPr>
    </w:p>
    <w:p w14:paraId="3F4BE641" w14:textId="17A53E19" w:rsidR="003F3584" w:rsidRDefault="00292686" w:rsidP="008B4588">
      <w:pPr>
        <w:pStyle w:val="Newparagraph"/>
        <w:spacing w:line="240" w:lineRule="auto"/>
        <w:ind w:left="720" w:firstLine="0"/>
        <w:jc w:val="both"/>
        <w:rPr>
          <w:rFonts w:ascii="Century Schoolbook" w:hAnsi="Century Schoolbook"/>
        </w:rPr>
      </w:pPr>
      <w:r w:rsidRPr="00662E51">
        <w:rPr>
          <w:rFonts w:ascii="Century Schoolbook" w:hAnsi="Century Schoolbook"/>
        </w:rPr>
        <w:t>hired a bus, took it to Broadwater Farm and filled it with pensioners and anyone available. They all marched in with her to the Committee room to press the case,</w:t>
      </w:r>
      <w:r w:rsidR="00265904" w:rsidRPr="00662E51">
        <w:rPr>
          <w:rFonts w:ascii="Century Schoolbook" w:hAnsi="Century Schoolbook"/>
        </w:rPr>
        <w:t xml:space="preserve"> Dolly came away with the</w:t>
      </w:r>
      <w:r w:rsidR="003F3584" w:rsidRPr="00662E51">
        <w:rPr>
          <w:rFonts w:ascii="Century Schoolbook" w:hAnsi="Century Schoolbook"/>
        </w:rPr>
        <w:t xml:space="preserve"> promise that the £5 million project had the committee’s backing. </w:t>
      </w:r>
    </w:p>
    <w:p w14:paraId="5057DAAA" w14:textId="77777777" w:rsidR="008B4588" w:rsidRPr="00662E51" w:rsidRDefault="008B4588" w:rsidP="008B4588">
      <w:pPr>
        <w:pStyle w:val="Newparagraph"/>
        <w:spacing w:line="240" w:lineRule="auto"/>
        <w:ind w:left="720" w:firstLine="0"/>
        <w:jc w:val="both"/>
        <w:rPr>
          <w:rFonts w:ascii="Century Schoolbook" w:hAnsi="Century Schoolbook"/>
        </w:rPr>
      </w:pPr>
    </w:p>
    <w:p w14:paraId="47E941BA" w14:textId="147E6679" w:rsidR="00DE5968" w:rsidRPr="00662E51" w:rsidRDefault="00292686" w:rsidP="00D809C5">
      <w:pPr>
        <w:pStyle w:val="Newparagraph"/>
        <w:spacing w:line="360" w:lineRule="auto"/>
        <w:jc w:val="both"/>
        <w:rPr>
          <w:rFonts w:ascii="Century Schoolbook" w:hAnsi="Century Schoolbook"/>
        </w:rPr>
      </w:pPr>
      <w:r w:rsidRPr="00662E51">
        <w:rPr>
          <w:rFonts w:ascii="Century Schoolbook" w:hAnsi="Century Schoolbook"/>
        </w:rPr>
        <w:t xml:space="preserve">Another illustration is an emergency council meeting held immediately post-1985 uprising at which Kiffin went and </w:t>
      </w:r>
      <w:r w:rsidR="00D25A93" w:rsidRPr="00662E51">
        <w:rPr>
          <w:rFonts w:ascii="Century Schoolbook" w:hAnsi="Century Schoolbook"/>
        </w:rPr>
        <w:t>“</w:t>
      </w:r>
      <w:r w:rsidRPr="00662E51">
        <w:rPr>
          <w:rFonts w:ascii="Century Schoolbook" w:hAnsi="Century Schoolbook"/>
        </w:rPr>
        <w:t>objected to not having been formally invited.</w:t>
      </w:r>
      <w:r w:rsidR="00D25A93" w:rsidRPr="00662E51">
        <w:rPr>
          <w:rFonts w:ascii="Century Schoolbook" w:hAnsi="Century Schoolbook"/>
        </w:rPr>
        <w:t>”</w:t>
      </w:r>
      <w:r w:rsidRPr="00662E51">
        <w:rPr>
          <w:rFonts w:ascii="Century Schoolbook" w:hAnsi="Century Schoolbook"/>
        </w:rPr>
        <w:t xml:space="preserve"> She continued by criticising the Council’s decisions around police visits after the riot, accusing Haringey staff of </w:t>
      </w:r>
      <w:r w:rsidR="00D25A93" w:rsidRPr="00662E51">
        <w:rPr>
          <w:rFonts w:ascii="Century Schoolbook" w:hAnsi="Century Schoolbook"/>
        </w:rPr>
        <w:t>“</w:t>
      </w:r>
      <w:r w:rsidRPr="00662E51">
        <w:rPr>
          <w:rFonts w:ascii="Century Schoolbook" w:hAnsi="Century Schoolbook"/>
        </w:rPr>
        <w:t>walking over the Youth Association, and not talking to them at all</w:t>
      </w:r>
      <w:r w:rsidR="00D25A93" w:rsidRPr="00662E51">
        <w:rPr>
          <w:rFonts w:ascii="Century Schoolbook" w:hAnsi="Century Schoolbook"/>
        </w:rPr>
        <w:t>”</w:t>
      </w:r>
      <w:r w:rsidRPr="00662E51">
        <w:rPr>
          <w:rFonts w:ascii="Century Schoolbook" w:hAnsi="Century Schoolbook"/>
        </w:rPr>
        <w:t xml:space="preserv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{"citationID":"gihKs4xO","properties":{"formattedCitation":"(Haringey Community Relations Council 1985)","plainCitation":"(Haringey Community Relations Council 1985)","noteIndex":0},"citationItems":[{"id":5266,"uris":["http://zotero.org/users/8977980/items/K6X7GIPA"],"itemData":{"id":5266,"type":"report","archive":"Bishopsgate Institute","archive_location":"BG/P/2/4/9","genre":"Minutes","publisher":"Haringey Borough Council","publisher-place":"London, UK","title":"The Recent Troubles: Mrs Cynthia Jarrett's Death and Broadwater Farm","author":[{"literal":"Haringey Community Relations Council"}],"issued":{"date-parts":[["1985",10,17]]}}}],"schema":"https://github.com/citation-style-language/schema/raw/master/csl-citation.json"}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(Haringey Community Relations Council 1985)</w:t>
      </w:r>
      <w:r w:rsidRPr="00662E51">
        <w:rPr>
          <w:rFonts w:ascii="Century Schoolbook" w:hAnsi="Century Schoolbook"/>
        </w:rPr>
        <w:fldChar w:fldCharType="end"/>
      </w:r>
      <w:r w:rsidRPr="00662E51">
        <w:rPr>
          <w:rFonts w:ascii="Century Schoolbook" w:hAnsi="Century Schoolbook"/>
        </w:rPr>
        <w:t xml:space="preserve">. </w:t>
      </w:r>
      <w:r w:rsidR="00DE5968" w:rsidRPr="00662E51">
        <w:rPr>
          <w:rFonts w:ascii="Century Schoolbook" w:hAnsi="Century Schoolbook"/>
        </w:rPr>
        <w:t xml:space="preserve">In one way, these quotations reflect confrontational acts: violating accepted procedure by protesting a policy committee meeting is a forceful action to take </w:t>
      </w:r>
      <w:r w:rsidR="00DE5968"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{"citationID":"CuLqnXcO","properties":{"formattedCitation":"(e.g., Barbero 2012)","plainCitation":"(e.g., Barbero 2012)","noteIndex":0},"citationItems":[{"id":3274,"uris":["http://zotero.org/users/8977980/items/U7NNX2E6"],"itemData":{"id":3274,"type":"article-journal","abstract":"This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Citizenship","volume":"21","author":[{"family":"Barbero","given":"Iker"}],"issued":{"date-parts":[["2012",12,1]]}},"label":"page","prefix":"e.g., "}],"schema":"https://github.com/citation-style-language/schema/raw/master/csl-citation.json"} </w:instrText>
      </w:r>
      <w:r w:rsidR="00DE5968" w:rsidRPr="00662E51">
        <w:rPr>
          <w:rFonts w:ascii="Century Schoolbook" w:hAnsi="Century Schoolbook"/>
        </w:rPr>
        <w:fldChar w:fldCharType="separate"/>
      </w:r>
      <w:r w:rsidR="00DE5968" w:rsidRPr="00662E51">
        <w:rPr>
          <w:rFonts w:ascii="Century Schoolbook" w:hAnsi="Century Schoolbook"/>
        </w:rPr>
        <w:t>(e.g., Barbero 2012)</w:t>
      </w:r>
      <w:r w:rsidR="00DE5968" w:rsidRPr="00662E51">
        <w:rPr>
          <w:rFonts w:ascii="Century Schoolbook" w:hAnsi="Century Schoolbook"/>
        </w:rPr>
        <w:fldChar w:fldCharType="end"/>
      </w:r>
      <w:r w:rsidR="00DE5968" w:rsidRPr="00662E51">
        <w:rPr>
          <w:rFonts w:ascii="Century Schoolbook" w:hAnsi="Century Schoolbook"/>
        </w:rPr>
        <w:t xml:space="preserve">. Yet, these illustrations display a commitment to achieving </w:t>
      </w:r>
      <w:r w:rsidR="00D25A93" w:rsidRPr="00662E51">
        <w:rPr>
          <w:rFonts w:ascii="Century Schoolbook" w:hAnsi="Century Schoolbook"/>
        </w:rPr>
        <w:t>“</w:t>
      </w:r>
      <w:r w:rsidR="00DE5968" w:rsidRPr="00662E51">
        <w:rPr>
          <w:rFonts w:ascii="Century Schoolbook" w:hAnsi="Century Schoolbook"/>
        </w:rPr>
        <w:t>access to rights by directly negotiating with the local authorities</w:t>
      </w:r>
      <w:r w:rsidR="00D25A93" w:rsidRPr="00662E51">
        <w:rPr>
          <w:rFonts w:ascii="Century Schoolbook" w:hAnsi="Century Schoolbook"/>
        </w:rPr>
        <w:t>”</w:t>
      </w:r>
      <w:r w:rsidR="00DE5968" w:rsidRPr="00662E51">
        <w:rPr>
          <w:rFonts w:ascii="Century Schoolbook" w:hAnsi="Century Schoolbook"/>
        </w:rPr>
        <w:t xml:space="preserve"> </w:t>
      </w:r>
      <w:r w:rsidR="00DE5968"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{"citationID":"7L8nKreg","properties":{"formattedCitation":"(Pontrandolfo 2018, 87)","plainCitation":"(Pontrandolfo 2018, 87)","noteIndex":0},"citationItems":[{"id":1415,"uris":["http://zotero.org/users/8977980/items/B2S7Z254"],"itemData":{"id":1415,"type":"article-journal","abstract":"This article presents the case study of a community-based Roma struggle to challenge categorisations, improve housing conditions and access citizenship rights. It is an ethnographic account of the citizenship enactments that a Roma family network, which migrated from Romania to Italy, has been pursuing since its arrival in the southern Italian town of Bari. The aim is to promote the value of ethnographic research in understanding the numerous, complex ways in which 'being political' among Roma is possible. This can take place not only through elite Roma activism, or by communities of Roma producing 'hidden transcripts', but also through community-based 'acts of citizenship'.","container-title":"Nomadic Peoples","ISSN":"0822-7942","issue":"1","page":"83-103","publisher":"White Horse Press","source":"JSTOR","title":"Roma 'Acts of Citizenship': Negotiating Categories and Housing Solutions","title-short":"ROMA 'ACTS OF CITIZENSHIP'","volume":"22","author":[{"family":"Pontrandolfo","given":"Stefania"}],"issued":{"date-parts":[["2018"]]}},"locator":"87"}],"schema":"https://github.com/citation-style-language/schema/raw/master/csl-citation.json"} </w:instrText>
      </w:r>
      <w:r w:rsidR="00DE5968" w:rsidRPr="00662E51">
        <w:rPr>
          <w:rFonts w:ascii="Century Schoolbook" w:hAnsi="Century Schoolbook"/>
        </w:rPr>
        <w:fldChar w:fldCharType="separate"/>
      </w:r>
      <w:r w:rsidR="00DE5968" w:rsidRPr="00662E51">
        <w:rPr>
          <w:rFonts w:ascii="Century Schoolbook" w:hAnsi="Century Schoolbook"/>
        </w:rPr>
        <w:t>(Pontrandolfo 2018, 87)</w:t>
      </w:r>
      <w:r w:rsidR="00DE5968" w:rsidRPr="00662E51">
        <w:rPr>
          <w:rFonts w:ascii="Century Schoolbook" w:hAnsi="Century Schoolbook"/>
        </w:rPr>
        <w:fldChar w:fldCharType="end"/>
      </w:r>
      <w:r w:rsidR="00DE5968" w:rsidRPr="00662E51">
        <w:rPr>
          <w:rFonts w:ascii="Century Schoolbook" w:hAnsi="Century Schoolbook"/>
        </w:rPr>
        <w:t xml:space="preserve">. Breaking the law is not as pre-requisite for negotiation, as seen elsewhere in the literature; rather, it is achieved through persistent pressuring of political leaders like Bernie Grant </w:t>
      </w:r>
      <w:r w:rsidR="00DE5968" w:rsidRPr="00662E51">
        <w:rPr>
          <w:rFonts w:ascii="Century Schoolbook" w:hAnsi="Century Schoolbook"/>
        </w:rPr>
        <w:fldChar w:fldCharType="begin"/>
      </w:r>
      <w:r w:rsidR="00DE5968" w:rsidRPr="00662E51">
        <w:rPr>
          <w:rFonts w:ascii="Century Schoolbook" w:hAnsi="Century Schoolbook"/>
        </w:rPr>
        <w:instrText xml:space="preserve"> ADDIN ZOTERO_ITEM CSL_CITATION {"citationID":"4LtsuVoS","properties":{"formattedCitation":"(Grant to Harris 1993; Grant to Kiffin 1993)","plainCitation":"(Grant to Harris 1993; Grant to Kiffin 1993)","noteIndex":0},"citationItems":[{"id":5270,"uris":["http://zotero.org/users/8977980/items/LFIDP3LQ"],"itemData":{"id":5270,"type":"personal_communication","archive":"Bishopsgate Institute","archive_location":"BG/P/2/4/2","title":"Capital Allocation Broadwater Farm","author":[{"family":"Grant","given":"Bernie"}],"recipient":[{"family":"Harris","given":"Toby"}],"issued":{"date-parts":[["1993",6,7]]}},"label":"page"},{"id":5269,"uris":["http://zotero.org/users/8977980/items/YTNRUH3Q"],"itemData":{"id":5269,"type":"personal_communication","archive":"Bishopsgate Institute","archive_location":"BG/P/2/4/2","title":"Letter to Dolly Kiffin - 7 June 1993","author":[{"family":"Grant","given":"Bernie"}],"recipient":[{"family":"Kiffin","given":"Dolly"}],"issued":{"date-parts":[["1993",6,7]]}},"label":"page"}],"schema":"https://github.com/citation-style-language/schema/raw/master/csl-citation.json"} </w:instrText>
      </w:r>
      <w:r w:rsidR="00DE5968" w:rsidRPr="00662E51">
        <w:rPr>
          <w:rFonts w:ascii="Century Schoolbook" w:hAnsi="Century Schoolbook"/>
        </w:rPr>
        <w:fldChar w:fldCharType="separate"/>
      </w:r>
      <w:r w:rsidR="00DE5968" w:rsidRPr="00662E51">
        <w:rPr>
          <w:rFonts w:ascii="Century Schoolbook" w:hAnsi="Century Schoolbook"/>
        </w:rPr>
        <w:t>(Grant to Harris 1993; Grant to Kiffin 1993)</w:t>
      </w:r>
      <w:r w:rsidR="00DE5968" w:rsidRPr="00662E51">
        <w:rPr>
          <w:rFonts w:ascii="Century Schoolbook" w:hAnsi="Century Schoolbook"/>
        </w:rPr>
        <w:fldChar w:fldCharType="end"/>
      </w:r>
      <w:r w:rsidR="00DE5968" w:rsidRPr="00662E51">
        <w:rPr>
          <w:rFonts w:ascii="Century Schoolbook" w:hAnsi="Century Schoolbook"/>
        </w:rPr>
        <w:t>. In these ways, BFYA engaged in significant accommodative resistance by cooperating with, and replacing, the state—while conducting more traditional advocacy. Given the AN backdrop, accommodative resistance was often the only method to achieving change, which I elaborate on below.</w:t>
      </w:r>
    </w:p>
    <w:p w14:paraId="5A8B56C8" w14:textId="77777777" w:rsidR="00DE5968" w:rsidRPr="00662E51" w:rsidRDefault="00DE5968" w:rsidP="00F56305">
      <w:pPr>
        <w:pStyle w:val="Newparagraph"/>
        <w:spacing w:line="360" w:lineRule="auto"/>
        <w:jc w:val="both"/>
        <w:rPr>
          <w:rFonts w:ascii="Century Schoolbook" w:hAnsi="Century Schoolbook"/>
        </w:rPr>
      </w:pPr>
    </w:p>
    <w:p w14:paraId="2E8D2B2C" w14:textId="5AEADE6F" w:rsidR="00DE5968" w:rsidRPr="00662E51" w:rsidRDefault="00DE5968" w:rsidP="00F56305">
      <w:pPr>
        <w:pStyle w:val="Heading2"/>
      </w:pPr>
      <w:bookmarkStart w:id="340" w:name="_Toc216096168"/>
      <w:bookmarkStart w:id="341" w:name="_Toc221184354"/>
      <w:bookmarkStart w:id="342" w:name="_Toc231215272"/>
      <w:r w:rsidRPr="00662E51">
        <w:t>The Association’s Acts of Citizenship</w:t>
      </w:r>
      <w:bookmarkEnd w:id="340"/>
      <w:bookmarkEnd w:id="341"/>
      <w:r w:rsidR="00836748">
        <w:t>:</w:t>
      </w:r>
      <w:bookmarkEnd w:id="342"/>
    </w:p>
    <w:p w14:paraId="78BDFBC4" w14:textId="42C63453" w:rsidR="00DE5968" w:rsidRPr="00662E51" w:rsidRDefault="00DE5968" w:rsidP="00F56305">
      <w:pPr>
        <w:pStyle w:val="Paragraph"/>
        <w:spacing w:before="0" w:line="360" w:lineRule="auto"/>
        <w:jc w:val="both"/>
        <w:rPr>
          <w:rFonts w:ascii="Century Schoolbook" w:hAnsi="Century Schoolbook"/>
        </w:rPr>
      </w:pPr>
      <w:r w:rsidRPr="00662E51">
        <w:rPr>
          <w:rFonts w:ascii="Century Schoolbook" w:hAnsi="Century Schoolbook"/>
        </w:rPr>
        <w:t xml:space="preserve">BFYA’s activism foregrounded community-led and inclusive politics, meaning it </w:t>
      </w:r>
      <w:r w:rsidRPr="00662E51">
        <w:rPr>
          <w:rFonts w:ascii="Century Schoolbook" w:hAnsi="Century Schoolbook"/>
        </w:rPr>
        <w:lastRenderedPageBreak/>
        <w:t xml:space="preserve">became a space through which residents could make accommodative acts of citizenship. These acts stand in contrast to those scripts and scenes expected by outsiders, generated by the media, and maintained by authoritarian neoliberal practices. As Elliott-Cooper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{"citationID":"eIDC4h03","properties":{"formattedCitation":"(2021, 68)","plainCitation":"(2021, 68)","noteIndex":0},"citationItems":[{"id":5679,"uris":["http://zotero.org/users/8977980/items/VM8DZIZ5"],"itemData":{"id":5679,"type":"book","DOI":"10.7765/9781526143945","ISBN":"978-1-5261-4394-5","publisher":"Manchester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locator":"68","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(2021, 68)</w:t>
      </w:r>
      <w:r w:rsidRPr="00662E51">
        <w:rPr>
          <w:rFonts w:ascii="Century Schoolbook" w:hAnsi="Century Schoolbook"/>
        </w:rPr>
        <w:fldChar w:fldCharType="end"/>
      </w:r>
      <w:r w:rsidRPr="00662E51">
        <w:rPr>
          <w:rFonts w:ascii="Century Schoolbook" w:hAnsi="Century Schoolbook"/>
        </w:rPr>
        <w:t xml:space="preserve"> notes, </w:t>
      </w:r>
      <w:r w:rsidR="004C0233" w:rsidRPr="00662E51">
        <w:rPr>
          <w:rFonts w:ascii="Century Schoolbook" w:hAnsi="Century Schoolbook"/>
        </w:rPr>
        <w:t>“</w:t>
      </w:r>
      <w:r w:rsidRPr="00662E51">
        <w:rPr>
          <w:rFonts w:ascii="Century Schoolbook" w:hAnsi="Century Schoolbook"/>
        </w:rPr>
        <w:t>the Black family was framed as the antithesis of Britain’s national self-image,</w:t>
      </w:r>
      <w:r w:rsidR="004C0233" w:rsidRPr="00662E51">
        <w:rPr>
          <w:rFonts w:ascii="Century Schoolbook" w:hAnsi="Century Schoolbook"/>
        </w:rPr>
        <w:t>”</w:t>
      </w:r>
      <w:r w:rsidRPr="00662E51">
        <w:rPr>
          <w:rFonts w:ascii="Century Schoolbook" w:hAnsi="Century Schoolbook"/>
        </w:rPr>
        <w:t xml:space="preserve"> and yet, BFYA was able to utilise accommodative resistance to become those that have the right to claim rights. I have considered BFYA’s orientation to BF residents, its anti-racist activities, and finally what I call its ‘auto-regeneration’ of the estate. Here, ‘auto-regeneration’ describes a process in which an estate’s denizens are the ones regenerating an estate. These illustrations reveal how BFYA’s resistance by accommodation still surface as acts of citizenship at their core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{"citationID":"Um7g75YN","properties":{"formattedCitation":"(Jakim\\uc0\\u243{}w 2022)","plainCitation":"(Jakimów 2022)","noteIndex":0},"citationItems":[{"id":5118,"uris":["http://zotero.org/users/8977980/items/WQR8VRAH"],"itemData":{"id":5118,"type":"article-journal","abstract":"The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(Jakimów 2022)</w:t>
      </w:r>
      <w:r w:rsidRPr="00662E51">
        <w:rPr>
          <w:rFonts w:ascii="Century Schoolbook" w:hAnsi="Century Schoolbook"/>
        </w:rPr>
        <w:fldChar w:fldCharType="end"/>
      </w:r>
      <w:r w:rsidRPr="00662E51">
        <w:rPr>
          <w:rFonts w:ascii="Century Schoolbook" w:hAnsi="Century Schoolbook"/>
        </w:rPr>
        <w:t xml:space="preserve">. It also demonstrates how housing and place-based activism play a core role in building new subjectivities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{"citationID":"MeDrVHiS","properties":{"formattedCitation":"(Bernhardt and Schwiertz 2025; Jacobson 2022)","plainCitation":"(Bernhardt and Schwiertz 2025; Jacobson 2022)","noteIndex":0},"citationItems":[{"id":7057,"uris":["http://zotero.org/users/8977980/items/BH4T2EDX"],"itemData":{"id":7057,"type":"article-journal","abstract":"This paper examines how tenants in Denmark collectively enact their rights and challenge the neoliberal discourse that frames housing as an issue of personal responsibility. We show how these resid...","archive_location":"world","container-title":"Citizenship Studies","ISSN":"1362-1025","language":"EN","license":"© 2025 The Author(s). Published by Informa UK Limited, trading as Taylor &amp; Francis Group.","publisher":"Routledge","source":"www.tandfonline.com","title":"Enacting tenant citizenship and struggles for the right to home: linking activist, active and community citizenship","title-short":"Enacting tenant citizenship and struggles for the right to home","URL":"https://www.tandfonline.com/doi/abs/10.1080/13621025.2025.2470742","author":[{"family":"Bernhardt","given":"Franz"},{"family":"Schwiertz","given":"Helge"}],"accessed":{"date-parts":[["2025",10,20]]},"issued":{"date-parts":[["2025",2,17]]}}},{"id":2614,"uris":["http://zotero.org/users/8977980/items/4SUAA6HS"],"itemData":{"id":2614,"type":"article-journal","abstract":"This article examines an overlooked group of participants within 1970s housing occupation movements in Western Europe – migrants. More specifically, I analyse Italian migrants’ participation in housing occupations in the city of Frankfurt am Main, West Germany, from 1970–3. By engaging in visible protest, Italian migrant occupiers performed ‘acts of urban citizenship’ that ruptured understandings of localised citizenship and belonging. This case study thus illuminates two interrelated historic phenomena: (1) how social rights became de-territorialised and attached to the individual rather than the nation-state; and (2) how the city became a crucial site of citizenship formation, even across national borders.","container-title":"Contemporary European History","DOI":"10.1017/S0960777322000662","ISSN":"0960-7773, 1469-2171","journalAbbreviation":"Contemporary European History","language":"en","page":"1-17","source":"DOI.org (Crossref)","title":"Redefining Urban Citizenship: Italian Migrants and Housing Occupations in 1970s Frankfurt am Main","title-short":"Redefining Urban Citizenship","author":[{"family":"Jacobson","given":"Sarah"}],"issued":{"date-parts":[["2022",10,20]]}}}],"schema":"https://github.com/citation-style-language/schema/raw/master/csl-citation.json"}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(Bernhardt and Schwiertz 2025; Jacobson 2022)</w:t>
      </w:r>
      <w:r w:rsidRPr="00662E51">
        <w:rPr>
          <w:rFonts w:ascii="Century Schoolbook" w:hAnsi="Century Schoolbook"/>
        </w:rPr>
        <w:fldChar w:fldCharType="end"/>
      </w:r>
      <w:r w:rsidRPr="00662E51">
        <w:rPr>
          <w:rFonts w:ascii="Century Schoolbook" w:hAnsi="Century Schoolbook"/>
        </w:rPr>
        <w:t>.</w:t>
      </w:r>
    </w:p>
    <w:p w14:paraId="450F9EB8" w14:textId="4C1E9239" w:rsidR="00AE29F7" w:rsidRDefault="00DE5968" w:rsidP="008F4CBD">
      <w:pPr>
        <w:pStyle w:val="Newparagraph"/>
        <w:spacing w:line="360" w:lineRule="auto"/>
        <w:jc w:val="both"/>
        <w:rPr>
          <w:rFonts w:ascii="Century Schoolbook" w:hAnsi="Century Schoolbook"/>
        </w:rPr>
      </w:pPr>
      <w:r w:rsidRPr="00662E51">
        <w:rPr>
          <w:rFonts w:ascii="Century Schoolbook" w:hAnsi="Century Schoolbook"/>
        </w:rPr>
        <w:t xml:space="preserve">The Association persistently claimed to represent the people of the estate in relation to the state, and in doing so generated a distinct sense of a Broadwater Farm resident. Such claims abound within the archive, appearing in disparate sources like the Association’s publications, such as newsletters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{"citationID":"Q0IlVSWd","properties":{"formattedCitation":"(S. Scott 1987a; Kiffin et al. 1987)","plainCitation":"(S. Scott 1987a; Kiffin et al. 1987)","noteIndex":0},"citationItems":[{"id":5264,"uris":["http://zotero.org/users/8977980/items/8NKV6XJJ"],"itemData":{"id":5264,"type":"personal_communication","archive":"Bishopsgate Institute","archive_location":"BG/P/2/4/9","genre":"Newsletter","title":"June 1987 Newsletter","author":[{"family":"Scott","given":"Stafford"}],"issued":{"date-parts":[["1987",6]]}}},{"id":5424,"uris":["http://zotero.org/users/8977980/items/MZUIHY5A"],"itemData":{"id":5424,"type":"personal_communication","archive":"George Padmore Institute","archive_location":"BPM/7/1/6/4","title":"May 1987 Newsletter","author":[{"family":"Kiffin","given":"Dolly"},{"family":"Stirling","given":"Clasford"},{"family":"Scott","given":"Stafford"}],"issued":{"date-parts":[["1987",5]]}}}],"schema":"https://github.com/citation-style-language/schema/raw/master/csl-citation.json"}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(S. Scott 1987a; Kiffin et al. 1987)</w:t>
      </w:r>
      <w:r w:rsidRPr="00662E51">
        <w:rPr>
          <w:rFonts w:ascii="Century Schoolbook" w:hAnsi="Century Schoolbook"/>
        </w:rPr>
        <w:fldChar w:fldCharType="end"/>
      </w:r>
      <w:r w:rsidRPr="00662E51">
        <w:rPr>
          <w:rFonts w:ascii="Century Schoolbook" w:hAnsi="Century Schoolbook"/>
        </w:rPr>
        <w:t xml:space="preserve">, pamphlets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{"citationID":"EvDVXDUI","properties":{"formattedCitation":"(BFYA 1988)","plainCitation":"(BFYA 1988)","noteIndex":0},"citationItems":[{"id":5369,"uris":["http://zotero.org/users/8977980/items/GA6G4QMX"],"itemData":{"id":5369,"type":"report","archive":"Haringey Borough Archives","archive_location":"925.3 BRO","publisher-place":"London, UK","title":"Cultivating the Farm: Environmental work carried out by the Community to improve conditions of living on the Broadwater Farm Estate","author":[{"literal":"BFYA"}],"issued":{"date-parts":[["1988"]]}}}],"schema":"https://github.com/citation-style-language/schema/raw/master/csl-citation.json"}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(BFYA 1988)</w:t>
      </w:r>
      <w:r w:rsidRPr="00662E51">
        <w:rPr>
          <w:rFonts w:ascii="Century Schoolbook" w:hAnsi="Century Schoolbook"/>
        </w:rPr>
        <w:fldChar w:fldCharType="end"/>
      </w:r>
      <w:r w:rsidRPr="00662E51">
        <w:rPr>
          <w:rFonts w:ascii="Century Schoolbook" w:hAnsi="Century Schoolbook"/>
        </w:rPr>
        <w:t xml:space="preserve">, and their newspaper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{"citationID":"ZT5XdFZ0","properties":{"formattedCitation":"(BFYA 1983)","plainCitation":"(BFYA 1983)","noteIndex":0},"citationItems":[{"id":5799,"uris":["http://zotero.org/users/8977980/items/KN9GZ9HY"],"itemData":{"id":5799,"type":"document","archive":"George Padmore Institute","archive_location":"BPM/7/1/6/2","title":"Broadwater Review: Community News","author":[{"literal":"BFYA"}],"issued":{"date-parts":[["1983"]]}}}],"schema":"https://github.com/citation-style-language/schema/raw/master/csl-citation.json"}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(BFYA 1983)</w:t>
      </w:r>
      <w:r w:rsidRPr="00662E51">
        <w:rPr>
          <w:rFonts w:ascii="Century Schoolbook" w:hAnsi="Century Schoolbook"/>
        </w:rPr>
        <w:fldChar w:fldCharType="end"/>
      </w:r>
      <w:r w:rsidRPr="00662E51">
        <w:rPr>
          <w:rFonts w:ascii="Century Schoolbook" w:hAnsi="Century Schoolbook"/>
        </w:rPr>
        <w:t xml:space="preserve">; the Gifford Report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{"citationID":"mCeR4R3a","properties":{"formattedCitation":"(1986)","plainCitation":"(1986)","noteIndex":0},"citationItems":[{"id":5214,"uris":["http://zotero.org/users/8977980/items/QT5S27DM"],"itemData":{"id":5214,"type":"book","edition":"First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(1986)</w:t>
      </w:r>
      <w:r w:rsidRPr="00662E51">
        <w:rPr>
          <w:rFonts w:ascii="Century Schoolbook" w:hAnsi="Century Schoolbook"/>
        </w:rPr>
        <w:fldChar w:fldCharType="end"/>
      </w:r>
      <w:r w:rsidRPr="00662E51">
        <w:rPr>
          <w:rFonts w:ascii="Century Schoolbook" w:hAnsi="Century Schoolbook"/>
        </w:rPr>
        <w:t xml:space="preserve">; and various news media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{"citationID":"AQfg4JiB","properties":{"formattedCitation":"(Platt 1986; Staff Reporter 1985)","plainCitation":"(Platt 1986; Staff Reporter 1985)","noteIndex":0},"citationItems":[{"id":5374,"uris":["http://zotero.org/users/8977980/items/XDGD9REE"],"itemData":{"id":5374,"type":"article-magazine","archive":"Haringey Borough Archives","archive_location":"925.3 BRO","container-title":"New Socialist","issue":"37","page":"6-8","title":"Return to Broadwater Farm","author":[{"family":"Platt","given":"Steve"}],"issued":{"date-parts":[["1986",4]]}}},{"id":5318,"uris":["http://zotero.org/users/8977980/items/3ZLRIPTX"],"itemData":{"id":5318,"type":"article-newspaper","archive":"The Times Digital Archive","container-title":"The Times","ISSN":"0140-0460","issue":"62263","language":"English","note":"2","page":"2","publisher-place":"London, UK","source":"Gale","title":"The estate that Dolly Kiffin rescued from nightmare","author":[{"literal":"Staff Reporter"}],"issued":{"date-parts":[["1985",10,8]]}}}],"schema":"https://github.com/citation-style-language/schema/raw/master/csl-citation.json"}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(Platt 1986; Staff Reporter 1985)</w:t>
      </w:r>
      <w:r w:rsidRPr="00662E51">
        <w:rPr>
          <w:rFonts w:ascii="Century Schoolbook" w:hAnsi="Century Schoolbook"/>
        </w:rPr>
        <w:fldChar w:fldCharType="end"/>
      </w:r>
      <w:r w:rsidRPr="00662E51">
        <w:rPr>
          <w:rFonts w:ascii="Century Schoolbook" w:hAnsi="Century Schoolbook"/>
        </w:rPr>
        <w:t xml:space="preserve">. At the outset, YA leaders positioned the group as inclusive: </w:t>
      </w:r>
      <w:r w:rsidR="006D184D" w:rsidRPr="00662E51">
        <w:rPr>
          <w:rFonts w:ascii="Century Schoolbook" w:hAnsi="Century Schoolbook"/>
        </w:rPr>
        <w:t>“‘</w:t>
      </w:r>
      <w:r w:rsidRPr="00662E51">
        <w:rPr>
          <w:rFonts w:ascii="Century Schoolbook" w:hAnsi="Century Schoolbook"/>
        </w:rPr>
        <w:t>We didn't want a Black-run Association,</w:t>
      </w:r>
      <w:r w:rsidR="006D184D" w:rsidRPr="00662E51">
        <w:rPr>
          <w:rFonts w:ascii="Century Schoolbook" w:hAnsi="Century Schoolbook"/>
        </w:rPr>
        <w:t>’</w:t>
      </w:r>
      <w:r w:rsidRPr="00662E51">
        <w:rPr>
          <w:rFonts w:ascii="Century Schoolbook" w:hAnsi="Century Schoolbook"/>
        </w:rPr>
        <w:t xml:space="preserve"> explains [Kiffin], </w:t>
      </w:r>
      <w:r w:rsidR="001B67B4" w:rsidRPr="00662E51">
        <w:rPr>
          <w:rFonts w:ascii="Century Schoolbook" w:hAnsi="Century Schoolbook"/>
        </w:rPr>
        <w:t>‘</w:t>
      </w:r>
      <w:r w:rsidRPr="00662E51">
        <w:rPr>
          <w:rFonts w:ascii="Century Schoolbook" w:hAnsi="Century Schoolbook"/>
        </w:rPr>
        <w:t>but one that would look after all the communities together</w:t>
      </w:r>
      <w:r w:rsidR="001B67B4" w:rsidRPr="00662E51">
        <w:rPr>
          <w:rFonts w:ascii="Century Schoolbook" w:hAnsi="Century Schoolbook"/>
        </w:rPr>
        <w:t xml:space="preserv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{"citationID":"O1VYvnrr","properties":{"formattedCitation":"(Williams 1994, 32)","plainCitation":"(Williams 1994, 32)","noteIndex":0},"citationItems":[{"id":5315,"uris":["http://zotero.org/users/8977980/items/Q3WDKSWW"],"itemData":{"id":5315,"type":"book","abstract":"KEEPER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DREAM","author":[{"family":"Williams","given":"Paul"}],"accessed":{"date-parts":[["2023",10,12]]},"issued":{"date-parts":[["1994"]]}},"locator":"32","label":"page"}],"schema":"https://github.com/citation-style-language/schema/raw/master/csl-citation.json"} </w:instrText>
      </w:r>
      <w:r w:rsidRPr="00662E51">
        <w:rPr>
          <w:rFonts w:ascii="Century Schoolbook" w:hAnsi="Century Schoolbook"/>
        </w:rPr>
        <w:fldChar w:fldCharType="separate"/>
      </w:r>
      <w:r w:rsidR="0044484B" w:rsidRPr="00662E51">
        <w:rPr>
          <w:rFonts w:ascii="Century Schoolbook" w:hAnsi="Century Schoolbook"/>
        </w:rPr>
        <w:t>(Williams 1994, 32)</w:t>
      </w:r>
      <w:r w:rsidRPr="00662E51">
        <w:rPr>
          <w:rFonts w:ascii="Century Schoolbook" w:hAnsi="Century Schoolbook"/>
        </w:rPr>
        <w:fldChar w:fldCharType="end"/>
      </w:r>
      <w:r w:rsidRPr="00662E51">
        <w:rPr>
          <w:rFonts w:ascii="Century Schoolbook" w:hAnsi="Century Schoolbook"/>
        </w:rPr>
        <w:t xml:space="preserve">. KI.3 similarly says, </w:t>
      </w:r>
    </w:p>
    <w:p w14:paraId="1C3333FC" w14:textId="77777777" w:rsidR="008B4588" w:rsidRPr="00662E51" w:rsidRDefault="008B4588" w:rsidP="008B4588">
      <w:pPr>
        <w:pStyle w:val="Newparagraph"/>
        <w:spacing w:line="240" w:lineRule="auto"/>
        <w:jc w:val="both"/>
        <w:rPr>
          <w:rFonts w:ascii="Century Schoolbook" w:hAnsi="Century Schoolbook"/>
        </w:rPr>
      </w:pPr>
    </w:p>
    <w:p w14:paraId="08D06582" w14:textId="23C1E84A" w:rsidR="00FD1458" w:rsidRDefault="00DE5968" w:rsidP="008B4588">
      <w:pPr>
        <w:pStyle w:val="Newparagraph"/>
        <w:spacing w:line="240" w:lineRule="auto"/>
        <w:ind w:left="720" w:firstLine="0"/>
        <w:rPr>
          <w:rFonts w:ascii="Century Schoolbook" w:hAnsi="Century Schoolbook"/>
        </w:rPr>
      </w:pPr>
      <w:r w:rsidRPr="00662E51">
        <w:rPr>
          <w:rFonts w:ascii="Century Schoolbook" w:hAnsi="Century Schoolbook"/>
        </w:rPr>
        <w:t>We weren't a Black activist group. We were just Black people in the room, but there was also white people in the room</w:t>
      </w:r>
      <w:r w:rsidR="0046014A">
        <w:rPr>
          <w:rFonts w:ascii="Century Schoolbook" w:hAnsi="Century Schoolbook"/>
        </w:rPr>
        <w:t>.</w:t>
      </w:r>
      <w:r w:rsidR="00FD1458" w:rsidRPr="00662E51">
        <w:rPr>
          <w:rFonts w:ascii="Century Schoolbook" w:hAnsi="Century Schoolbook"/>
        </w:rPr>
        <w:t xml:space="preserve"> We were just a group, but if you look at some of the papers, we was labelled a black group </w:t>
      </w:r>
      <w:r w:rsidRPr="00662E51">
        <w:rPr>
          <w:rFonts w:ascii="Century Schoolbook" w:hAnsi="Century Schoolbook"/>
        </w:rPr>
        <w:t xml:space="preserve">(Interview, 27 Nov. 2023). </w:t>
      </w:r>
    </w:p>
    <w:p w14:paraId="325CD792" w14:textId="77777777" w:rsidR="008B4588" w:rsidRPr="00662E51" w:rsidRDefault="008B4588" w:rsidP="008B4588">
      <w:pPr>
        <w:pStyle w:val="Newparagraph"/>
        <w:spacing w:line="240" w:lineRule="auto"/>
        <w:ind w:left="720" w:firstLine="0"/>
        <w:rPr>
          <w:rFonts w:ascii="Century Schoolbook" w:hAnsi="Century Schoolbook"/>
        </w:rPr>
      </w:pPr>
    </w:p>
    <w:p w14:paraId="0983FC34" w14:textId="6086D824" w:rsidR="008F4CBD" w:rsidRPr="00662E51" w:rsidRDefault="00DE5968" w:rsidP="00913EE4">
      <w:pPr>
        <w:pStyle w:val="Newparagraph"/>
        <w:spacing w:line="360" w:lineRule="auto"/>
        <w:ind w:firstLine="0"/>
        <w:jc w:val="both"/>
      </w:pPr>
      <w:r w:rsidRPr="00662E51">
        <w:rPr>
          <w:rFonts w:ascii="Century Schoolbook" w:hAnsi="Century Schoolbook"/>
        </w:rPr>
        <w:t xml:space="preserve">In fact, contemporary pictures in BFYA’s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{"citationID":"kWJA2vGS","properties":{"formattedCitation":"(1983)","plainCitation":"(1983)","noteIndex":0},"citationItems":[{"id":5799,"uris":["http://zotero.org/users/8977980/items/KN9GZ9HY"],"itemData":{"id":5799,"type":"document","archive":"George Padmore Institute","archive_location":"BPM/7/1/6/2","title":"Broadwater Review: Community News","author":[{"literal":"BFYA"}],"issued":{"date-parts":[["1983"]]}},"label":"page","suppress-author":true}],"schema":"https://github.com/citation-style-language/schema/raw/master/csl-citation.json"}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(1983)</w:t>
      </w:r>
      <w:r w:rsidRPr="00662E51">
        <w:rPr>
          <w:rFonts w:ascii="Century Schoolbook" w:hAnsi="Century Schoolbook"/>
        </w:rPr>
        <w:fldChar w:fldCharType="end"/>
      </w:r>
      <w:r w:rsidRPr="00662E51">
        <w:rPr>
          <w:rFonts w:ascii="Century Schoolbook" w:hAnsi="Century Schoolbook"/>
        </w:rPr>
        <w:t xml:space="preserve"> newspaper show a multi-racial group who not only served the estate’s Black youth, but also the older white residents</w:t>
      </w:r>
      <w:r w:rsidR="00841D82" w:rsidRPr="00662E51">
        <w:rPr>
          <w:rFonts w:ascii="Century Schoolbook" w:hAnsi="Century Schoolbook"/>
        </w:rPr>
        <w:t xml:space="preserve"> (Figure 9).</w:t>
      </w:r>
      <w:r w:rsidRPr="00662E51">
        <w:rPr>
          <w:rFonts w:ascii="Century Schoolbook" w:hAnsi="Century Schoolbook"/>
        </w:rPr>
        <w:t xml:space="preserve"> Additionally, the YA remained independent of any overarching group. For instance, Kiffin held a close association with Grant but declined to integrate herself with the Labour Party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{"citationID":"2hhEDVWv","properties":{"formattedCitation":"(Platt 1986)","plainCitation":"(Platt 1986)","noteIndex":0},"citationItems":[{"id":5374,"uris":["http://zotero.org/users/8977980/items/XDGD9REE"],"itemData":{"id":5374,"type":"article-magazine","archive":"Haringey Borough Archives","archive_location":"925.3 BRO","container-title":"New Socialist","issue":"37","page":"6-8","title":"Return to Broadwater Farm","author":[{"family":"Platt","given":"Steve"}],"issued":{"date-parts":[["1986",4]]}},"label":"page"}],"schema":"https://github.com/citation-style-language/schema/raw/master/csl-citation.json"}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(Platt 1986)</w:t>
      </w:r>
      <w:r w:rsidRPr="00662E51">
        <w:rPr>
          <w:rFonts w:ascii="Century Schoolbook" w:hAnsi="Century Schoolbook"/>
        </w:rPr>
        <w:fldChar w:fldCharType="end"/>
      </w:r>
      <w:r w:rsidRPr="00662E51">
        <w:rPr>
          <w:rFonts w:ascii="Century Schoolbook" w:hAnsi="Century Schoolbook"/>
        </w:rPr>
        <w:t xml:space="preserve">, even though it was Grant’s home from his early political career (KI.2, interview, 26 Jan 2024). </w:t>
      </w:r>
      <w:r w:rsidRPr="00662E51">
        <w:rPr>
          <w:rFonts w:ascii="Century Schoolbook" w:hAnsi="Century Schoolbook"/>
        </w:rPr>
        <w:lastRenderedPageBreak/>
        <w:t xml:space="preserve">KI.4 (Interview, 27 Nov. 2023) also emphasised BFYA’s independence from existing political parties. Kiffin insisted on being separate from the Council because of her belief that relying on the Council engendered a ‘council mentality’ that made people </w:t>
      </w:r>
      <w:r w:rsidR="007A0F3A" w:rsidRPr="00662E51">
        <w:rPr>
          <w:rFonts w:ascii="Century Schoolbook" w:hAnsi="Century Schoolbook"/>
        </w:rPr>
        <w:t>“</w:t>
      </w:r>
      <w:r w:rsidRPr="00662E51">
        <w:rPr>
          <w:rFonts w:ascii="Century Schoolbook" w:hAnsi="Century Schoolbook"/>
        </w:rPr>
        <w:t>dependent</w:t>
      </w:r>
      <w:r w:rsidR="007A0F3A" w:rsidRPr="00662E51">
        <w:rPr>
          <w:rFonts w:ascii="Century Schoolbook" w:hAnsi="Century Schoolbook"/>
        </w:rPr>
        <w:t>”</w:t>
      </w:r>
      <w:r w:rsidRPr="00662E51">
        <w:rPr>
          <w:rFonts w:ascii="Century Schoolbook" w:hAnsi="Century Schoolbook"/>
        </w:rPr>
        <w:t xml:space="preserve"> and </w:t>
      </w:r>
      <w:r w:rsidR="007A0F3A" w:rsidRPr="00662E51">
        <w:rPr>
          <w:rFonts w:ascii="Century Schoolbook" w:hAnsi="Century Schoolbook"/>
        </w:rPr>
        <w:t>“</w:t>
      </w:r>
      <w:r w:rsidRPr="00662E51">
        <w:rPr>
          <w:rFonts w:ascii="Century Schoolbook" w:hAnsi="Century Schoolbook"/>
        </w:rPr>
        <w:t>resist[ed] genuine community initiative</w:t>
      </w:r>
      <w:r w:rsidR="007A0F3A" w:rsidRPr="00662E51">
        <w:rPr>
          <w:rFonts w:ascii="Century Schoolbook" w:hAnsi="Century Schoolbook"/>
        </w:rPr>
        <w:t>”</w:t>
      </w:r>
      <w:r w:rsidRPr="00662E51">
        <w:rPr>
          <w:rFonts w:ascii="Century Schoolbook" w:hAnsi="Century Schoolbook"/>
        </w:rPr>
        <w:t xml:space="preserv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{"citationID":"ninZeXy8","properties":{"formattedCitation":"(Williams 1994, 78)","plainCitation":"(Williams 1994, 78)","noteIndex":0},"citationItems":[{"id":5315,"uris":["http://zotero.org/users/8977980/items/Q3WDKSWW"],"itemData":{"id":5315,"type":"book","abstract":"KEEPER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DREAM","author":[{"family":"Williams","given":"Paul"}],"accessed":{"date-parts":[["2023",10,12]]},"issued":{"date-parts":[["1994"]]}},"locator":"78"}],"schema":"https://github.com/citation-style-language/schema/raw/master/csl-citation.json"}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(Williams 1994, 78)</w:t>
      </w:r>
      <w:r w:rsidRPr="00662E51">
        <w:rPr>
          <w:rFonts w:ascii="Century Schoolbook" w:hAnsi="Century Schoolbook"/>
        </w:rPr>
        <w:fldChar w:fldCharType="end"/>
      </w:r>
      <w:r w:rsidRPr="00662E51">
        <w:rPr>
          <w:rFonts w:ascii="Century Schoolbook" w:hAnsi="Century Schoolbook"/>
        </w:rPr>
        <w:t>. The BFYA positioned their community at the core of their work, recognising that independence from a wider political party was necessary to claim citizenship as BF residents.</w:t>
      </w:r>
      <w:r w:rsidR="008F4CBD" w:rsidRPr="00662E51">
        <w:t xml:space="preserve"> </w:t>
      </w:r>
    </w:p>
    <w:p w14:paraId="4462D128" w14:textId="5B0AA9F3" w:rsidR="009E3238" w:rsidRPr="00662E51" w:rsidRDefault="00DE5968" w:rsidP="00A4614B">
      <w:pPr>
        <w:pStyle w:val="Newparagraph"/>
        <w:spacing w:line="360" w:lineRule="auto"/>
        <w:jc w:val="both"/>
        <w:rPr>
          <w:rFonts w:ascii="Century Schoolbook" w:hAnsi="Century Schoolbook"/>
        </w:rPr>
      </w:pPr>
      <w:r w:rsidRPr="00662E51">
        <w:rPr>
          <w:rFonts w:ascii="Century Schoolbook" w:hAnsi="Century Schoolbook"/>
        </w:rPr>
        <w:t xml:space="preserve">BFYA’s community-rooted and racially inclusive engagement is a </w:t>
      </w:r>
      <w:r w:rsidR="007A0F3A" w:rsidRPr="00662E51">
        <w:rPr>
          <w:rFonts w:ascii="Century Schoolbook" w:hAnsi="Century Schoolbook"/>
        </w:rPr>
        <w:t>“</w:t>
      </w:r>
      <w:r w:rsidRPr="00662E51">
        <w:rPr>
          <w:rFonts w:ascii="Century Schoolbook" w:hAnsi="Century Schoolbook"/>
        </w:rPr>
        <w:t>rupture that enables the actor (that the act creates)</w:t>
      </w:r>
      <w:r w:rsidR="007A0F3A" w:rsidRPr="00662E51">
        <w:rPr>
          <w:rFonts w:ascii="Century Schoolbook" w:hAnsi="Century Schoolbook"/>
        </w:rPr>
        <w:t>”</w:t>
      </w:r>
      <w:r w:rsidRPr="00662E51">
        <w:rPr>
          <w:rFonts w:ascii="Century Schoolbook" w:hAnsi="Century Schoolbook"/>
        </w:rPr>
        <w:t xml:space="preserve"> to create a new citizenship-script and therefore become a citizen </w:t>
      </w:r>
      <w:r w:rsidRPr="00662E51">
        <w:rPr>
          <w:rFonts w:ascii="Century Schoolbook" w:hAnsi="Century Schoolbook"/>
        </w:rPr>
        <w:fldChar w:fldCharType="begin"/>
      </w:r>
      <w:r w:rsidR="008E2F28">
        <w:rPr>
          <w:rFonts w:ascii="Century Schoolbook" w:hAnsi="Century Schoolbook"/>
        </w:rPr>
        <w:instrText xml:space="preserve"> ADDIN ZOTERO_ITEM CSL_CITATION {"citationID":"sgE3hi1S","properties":{"formattedCitation":"(Isin 2009, 379)","plainCitation":"(Isin 2009, 379)","noteIndex":0},"citationItems":[{"id":3264,"uris":["http://zotero.org/users/8977980/items/NL6Y98JU"],"itemData":{"id":3264,"type":"article-journal","abstract":"Throughout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flux","volume":"29","author":[{"family":"Isin","given":"Engin"}],"issued":{"date-parts":[["2009",12,1]]}},"locator":"379"}],"schema":"https://github.com/citation-style-language/schema/raw/master/csl-citation.json"} </w:instrText>
      </w:r>
      <w:r w:rsidRPr="00662E51">
        <w:rPr>
          <w:rFonts w:ascii="Century Schoolbook" w:hAnsi="Century Schoolbook"/>
        </w:rPr>
        <w:fldChar w:fldCharType="separate"/>
      </w:r>
      <w:r w:rsidR="008E2F28" w:rsidRPr="008E2F28">
        <w:rPr>
          <w:rFonts w:ascii="Century Schoolbook" w:hAnsi="Century Schoolbook"/>
        </w:rPr>
        <w:t>(Isin 2009, 379)</w:t>
      </w:r>
      <w:r w:rsidRPr="00662E51">
        <w:rPr>
          <w:rFonts w:ascii="Century Schoolbook" w:hAnsi="Century Schoolbook"/>
        </w:rPr>
        <w:fldChar w:fldCharType="end"/>
      </w:r>
      <w:r w:rsidRPr="00662E51">
        <w:rPr>
          <w:rFonts w:ascii="Century Schoolbook" w:hAnsi="Century Schoolbook"/>
        </w:rPr>
        <w:t xml:space="preserve">. BFYA worked to </w:t>
      </w:r>
      <w:r w:rsidR="007A0F3A" w:rsidRPr="00662E51">
        <w:rPr>
          <w:rFonts w:ascii="Century Schoolbook" w:hAnsi="Century Schoolbook"/>
        </w:rPr>
        <w:t>“</w:t>
      </w:r>
      <w:r w:rsidRPr="00662E51">
        <w:rPr>
          <w:rFonts w:ascii="Century Schoolbook" w:hAnsi="Century Schoolbook"/>
        </w:rPr>
        <w:t>break routines, understanding and practices</w:t>
      </w:r>
      <w:r w:rsidR="007A0F3A" w:rsidRPr="00662E51">
        <w:rPr>
          <w:rFonts w:ascii="Century Schoolbook" w:hAnsi="Century Schoolbook"/>
        </w:rPr>
        <w:t>”</w:t>
      </w:r>
      <w:r w:rsidRPr="00662E51">
        <w:rPr>
          <w:rFonts w:ascii="Century Schoolbook" w:hAnsi="Century Schoolbook"/>
        </w:rPr>
        <w:t xml:space="preserve"> that produced an estate that was internally divided along racial lines, such as the white-dominated Tenants’ Association. The very decision for Kiffin and others to come together to form the BFYA is itself an act of citizenship that constituted the estate’s inhabitants as subjects with the right to claim rights: the right to be heard, consulted, and respected by Haringey Council—i.e., to become answerable subjects. </w:t>
      </w:r>
    </w:p>
    <w:p w14:paraId="2A7B7B6B" w14:textId="66AA8347" w:rsidR="00405A6C" w:rsidRPr="00662E51" w:rsidRDefault="00DE5968" w:rsidP="008B4588">
      <w:pPr>
        <w:pStyle w:val="Newparagraph"/>
        <w:spacing w:line="360" w:lineRule="auto"/>
        <w:jc w:val="both"/>
        <w:rPr>
          <w:rFonts w:ascii="Century Schoolbook" w:hAnsi="Century Schoolbook"/>
        </w:rPr>
      </w:pPr>
      <w:r w:rsidRPr="00662E51">
        <w:rPr>
          <w:rFonts w:ascii="Century Schoolbook" w:hAnsi="Century Schoolbook"/>
        </w:rPr>
        <w:t xml:space="preserve">As Isin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{"citationID":"xhjIiWNq","properties":{"formattedCitation":"(2008, 18)","plainCitation":"(2008, 18)","noteIndex":0},"citationItems":[{"id":256,"uris":["http://zotero.org/users/8977980/items/ZRWP6PIY"],"itemData":{"id":256,"type":"chapter","abstract":"Politics,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Marc"}],"author":[{"family":"Isin","given":"Engin"}],"accessed":{"date-parts":[["2022",2,3]]},"issued":{"date-parts":[["2008"]]}},"locator":"18","label":"page","suppress-author":true}],"schema":"https://github.com/citation-style-language/schema/raw/master/csl-citation.json"}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(2008, 18)</w:t>
      </w:r>
      <w:r w:rsidRPr="00662E51">
        <w:rPr>
          <w:rFonts w:ascii="Century Schoolbook" w:hAnsi="Century Schoolbook"/>
        </w:rPr>
        <w:fldChar w:fldCharType="end"/>
      </w:r>
      <w:r w:rsidRPr="00662E51">
        <w:rPr>
          <w:rFonts w:ascii="Century Schoolbook" w:hAnsi="Century Schoolbook"/>
        </w:rPr>
        <w:t xml:space="preserve"> writes, </w:t>
      </w:r>
      <w:r w:rsidR="007A0F3A" w:rsidRPr="00662E51">
        <w:rPr>
          <w:rFonts w:ascii="Century Schoolbook" w:hAnsi="Century Schoolbook"/>
        </w:rPr>
        <w:t>“</w:t>
      </w:r>
      <w:r w:rsidRPr="00662E51">
        <w:rPr>
          <w:rFonts w:ascii="Century Schoolbook" w:hAnsi="Century Schoolbook"/>
        </w:rPr>
        <w:t>to enact oneself as a citizen involves transforming oneself from a subject into a claimant,</w:t>
      </w:r>
      <w:r w:rsidR="007A0F3A" w:rsidRPr="00662E51">
        <w:rPr>
          <w:rFonts w:ascii="Century Schoolbook" w:hAnsi="Century Schoolbook"/>
        </w:rPr>
        <w:t>”</w:t>
      </w:r>
      <w:r w:rsidRPr="00662E51">
        <w:rPr>
          <w:rFonts w:ascii="Century Schoolbook" w:hAnsi="Century Schoolbook"/>
        </w:rPr>
        <w:t xml:space="preserve"> of equal rights. Unlike confrontational activism seen elsewhere in the literature, the quieter forms of activism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{"citationID":"aoEhvP1n","properties":{"formattedCitation":"(D. G. Martin et al. 2007; Pottinger 2017)","plainCitation":"(D. G. Martin et al. 2007; Pottinger 2017)","noteIndex":0},"citationItems":[{"id":5833,"uris":["http://zotero.org/users/8977980/items/72L3TA9R"],"itemData":{"id":5833,"type":"article-journal","container-title":"Women's Studies Quarterly","ISSN":"0732-1562","issue":"3/4","page":"78-94","publisher":"The Feminist Press at the City University of New York","source":"JSTOR","title":"What Counts as Activism?: The Role of Individuals in Creating Change","title-short":"What Counts as Activism?","volume":"35","author":[{"family":"Martin","given":"Deborah G."},{"family":"Hanson","given":"Susan"},{"family":"Fontaine","given":"Danielle"}],"issued":{"date-parts":[["2007"]]}}},{"id":7051,"uris":["http://zotero.org/users/8977980/items/GZZVXTGN"],"itemData":{"id":7051,"type":"article-journal","abstract":"While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(D. G. Martin et al. 2007; Pottinger 2017)</w:t>
      </w:r>
      <w:r w:rsidRPr="00662E51">
        <w:rPr>
          <w:rFonts w:ascii="Century Schoolbook" w:hAnsi="Century Schoolbook"/>
        </w:rPr>
        <w:fldChar w:fldCharType="end"/>
      </w:r>
      <w:r w:rsidRPr="00662E51">
        <w:rPr>
          <w:rFonts w:ascii="Century Schoolbook" w:hAnsi="Century Schoolbook"/>
        </w:rPr>
        <w:t xml:space="preserve"> employed by the BFYA were still able to transform its members and BF residents into claimants who had a measurable impact on an authoritarian neoliberal structure that misrecognised the estate as a ‘warehouse’ of the Black and poor in Tottenham </w:t>
      </w:r>
      <w:r w:rsidRPr="00662E51">
        <w:rPr>
          <w:rFonts w:ascii="Century Schoolbook" w:hAnsi="Century Schoolbook"/>
        </w:rPr>
        <w:fldChar w:fldCharType="begin"/>
      </w:r>
      <w:r w:rsidR="008E2F28">
        <w:rPr>
          <w:rFonts w:ascii="Century Schoolbook" w:hAnsi="Century Schoolbook"/>
        </w:rPr>
        <w:instrText xml:space="preserve"> ADDIN ZOTERO_ITEM CSL_CITATION {"citationID":"E7V020gg","properties":{"formattedCitation":"(Isin 2009)","plainCitation":"(Isin 2009)","noteIndex":0},"citationItems":[{"id":3264,"uris":["http://zotero.org/users/8977980/items/NL6Y98JU"],"itemData":{"id":3264,"type":"article-journal","abstract":"Throughout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flux","volume":"29","author":[{"family":"Isin","given":"Engin"}],"issued":{"date-parts":[["2009",12,1]]}}}],"schema":"https://github.com/citation-style-language/schema/raw/master/csl-citation.json"} </w:instrText>
      </w:r>
      <w:r w:rsidRPr="00662E51">
        <w:rPr>
          <w:rFonts w:ascii="Century Schoolbook" w:hAnsi="Century Schoolbook"/>
        </w:rPr>
        <w:fldChar w:fldCharType="separate"/>
      </w:r>
      <w:r w:rsidR="008E2F28" w:rsidRPr="008E2F28">
        <w:rPr>
          <w:rFonts w:ascii="Century Schoolbook" w:hAnsi="Century Schoolbook"/>
        </w:rPr>
        <w:t>(Isin 2009)</w:t>
      </w:r>
      <w:r w:rsidRPr="00662E51">
        <w:rPr>
          <w:rFonts w:ascii="Century Schoolbook" w:hAnsi="Century Schoolbook"/>
        </w:rPr>
        <w:fldChar w:fldCharType="end"/>
      </w:r>
      <w:r w:rsidRPr="00662E51">
        <w:rPr>
          <w:rFonts w:ascii="Century Schoolbook" w:hAnsi="Century Schoolbook"/>
        </w:rPr>
        <w:t xml:space="preserve">. </w:t>
      </w:r>
    </w:p>
    <w:p w14:paraId="52303E9D" w14:textId="14002ABD" w:rsidR="00DE5968" w:rsidRPr="00662E51" w:rsidRDefault="00ED5805" w:rsidP="008F4CBD">
      <w:pPr>
        <w:pStyle w:val="Newparagraph"/>
        <w:spacing w:line="360" w:lineRule="auto"/>
        <w:jc w:val="both"/>
        <w:rPr>
          <w:rFonts w:ascii="Century Schoolbook" w:hAnsi="Century Schoolbook"/>
        </w:rPr>
      </w:pPr>
      <w:r w:rsidRPr="00662E51">
        <w:rPr>
          <w:noProof/>
        </w:rPr>
        <w:lastRenderedPageBreak/>
        <w:drawing>
          <wp:anchor distT="0" distB="0" distL="114300" distR="114300" simplePos="0" relativeHeight="251655184" behindDoc="0" locked="0" layoutInCell="1" allowOverlap="1" wp14:anchorId="524BAE5E" wp14:editId="79F7E23E">
            <wp:simplePos x="0" y="0"/>
            <wp:positionH relativeFrom="column">
              <wp:posOffset>2047240</wp:posOffset>
            </wp:positionH>
            <wp:positionV relativeFrom="paragraph">
              <wp:posOffset>1931035</wp:posOffset>
            </wp:positionV>
            <wp:extent cx="3649345" cy="5582920"/>
            <wp:effectExtent l="0" t="0" r="8255" b="0"/>
            <wp:wrapSquare wrapText="bothSides"/>
            <wp:docPr id="1957405081" name="Picture 11" descr="A black and white photo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05081" name="Picture 11" descr="A black and white photo of a group of people&#10;&#10;AI-generated content may be incorrec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533" t="2327" r="8303"/>
                    <a:stretch>
                      <a:fillRect/>
                    </a:stretch>
                  </pic:blipFill>
                  <pic:spPr bwMode="auto">
                    <a:xfrm>
                      <a:off x="0" y="0"/>
                      <a:ext cx="3649345" cy="5582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7C60" w:rsidRPr="00662E51">
        <w:rPr>
          <w:noProof/>
        </w:rPr>
        <mc:AlternateContent>
          <mc:Choice Requires="wps">
            <w:drawing>
              <wp:anchor distT="0" distB="0" distL="114300" distR="114300" simplePos="0" relativeHeight="251655185" behindDoc="0" locked="0" layoutInCell="1" allowOverlap="1" wp14:anchorId="43991E19" wp14:editId="35AF50CC">
                <wp:simplePos x="0" y="0"/>
                <wp:positionH relativeFrom="column">
                  <wp:posOffset>1839595</wp:posOffset>
                </wp:positionH>
                <wp:positionV relativeFrom="paragraph">
                  <wp:posOffset>7503160</wp:posOffset>
                </wp:positionV>
                <wp:extent cx="3858895" cy="434340"/>
                <wp:effectExtent l="0" t="0" r="8255" b="3810"/>
                <wp:wrapSquare wrapText="bothSides"/>
                <wp:docPr id="1820885937" name="Text Box 1"/>
                <wp:cNvGraphicFramePr/>
                <a:graphic xmlns:a="http://schemas.openxmlformats.org/drawingml/2006/main">
                  <a:graphicData uri="http://schemas.microsoft.com/office/word/2010/wordprocessingShape">
                    <wps:wsp>
                      <wps:cNvSpPr txBox="1"/>
                      <wps:spPr>
                        <a:xfrm>
                          <a:off x="0" y="0"/>
                          <a:ext cx="3858895" cy="434340"/>
                        </a:xfrm>
                        <a:prstGeom prst="rect">
                          <a:avLst/>
                        </a:prstGeom>
                        <a:solidFill>
                          <a:prstClr val="white"/>
                        </a:solidFill>
                        <a:ln>
                          <a:noFill/>
                        </a:ln>
                      </wps:spPr>
                      <wps:txbx>
                        <w:txbxContent>
                          <w:p w14:paraId="59DD59E9" w14:textId="5005A25E" w:rsidR="00405A6C" w:rsidRPr="00662E51" w:rsidRDefault="00405A6C" w:rsidP="00EE3125">
                            <w:pPr>
                              <w:pStyle w:val="Caption"/>
                              <w:ind w:left="720"/>
                              <w:rPr>
                                <w:rFonts w:ascii="Times New Roman" w:eastAsia="Times New Roman" w:hAnsi="Times New Roman" w:cs="Times New Roman"/>
                                <w:kern w:val="0"/>
                                <w14:ligatures w14:val="none"/>
                              </w:rPr>
                            </w:pPr>
                            <w:bookmarkStart w:id="343" w:name="_Toc216875901"/>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p>
                          <w:p w14:paraId="1BCF319D" w14:textId="77777777" w:rsidR="00405A6C" w:rsidRDefault="00405A6C"/>
                          <w:p w14:paraId="76AF1213" w14:textId="77777777" w:rsidR="00405A6C" w:rsidRPr="00662E51" w:rsidRDefault="00405A6C" w:rsidP="00405A6C">
                            <w:pPr>
                              <w:pStyle w:val="Caption"/>
                              <w:rPr>
                                <w:rFonts w:ascii="Times New Roman" w:eastAsia="Times New Roman" w:hAnsi="Times New Roman" w:cs="Times New Roman"/>
                                <w:kern w:val="0"/>
                                <w14:ligatures w14:val="none"/>
                              </w:rPr>
                            </w:pPr>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p>
                          <w:p w14:paraId="35554C07" w14:textId="77777777" w:rsidR="00405A6C" w:rsidRDefault="00405A6C"/>
                          <w:p w14:paraId="59F8822C" w14:textId="77777777" w:rsidR="00405A6C" w:rsidRPr="00662E51" w:rsidRDefault="00405A6C" w:rsidP="00EE3125">
                            <w:pPr>
                              <w:pStyle w:val="Caption"/>
                              <w:ind w:left="720"/>
                              <w:rPr>
                                <w:rFonts w:ascii="Times New Roman" w:eastAsia="Times New Roman" w:hAnsi="Times New Roman" w:cs="Times New Roman"/>
                                <w:kern w:val="0"/>
                                <w14:ligatures w14:val="none"/>
                              </w:rPr>
                            </w:pPr>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p>
                          <w:p w14:paraId="2DA6B830" w14:textId="77777777" w:rsidR="00405A6C" w:rsidRDefault="00405A6C"/>
                          <w:p w14:paraId="5E3A8E67" w14:textId="77777777" w:rsidR="00405A6C" w:rsidRPr="00662E51" w:rsidRDefault="00405A6C" w:rsidP="00405A6C">
                            <w:pPr>
                              <w:pStyle w:val="Caption"/>
                              <w:rPr>
                                <w:rFonts w:ascii="Times New Roman" w:eastAsia="Times New Roman" w:hAnsi="Times New Roman" w:cs="Times New Roman"/>
                                <w:kern w:val="0"/>
                                <w14:ligatures w14:val="none"/>
                              </w:rPr>
                            </w:pPr>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bookmarkEnd w:id="3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91E19" id="_x0000_s1035" type="#_x0000_t202" style="position:absolute;left:0;text-align:left;margin-left:144.85pt;margin-top:590.8pt;width:303.85pt;height:34.2pt;z-index:251655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" stroked="f">
                <v:textbox inset="0,0,0,0">
                  <w:txbxContent>
                    <w:p w14:paraId="59DD59E9" w14:textId="5005A25E" w:rsidR="00405A6C" w:rsidRPr="00662E51" w:rsidRDefault="00405A6C" w:rsidP="00EE3125">
                      <w:pPr>
                        <w:pStyle w:val="Caption"/>
                        <w:ind w:left="720"/>
                        <w:rPr>
                          <w:rFonts w:ascii="Times New Roman" w:eastAsia="Times New Roman" w:hAnsi="Times New Roman" w:cs="Times New Roman"/>
                          <w:kern w:val="0"/>
                          <w14:ligatures w14:val="none"/>
                        </w:rPr>
                      </w:pPr>
                      <w:bookmarkStart w:id="344" w:name="_Toc216875901"/>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p>
                    <w:p w14:paraId="1BCF319D" w14:textId="77777777" w:rsidR="00405A6C" w:rsidRDefault="00405A6C"/>
                    <w:p w14:paraId="76AF1213" w14:textId="77777777" w:rsidR="00405A6C" w:rsidRPr="00662E51" w:rsidRDefault="00405A6C" w:rsidP="00405A6C">
                      <w:pPr>
                        <w:pStyle w:val="Caption"/>
                        <w:rPr>
                          <w:rFonts w:ascii="Times New Roman" w:eastAsia="Times New Roman" w:hAnsi="Times New Roman" w:cs="Times New Roman"/>
                          <w:kern w:val="0"/>
                          <w14:ligatures w14:val="none"/>
                        </w:rPr>
                      </w:pPr>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p>
                    <w:p w14:paraId="35554C07" w14:textId="77777777" w:rsidR="00405A6C" w:rsidRDefault="00405A6C"/>
                    <w:p w14:paraId="59F8822C" w14:textId="77777777" w:rsidR="00405A6C" w:rsidRPr="00662E51" w:rsidRDefault="00405A6C" w:rsidP="00EE3125">
                      <w:pPr>
                        <w:pStyle w:val="Caption"/>
                        <w:ind w:left="720"/>
                        <w:rPr>
                          <w:rFonts w:ascii="Times New Roman" w:eastAsia="Times New Roman" w:hAnsi="Times New Roman" w:cs="Times New Roman"/>
                          <w:kern w:val="0"/>
                          <w14:ligatures w14:val="none"/>
                        </w:rPr>
                      </w:pPr>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p>
                    <w:p w14:paraId="2DA6B830" w14:textId="77777777" w:rsidR="00405A6C" w:rsidRDefault="00405A6C"/>
                    <w:p w14:paraId="5E3A8E67" w14:textId="77777777" w:rsidR="00405A6C" w:rsidRPr="00662E51" w:rsidRDefault="00405A6C" w:rsidP="00405A6C">
                      <w:pPr>
                        <w:pStyle w:val="Caption"/>
                        <w:rPr>
                          <w:rFonts w:ascii="Times New Roman" w:eastAsia="Times New Roman" w:hAnsi="Times New Roman" w:cs="Times New Roman"/>
                          <w:kern w:val="0"/>
                          <w14:ligatures w14:val="none"/>
                        </w:rPr>
                      </w:pPr>
                      <w:r w:rsidRPr="00662E51">
                        <w:t xml:space="preserve">Figure </w:t>
                      </w:r>
                      <w:r>
                        <w:fldChar w:fldCharType="begin"/>
                      </w:r>
                      <w:r>
                        <w:instrText>SEQ Figure \* ARABIC</w:instrText>
                      </w:r>
                      <w:r>
                        <w:fldChar w:fldCharType="separate"/>
                      </w:r>
                      <w:r w:rsidR="00C232CA" w:rsidRPr="00662E51">
                        <w:t>9</w:t>
                      </w:r>
                      <w:r>
                        <w:fldChar w:fldCharType="end"/>
                      </w:r>
                      <w:r w:rsidRPr="00662E51">
                        <w:t xml:space="preserve"> - Broadwater Farm Youth Association newspaper (1983). Mrs Dolly Kiffin is bottom row, second from right.</w:t>
                      </w:r>
                      <w:bookmarkEnd w:id="344"/>
                    </w:p>
                  </w:txbxContent>
                </v:textbox>
                <w10:wrap type="square"/>
              </v:shape>
            </w:pict>
          </mc:Fallback>
        </mc:AlternateContent>
      </w:r>
      <w:r w:rsidR="00DE5968" w:rsidRPr="00662E51">
        <w:rPr>
          <w:rFonts w:ascii="Century Schoolbook" w:hAnsi="Century Schoolbook"/>
        </w:rPr>
        <w:t xml:space="preserve">The 1985 uprising and the subsequent reactions coincide with a shift towards a more confrontational form of anti-racist politics, which may be read as typical acts of citizenship. However, the BFYA continued to accommodate and cooperate with the state instead of becoming purely oppositional. Just after the uprising, BFYA </w:t>
      </w:r>
      <w:r w:rsidR="00DE5968" w:rsidRPr="00662E51">
        <w:rPr>
          <w:rFonts w:ascii="Century Schoolbook" w:hAnsi="Century Schoolbook"/>
        </w:rPr>
        <w:fldChar w:fldCharType="begin"/>
      </w:r>
      <w:r w:rsidR="00DE5968" w:rsidRPr="00662E51">
        <w:rPr>
          <w:rFonts w:ascii="Century Schoolbook" w:hAnsi="Century Schoolbook"/>
        </w:rPr>
        <w:instrText xml:space="preserve"> ADDIN ZOTERO_ITEM CSL_CITATION {"citationID":"CkThtElQ","properties":{"formattedCitation":"(1987)","plainCitation":"(1987)","noteIndex":0},"citationItems":[{"id":5422,"uris":["http://zotero.org/users/8977980/items/5JULFXK8"],"itemData":{"id":5422,"type":"document","archive":"George Padmore Institute","archive_location":"BPM/7/1/6/4","title":"Racism in Britain: Time for Change Conference Agenda","author":[{"literal":"BFYA"}],"issued":{"date-parts":[["1987",7,19]]}},"label":"page","suppress-author":true}],"schema":"https://github.com/citation-style-language/schema/raw/master/csl-citation.json"} </w:instrText>
      </w:r>
      <w:r w:rsidR="00DE5968" w:rsidRPr="00662E51">
        <w:rPr>
          <w:rFonts w:ascii="Century Schoolbook" w:hAnsi="Century Schoolbook"/>
        </w:rPr>
        <w:fldChar w:fldCharType="separate"/>
      </w:r>
      <w:r w:rsidR="00DE5968" w:rsidRPr="00662E51">
        <w:rPr>
          <w:rFonts w:ascii="Century Schoolbook" w:hAnsi="Century Schoolbook"/>
        </w:rPr>
        <w:t>(1987)</w:t>
      </w:r>
      <w:r w:rsidR="00DE5968" w:rsidRPr="00662E51">
        <w:rPr>
          <w:rFonts w:ascii="Century Schoolbook" w:hAnsi="Century Schoolbook"/>
        </w:rPr>
        <w:fldChar w:fldCharType="end"/>
      </w:r>
      <w:r w:rsidR="00DE5968" w:rsidRPr="00662E51">
        <w:rPr>
          <w:rFonts w:ascii="Century Schoolbook" w:hAnsi="Century Schoolbook"/>
        </w:rPr>
        <w:t xml:space="preserve"> hosted a conference—which included panels by Haringey staffers—which aimed to be a </w:t>
      </w:r>
      <w:r w:rsidR="004D58BC" w:rsidRPr="00662E51">
        <w:rPr>
          <w:rFonts w:ascii="Century Schoolbook" w:hAnsi="Century Schoolbook"/>
        </w:rPr>
        <w:t>“</w:t>
      </w:r>
      <w:r w:rsidR="00DE5968" w:rsidRPr="00662E51">
        <w:rPr>
          <w:rFonts w:ascii="Century Schoolbook" w:hAnsi="Century Schoolbook"/>
        </w:rPr>
        <w:t xml:space="preserve">chance for Black people to have their say, and a chance for our white colleagues and comrades to learn first hand </w:t>
      </w:r>
      <w:r w:rsidR="003F574E" w:rsidRPr="00662E51">
        <w:rPr>
          <w:rFonts w:ascii="Century Schoolbook" w:hAnsi="Century Schoolbook"/>
        </w:rPr>
        <w:t xml:space="preserve">[sic] </w:t>
      </w:r>
      <w:r w:rsidR="00DE5968" w:rsidRPr="00662E51">
        <w:rPr>
          <w:rFonts w:ascii="Century Schoolbook" w:hAnsi="Century Schoolbook"/>
        </w:rPr>
        <w:t>the dehumanising effects racism has had on black people.</w:t>
      </w:r>
      <w:r w:rsidR="004D58BC" w:rsidRPr="00662E51">
        <w:rPr>
          <w:rFonts w:ascii="Century Schoolbook" w:hAnsi="Century Schoolbook"/>
        </w:rPr>
        <w:t>”</w:t>
      </w:r>
      <w:r w:rsidR="00DE5968" w:rsidRPr="00662E51">
        <w:rPr>
          <w:rFonts w:ascii="Century Schoolbook" w:hAnsi="Century Schoolbook"/>
        </w:rPr>
        <w:t xml:space="preserve"> Stafford Scott, another BFYA leader, likewise penned several works that articulate a similar perspective. In one instance, </w:t>
      </w:r>
      <w:r w:rsidR="006F2114">
        <w:rPr>
          <w:rFonts w:ascii="Century Schoolbook" w:hAnsi="Century Schoolbook"/>
        </w:rPr>
        <w:t xml:space="preserve">he </w:t>
      </w:r>
      <w:r w:rsidR="00DE5968" w:rsidRPr="00662E51">
        <w:rPr>
          <w:rFonts w:ascii="Century Schoolbook" w:hAnsi="Century Schoolbook"/>
        </w:rPr>
        <w:fldChar w:fldCharType="begin"/>
      </w:r>
      <w:r w:rsidR="00EE724C" w:rsidRPr="00662E51">
        <w:rPr>
          <w:rFonts w:ascii="Century Schoolbook" w:hAnsi="Century Schoolbook"/>
        </w:rPr>
        <w:instrText xml:space="preserve"> ADDIN ZOTERO_ITEM CSL_CITATION {"citationID":"Opn857Fg","properties":{"formattedCitation":"(1987a)","plainCitation":"(1987a)","noteIndex":0},"citationItems":[{"id":5264,"uris":["http://zotero.org/users/8977980/items/8NKV6XJJ"],"itemData":{"id":5264,"type":"personal_communication","archive":"Bishopsgate Institute","archive_location":"BG/P/2/4/9","genre":"Newsletter","title":"June 1987 Newsletter","author":[{"family":"Scott","given":"Stafford"}],"issued":{"date-parts":[["1987",6]]}},"label":"page","suppress-author":true}],"schema":"https://github.com/citation-style-language/schema/raw/master/csl-citation.json"} </w:instrText>
      </w:r>
      <w:r w:rsidR="00DE5968" w:rsidRPr="00662E51">
        <w:rPr>
          <w:rFonts w:ascii="Century Schoolbook" w:hAnsi="Century Schoolbook"/>
        </w:rPr>
        <w:fldChar w:fldCharType="separate"/>
      </w:r>
      <w:r w:rsidR="00EE724C" w:rsidRPr="00662E51">
        <w:rPr>
          <w:rFonts w:ascii="Century Schoolbook" w:hAnsi="Century Schoolbook"/>
        </w:rPr>
        <w:t>(1987a)</w:t>
      </w:r>
      <w:r w:rsidR="00DE5968" w:rsidRPr="00662E51">
        <w:rPr>
          <w:rFonts w:ascii="Century Schoolbook" w:hAnsi="Century Schoolbook"/>
        </w:rPr>
        <w:fldChar w:fldCharType="end"/>
      </w:r>
      <w:r w:rsidR="00DE5968" w:rsidRPr="00662E51">
        <w:rPr>
          <w:rFonts w:ascii="Century Schoolbook" w:hAnsi="Century Schoolbook"/>
        </w:rPr>
        <w:t xml:space="preserve"> writes about supporting a </w:t>
      </w:r>
      <w:r w:rsidR="004D58BC" w:rsidRPr="00662E51">
        <w:rPr>
          <w:rFonts w:ascii="Century Schoolbook" w:hAnsi="Century Schoolbook"/>
        </w:rPr>
        <w:t>“</w:t>
      </w:r>
      <w:r w:rsidR="00DE5968" w:rsidRPr="00662E51">
        <w:rPr>
          <w:rFonts w:ascii="Century Schoolbook" w:hAnsi="Century Schoolbook"/>
        </w:rPr>
        <w:t>revolution</w:t>
      </w:r>
      <w:r w:rsidR="004D58BC" w:rsidRPr="00662E51">
        <w:rPr>
          <w:rFonts w:ascii="Century Schoolbook" w:hAnsi="Century Schoolbook"/>
        </w:rPr>
        <w:t xml:space="preserve">” </w:t>
      </w:r>
      <w:r w:rsidR="00DE5968" w:rsidRPr="00662E51">
        <w:rPr>
          <w:rFonts w:ascii="Century Schoolbook" w:hAnsi="Century Schoolbook"/>
        </w:rPr>
        <w:t xml:space="preserve">that, </w:t>
      </w:r>
      <w:r w:rsidR="004D58BC" w:rsidRPr="00662E51">
        <w:rPr>
          <w:rFonts w:ascii="Century Schoolbook" w:hAnsi="Century Schoolbook"/>
        </w:rPr>
        <w:t>“</w:t>
      </w:r>
      <w:r w:rsidR="00DE5968" w:rsidRPr="00662E51">
        <w:rPr>
          <w:rFonts w:ascii="Century Schoolbook" w:hAnsi="Century Schoolbook"/>
        </w:rPr>
        <w:t>whether by coming out on the streets or lobbying the powers that be,</w:t>
      </w:r>
      <w:r w:rsidR="004D58BC" w:rsidRPr="00662E51">
        <w:rPr>
          <w:rFonts w:ascii="Century Schoolbook" w:hAnsi="Century Schoolbook"/>
        </w:rPr>
        <w:t>”</w:t>
      </w:r>
      <w:r w:rsidR="00DE5968" w:rsidRPr="00662E51">
        <w:rPr>
          <w:rFonts w:ascii="Century Schoolbook" w:hAnsi="Century Schoolbook"/>
        </w:rPr>
        <w:t xml:space="preserve"> allows people to </w:t>
      </w:r>
      <w:r w:rsidR="004D58BC" w:rsidRPr="00662E51">
        <w:rPr>
          <w:rFonts w:ascii="Century Schoolbook" w:hAnsi="Century Schoolbook"/>
        </w:rPr>
        <w:t>“</w:t>
      </w:r>
      <w:r w:rsidR="00DE5968" w:rsidRPr="00662E51">
        <w:rPr>
          <w:rFonts w:ascii="Century Schoolbook" w:hAnsi="Century Schoolbook"/>
        </w:rPr>
        <w:t>take positive action to redress their situation.</w:t>
      </w:r>
      <w:r w:rsidR="004D58BC" w:rsidRPr="00662E51">
        <w:rPr>
          <w:rFonts w:ascii="Century Schoolbook" w:hAnsi="Century Schoolbook"/>
        </w:rPr>
        <w:t>”</w:t>
      </w:r>
      <w:r w:rsidR="00394B61" w:rsidRPr="00662E51">
        <w:rPr>
          <w:rFonts w:ascii="Century Schoolbook" w:hAnsi="Century Schoolbook"/>
        </w:rPr>
        <w:t xml:space="preserve"> In another, </w:t>
      </w:r>
      <w:r w:rsidR="00292512">
        <w:rPr>
          <w:rFonts w:ascii="Century Schoolbook" w:hAnsi="Century Schoolbook"/>
        </w:rPr>
        <w:t xml:space="preserve">Stafford </w:t>
      </w:r>
      <w:r w:rsidR="00394B61" w:rsidRPr="00662E51">
        <w:rPr>
          <w:rFonts w:ascii="Century Schoolbook" w:hAnsi="Century Schoolbook"/>
        </w:rPr>
        <w:t xml:space="preserve">Scott </w:t>
      </w:r>
      <w:r w:rsidR="00394B61"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{"citationID":"iqdBjp7v","properties":{"formattedCitation":"(1987b)","plainCitation":"(1987b)","noteIndex":0},"citationItems":[{"id":5695,"uris":["http://zotero.org/users/8977980/items/RM6FFZ8M"],"itemData":{"id":5695,"type":"article-newspaper","container-title":"The Guardian (1959-2003)","ISSN":"02613077","language":"English","license":"Copyright Guardian Newspapers Limited Mar 30, 1987","note":"number-of-pages: 1","page":"14","publisher":"Guardian News &amp; Media Limited","publisher-place":"London (UK), United Kingdom","source":"ProQuest","title":"White Britain, black truth","author":[{"family":"Scott","given":"Stafford"}],"issued":{"date-parts":[["1987",3,30]]}},"label":"page","suppress-author":true}],"schema":"https://github.com/citation-style-language/schema/raw/master/csl-citation.json"} </w:instrText>
      </w:r>
      <w:r w:rsidR="00394B61" w:rsidRPr="00662E51">
        <w:rPr>
          <w:rFonts w:ascii="Century Schoolbook" w:hAnsi="Century Schoolbook"/>
        </w:rPr>
        <w:fldChar w:fldCharType="separate"/>
      </w:r>
      <w:r w:rsidR="00EE724C" w:rsidRPr="00662E51">
        <w:rPr>
          <w:rFonts w:ascii="Century Schoolbook" w:hAnsi="Century Schoolbook"/>
        </w:rPr>
        <w:t>(1987b)</w:t>
      </w:r>
      <w:r w:rsidR="00394B61" w:rsidRPr="00662E51">
        <w:rPr>
          <w:rFonts w:ascii="Century Schoolbook" w:hAnsi="Century Schoolbook"/>
        </w:rPr>
        <w:fldChar w:fldCharType="end"/>
      </w:r>
      <w:r w:rsidR="00394B61" w:rsidRPr="00662E51">
        <w:rPr>
          <w:rFonts w:ascii="Century Schoolbook" w:hAnsi="Century Schoolbook"/>
        </w:rPr>
        <w:t xml:space="preserve"> compares </w:t>
      </w:r>
      <w:r w:rsidR="004D58BC" w:rsidRPr="00662E51">
        <w:rPr>
          <w:rFonts w:ascii="Century Schoolbook" w:hAnsi="Century Schoolbook"/>
        </w:rPr>
        <w:t xml:space="preserve">positive </w:t>
      </w:r>
      <w:r w:rsidR="00394B61" w:rsidRPr="00662E51">
        <w:rPr>
          <w:rFonts w:ascii="Century Schoolbook" w:hAnsi="Century Schoolbook"/>
        </w:rPr>
        <w:t xml:space="preserve">media attention on Apartheid South Africa to </w:t>
      </w:r>
      <w:r w:rsidR="004D58BC" w:rsidRPr="00662E51">
        <w:rPr>
          <w:rFonts w:ascii="Century Schoolbook" w:hAnsi="Century Schoolbook"/>
        </w:rPr>
        <w:t xml:space="preserve">negative </w:t>
      </w:r>
      <w:r w:rsidR="00394B61" w:rsidRPr="00662E51">
        <w:rPr>
          <w:rFonts w:ascii="Century Schoolbook" w:hAnsi="Century Schoolbook"/>
        </w:rPr>
        <w:t>attention on Black Bri</w:t>
      </w:r>
      <w:r w:rsidR="00566884">
        <w:rPr>
          <w:rFonts w:ascii="Century Schoolbook" w:hAnsi="Century Schoolbook"/>
        </w:rPr>
        <w:t>ton</w:t>
      </w:r>
      <w:r w:rsidR="00394B61" w:rsidRPr="00662E51">
        <w:rPr>
          <w:rFonts w:ascii="Century Schoolbook" w:hAnsi="Century Schoolbook"/>
        </w:rPr>
        <w:t>s protesting against racial injustice, calling out hypocrisy in depiction</w:t>
      </w:r>
      <w:r w:rsidR="0062456C">
        <w:rPr>
          <w:rFonts w:ascii="Century Schoolbook" w:hAnsi="Century Schoolbook"/>
        </w:rPr>
        <w:t>s</w:t>
      </w:r>
      <w:r w:rsidR="00394B61" w:rsidRPr="00662E51">
        <w:rPr>
          <w:rFonts w:ascii="Century Schoolbook" w:hAnsi="Century Schoolbook"/>
        </w:rPr>
        <w:t xml:space="preserve"> of Black advocacy</w:t>
      </w:r>
      <w:r w:rsidR="004D58BC" w:rsidRPr="00662E51">
        <w:rPr>
          <w:rFonts w:ascii="Century Schoolbook" w:hAnsi="Century Schoolbook"/>
        </w:rPr>
        <w:t xml:space="preserve"> depending on the target</w:t>
      </w:r>
      <w:r w:rsidR="00394B61" w:rsidRPr="00662E51">
        <w:rPr>
          <w:rFonts w:ascii="Century Schoolbook" w:hAnsi="Century Schoolbook"/>
        </w:rPr>
        <w:t xml:space="preserve">. </w:t>
      </w:r>
      <w:r w:rsidR="00292512">
        <w:rPr>
          <w:rFonts w:ascii="Century Schoolbook" w:hAnsi="Century Schoolbook"/>
        </w:rPr>
        <w:t xml:space="preserve">Stafford </w:t>
      </w:r>
      <w:r w:rsidR="00394B61" w:rsidRPr="00662E51">
        <w:rPr>
          <w:rFonts w:ascii="Century Schoolbook" w:hAnsi="Century Schoolbook"/>
        </w:rPr>
        <w:t xml:space="preserve">Scott’s engagement morphed into the related Broadwater Farm Defence Campaign, and he continues to engage in police </w:t>
      </w:r>
      <w:r w:rsidR="00394B61" w:rsidRPr="00662E51">
        <w:rPr>
          <w:rFonts w:ascii="Century Schoolbook" w:hAnsi="Century Schoolbook"/>
        </w:rPr>
        <w:lastRenderedPageBreak/>
        <w:t xml:space="preserve">advocacy </w:t>
      </w:r>
      <w:r w:rsidR="00394B61"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{"citationID":"iXU4V1MX","properties":{"formattedCitation":"(see Elliott-Cooper 2021)","plainCitation":"(see Elliott-Cooper 2021)","noteIndex":0},"citationItems":[{"id":5679,"uris":["http://zotero.org/users/8977980/items/VM8DZIZ5"],"itemData":{"id":5679,"type":"book","DOI":"10.7765/9781526143945","ISBN":"978-1-5261-4394-5","publisher":"Manchester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policing","URL":"https://www.manchesterhive.com/view/9781526143945/9781526143945.xml","author":[{"family":"Elliott-Cooper","given":"Adam"}],"accessed":{"date-parts":[["2024",2,1]]},"issued":{"date-parts":[["2021",5,1]]}},"label":"page","prefix":"see "}],"schema":"https://github.com/citation-style-language/schema/raw/master/csl-citation.json"} </w:instrText>
      </w:r>
      <w:r w:rsidR="00394B61" w:rsidRPr="00662E51">
        <w:rPr>
          <w:rFonts w:ascii="Century Schoolbook" w:hAnsi="Century Schoolbook"/>
        </w:rPr>
        <w:fldChar w:fldCharType="separate"/>
      </w:r>
      <w:r w:rsidR="00394B61" w:rsidRPr="00662E51">
        <w:rPr>
          <w:rFonts w:ascii="Century Schoolbook" w:hAnsi="Century Schoolbook"/>
        </w:rPr>
        <w:t>(see Elliott-Cooper 2021)</w:t>
      </w:r>
      <w:r w:rsidR="00394B61" w:rsidRPr="00662E51">
        <w:rPr>
          <w:rFonts w:ascii="Century Schoolbook" w:hAnsi="Century Schoolbook"/>
        </w:rPr>
        <w:fldChar w:fldCharType="end"/>
      </w:r>
      <w:r w:rsidR="00394B61" w:rsidRPr="00662E51">
        <w:rPr>
          <w:rFonts w:ascii="Century Schoolbook" w:hAnsi="Century Schoolbook"/>
        </w:rPr>
        <w:t xml:space="preserve">. </w:t>
      </w:r>
      <w:r w:rsidR="00DE5968" w:rsidRPr="00662E51">
        <w:rPr>
          <w:rFonts w:ascii="Century Schoolbook" w:hAnsi="Century Schoolbook"/>
        </w:rPr>
        <w:t>Moreover, BFYA, Broadwater Farm Resident’s Association,</w:t>
      </w:r>
      <w:r w:rsidR="00DE5968" w:rsidRPr="00BD17AF">
        <w:rPr>
          <w:rStyle w:val="FootnoteReference"/>
        </w:rPr>
        <w:footnoteReference w:id="49"/>
      </w:r>
      <w:r w:rsidR="00DE5968" w:rsidRPr="00662E51">
        <w:rPr>
          <w:rFonts w:ascii="Century Schoolbook" w:hAnsi="Century Schoolbook"/>
        </w:rPr>
        <w:t xml:space="preserve"> and the Defense Campaign </w:t>
      </w:r>
      <w:r w:rsidR="00DE5968"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{"citationID":"jqGwajUI","properties":{"formattedCitation":"(1987)","plainCitation":"(1987)","noteIndex":0},"citationItems":[{"id":5689,"uris":["http://zotero.org/users/8977980/items/MMQCXNMU"],"itemData":{"id":5689,"type":"report","archive":"Black Cultural Archives","archive_location":"OSAMOR/1","note":"type: pamphlet","publisher-place":"London, UK","title":"Manifesto of the Movement for Civil Rights and Justice","URL":"https://artsandculture.google.com/asset/mQEmWM-2CpXsvA?childAssetId=AAEa9FAPh91JGw&amp;hl=en","author":[{"literal":"BFYA"},{"literal":"BFRA"},{"literal":"Broadwater Farm Defense Campaign"}],"issued":{"date-parts":[["1987"]]}},"label":"page","suppress-author":true}],"schema":"https://github.com/citation-style-language/schema/raw/master/csl-citation.json"} </w:instrText>
      </w:r>
      <w:r w:rsidR="00DE5968" w:rsidRPr="00662E51">
        <w:rPr>
          <w:rFonts w:ascii="Century Schoolbook" w:hAnsi="Century Schoolbook"/>
        </w:rPr>
        <w:fldChar w:fldCharType="separate"/>
      </w:r>
      <w:r w:rsidR="00DE5968" w:rsidRPr="00662E51">
        <w:rPr>
          <w:rFonts w:ascii="Century Schoolbook" w:hAnsi="Century Schoolbook"/>
        </w:rPr>
        <w:t>(1987)</w:t>
      </w:r>
      <w:r w:rsidR="00DE5968" w:rsidRPr="00662E51">
        <w:rPr>
          <w:rFonts w:ascii="Century Schoolbook" w:hAnsi="Century Schoolbook"/>
        </w:rPr>
        <w:fldChar w:fldCharType="end"/>
      </w:r>
      <w:r w:rsidR="00DE5968" w:rsidRPr="00662E51">
        <w:rPr>
          <w:rFonts w:ascii="Century Schoolbook" w:hAnsi="Century Schoolbook"/>
        </w:rPr>
        <w:t xml:space="preserve"> developed a joint Movement for Civil Rights and Justice that directly aimed to challenge the racist policing order (KI.4, interview, 27 Nov. 2023). The more explicit politics did not mean a decrease in collaboration with the local or national state—as noted earlier, most of BFYA’s success required accommodation. Most importantly, this flexibility does not undermine the strength of their citizenship acts. Rather, it is a pragmatism that allowed BFYA to </w:t>
      </w:r>
      <w:r w:rsidR="009064B9" w:rsidRPr="00662E51">
        <w:rPr>
          <w:rFonts w:ascii="Century Schoolbook" w:hAnsi="Century Schoolbook"/>
        </w:rPr>
        <w:t>“</w:t>
      </w:r>
      <w:r w:rsidR="00DE5968" w:rsidRPr="00662E51">
        <w:rPr>
          <w:rFonts w:ascii="Century Schoolbook" w:hAnsi="Century Schoolbook"/>
        </w:rPr>
        <w:t>engage in [the] writing [of] scripts and creating the scene</w:t>
      </w:r>
      <w:r w:rsidR="009064B9" w:rsidRPr="00662E51">
        <w:rPr>
          <w:rFonts w:ascii="Century Schoolbook" w:hAnsi="Century Schoolbook"/>
        </w:rPr>
        <w:t xml:space="preserve">” </w:t>
      </w:r>
      <w:r w:rsidR="00DE5968" w:rsidRPr="00662E51">
        <w:rPr>
          <w:rFonts w:ascii="Century Schoolbook" w:hAnsi="Century Schoolbook"/>
        </w:rPr>
        <w:t xml:space="preserve">that is necessary to </w:t>
      </w:r>
      <w:r w:rsidR="009064B9" w:rsidRPr="00662E51">
        <w:rPr>
          <w:rFonts w:ascii="Century Schoolbook" w:hAnsi="Century Schoolbook"/>
        </w:rPr>
        <w:t>“</w:t>
      </w:r>
      <w:r w:rsidR="00DE5968" w:rsidRPr="00662E51">
        <w:rPr>
          <w:rFonts w:ascii="Century Schoolbook" w:hAnsi="Century Schoolbook"/>
        </w:rPr>
        <w:t>enact[ing] themselves as citizens</w:t>
      </w:r>
      <w:r w:rsidR="009064B9" w:rsidRPr="00662E51">
        <w:rPr>
          <w:rFonts w:ascii="Century Schoolbook" w:hAnsi="Century Schoolbook"/>
        </w:rPr>
        <w:t xml:space="preserve">” </w:t>
      </w:r>
      <w:r w:rsidR="00DE5968" w:rsidRPr="00662E51">
        <w:rPr>
          <w:rFonts w:ascii="Century Schoolbook" w:hAnsi="Century Schoolbook"/>
        </w:rPr>
        <w:t xml:space="preserve">in a time of AN </w:t>
      </w:r>
      <w:r w:rsidR="00DE5968" w:rsidRPr="00662E51">
        <w:rPr>
          <w:rFonts w:ascii="Century Schoolbook" w:hAnsi="Century Schoolbook"/>
        </w:rPr>
        <w:fldChar w:fldCharType="begin"/>
      </w:r>
      <w:r w:rsidR="008E2F28">
        <w:rPr>
          <w:rFonts w:ascii="Century Schoolbook" w:hAnsi="Century Schoolbook"/>
        </w:rPr>
        <w:instrText xml:space="preserve"> ADDIN ZOTERO_ITEM CSL_CITATION {"citationID":"0KXoR3W2","properties":{"formattedCitation":"(Isin 2009, 381)","plainCitation":"(Isin 2009, 381)","noteIndex":0},"citationItems":[{"id":3264,"uris":["http://zotero.org/users/8977980/items/NL6Y98JU"],"itemData":{"id":3264,"type":"article-journal","abstract":"Throughout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flux","volume":"29","author":[{"family":"Isin","given":"Engin"}],"issued":{"date-parts":[["2009",12,1]]}},"locator":"381"}],"schema":"https://github.com/citation-style-language/schema/raw/master/csl-citation.json"} </w:instrText>
      </w:r>
      <w:r w:rsidR="00DE5968" w:rsidRPr="00662E51">
        <w:rPr>
          <w:rFonts w:ascii="Century Schoolbook" w:hAnsi="Century Schoolbook"/>
        </w:rPr>
        <w:fldChar w:fldCharType="separate"/>
      </w:r>
      <w:r w:rsidR="008E2F28" w:rsidRPr="008E2F28">
        <w:rPr>
          <w:rFonts w:ascii="Century Schoolbook" w:hAnsi="Century Schoolbook"/>
        </w:rPr>
        <w:t>(Isin 2009, 381)</w:t>
      </w:r>
      <w:r w:rsidR="00DE5968" w:rsidRPr="00662E51">
        <w:rPr>
          <w:rFonts w:ascii="Century Schoolbook" w:hAnsi="Century Schoolbook"/>
        </w:rPr>
        <w:fldChar w:fldCharType="end"/>
      </w:r>
      <w:r w:rsidR="00DE5968" w:rsidRPr="00662E51">
        <w:rPr>
          <w:rFonts w:ascii="Century Schoolbook" w:hAnsi="Century Schoolbook"/>
        </w:rPr>
        <w:t xml:space="preserve">. </w:t>
      </w:r>
    </w:p>
    <w:p w14:paraId="1FDEF32A" w14:textId="723D8556" w:rsidR="00DE5968" w:rsidRPr="00662E51" w:rsidRDefault="00DE5968" w:rsidP="00F56305">
      <w:pPr>
        <w:pStyle w:val="Newparagraph"/>
        <w:spacing w:line="360" w:lineRule="auto"/>
        <w:jc w:val="both"/>
        <w:rPr>
          <w:rFonts w:ascii="Century Schoolbook" w:hAnsi="Century Schoolbook"/>
        </w:rPr>
      </w:pPr>
      <w:r w:rsidRPr="00662E51">
        <w:rPr>
          <w:rFonts w:ascii="Century Schoolbook" w:hAnsi="Century Schoolbook"/>
        </w:rPr>
        <w:t xml:space="preserve">I return to BFYA’s refurbishment of the estate, something I called ‘auto-regeneration.’ Previous sections have discussed the work BFYA undertook, so I focus on the meanings and effects of auto-regeneration for and on the estate and BFYA. The YA was able to engage in auto-regeneration by boosting employment through their Co-Op and by lobbying contractors to hire and train local young men (KI.3/4, interview, 27 Nov. 2023). The Co-Op was responsible for the aforementioned new parks, painting of exterior structures, three big murals, and renovation of several buildings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{"citationID":"cQkgGxGp","properties":{"formattedCitation":"(Williams 1994)","plainCitation":"(Williams 1994)","noteIndex":0},"citationItems":[{"id":5315,"uris":["http://zotero.org/users/8977980/items/Q3WDKSWW"],"itemData":{"id":5315,"type":"book","abstract":"KEEPER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(Williams 1994)</w:t>
      </w:r>
      <w:r w:rsidRPr="00662E51">
        <w:rPr>
          <w:rFonts w:ascii="Century Schoolbook" w:hAnsi="Century Schoolbook"/>
        </w:rPr>
        <w:fldChar w:fldCharType="end"/>
      </w:r>
      <w:r w:rsidRPr="00662E51">
        <w:rPr>
          <w:rFonts w:ascii="Century Schoolbook" w:hAnsi="Century Schoolbook"/>
        </w:rPr>
        <w:t xml:space="preserve">. The YA’s emphasis on employment was both practical and ideological. Unemployment was high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{"citationID":"Z2iiIN1o","properties":{"formattedCitation":"(nearly 70%; Gifford 1986, 155)","plainCitation":"(nearly 70%; Gifford 1986, 155)","noteIndex":0},"citationItems":[{"id":5214,"uris":["http://zotero.org/users/8977980/items/QT5S27DM"],"itemData":{"id":5214,"type":"book","edition":"First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Tottenham","URL":"https://berniegrantarchive.org.uk/bg-303-623-bro/","author":[{"family":"Gifford","given":"Lord"}],"issued":{"date-parts":[["1986",1,1]]}},"locator":"155","label":"page","prefix":"nearly 70%; "}],"schema":"https://github.com/citation-style-language/schema/raw/master/csl-citation.json"}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(nearly 70%; Gifford 1986, 155)</w:t>
      </w:r>
      <w:r w:rsidRPr="00662E51">
        <w:rPr>
          <w:rFonts w:ascii="Century Schoolbook" w:hAnsi="Century Schoolbook"/>
        </w:rPr>
        <w:fldChar w:fldCharType="end"/>
      </w:r>
      <w:r w:rsidRPr="00662E51">
        <w:rPr>
          <w:rFonts w:ascii="Century Schoolbook" w:hAnsi="Century Schoolbook"/>
        </w:rPr>
        <w:t xml:space="preserve"> and the belief was that it contributed to crime (KI.3, interview, 27 Nov. 2023). BFYA also held courses to support resident entrepreneurship at a dedicated and staffed enterprise centre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{"citationID":"oGSuBPKa","properties":{"formattedCitation":"(Williams 1994)","plainCitation":"(Williams 1994)","noteIndex":0},"citationItems":[{"id":5315,"uris":["http://zotero.org/users/8977980/items/Q3WDKSWW"],"itemData":{"id":5315,"type":"book","abstract":"KEEPER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(Williams 1994)</w:t>
      </w:r>
      <w:r w:rsidRPr="00662E51">
        <w:rPr>
          <w:rFonts w:ascii="Century Schoolbook" w:hAnsi="Century Schoolbook"/>
        </w:rPr>
        <w:fldChar w:fldCharType="end"/>
      </w:r>
      <w:r w:rsidRPr="00662E51">
        <w:rPr>
          <w:rFonts w:ascii="Century Schoolbook" w:hAnsi="Century Schoolbook"/>
        </w:rPr>
        <w:t xml:space="preserve">. The Gifford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{"citationID":"q07ZguJg","properties":{"formattedCitation":"(1986)","plainCitation":"(1986)","noteIndex":0},"citationItems":[{"id":5214,"uris":["http://zotero.org/users/8977980/items/QT5S27DM"],"itemData":{"id":5214,"type":"book","edition":"First Edition","ISBN":"978-0-340-68577-8","language":"English","number-of-pages":"285","publisher":"Karia Press","source":"Bernie Grant Archive","title":"Report of the Independent Inquiry into Disturbances of October 1985 at the Broadwater Farm Estate, Tottenham","URL":"https://berniegrantarchive.org.uk/bg-303-623-bro/","author":[{"family":"Gifford","given":"Lord"}],"issued":{"date-parts":[["1986",1,1]]}},"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(1986)</w:t>
      </w:r>
      <w:r w:rsidRPr="00662E51">
        <w:rPr>
          <w:rFonts w:ascii="Century Schoolbook" w:hAnsi="Century Schoolbook"/>
        </w:rPr>
        <w:fldChar w:fldCharType="end"/>
      </w:r>
      <w:r w:rsidRPr="00662E51">
        <w:rPr>
          <w:rFonts w:ascii="Century Schoolbook" w:hAnsi="Century Schoolbook"/>
        </w:rPr>
        <w:t xml:space="preserve"> report believes this effort played a part in reducing crime. Auto-regeneration also created a new social pressure that meant the work was </w:t>
      </w:r>
      <w:r w:rsidR="00EE4117" w:rsidRPr="00662E51">
        <w:rPr>
          <w:rFonts w:ascii="Century Schoolbook" w:hAnsi="Century Schoolbook"/>
        </w:rPr>
        <w:t>“</w:t>
      </w:r>
      <w:r w:rsidRPr="00662E51">
        <w:rPr>
          <w:rFonts w:ascii="Century Schoolbook" w:hAnsi="Century Schoolbook"/>
        </w:rPr>
        <w:t>protected</w:t>
      </w:r>
      <w:r w:rsidR="00EE4117" w:rsidRPr="00662E51">
        <w:rPr>
          <w:rFonts w:ascii="Century Schoolbook" w:hAnsi="Century Schoolbook"/>
        </w:rPr>
        <w:t>”</w:t>
      </w:r>
      <w:r w:rsidRPr="00662E51">
        <w:rPr>
          <w:rFonts w:ascii="Century Schoolbook" w:hAnsi="Century Schoolbook"/>
        </w:rPr>
        <w:t xml:space="preserve"> from </w:t>
      </w:r>
      <w:r w:rsidR="00EE4117" w:rsidRPr="00662E51">
        <w:rPr>
          <w:rFonts w:ascii="Century Schoolbook" w:hAnsi="Century Schoolbook"/>
        </w:rPr>
        <w:t>“</w:t>
      </w:r>
      <w:r w:rsidRPr="00662E51">
        <w:rPr>
          <w:rFonts w:ascii="Century Schoolbook" w:hAnsi="Century Schoolbook"/>
        </w:rPr>
        <w:t>graffiti</w:t>
      </w:r>
      <w:r w:rsidR="00EE4117" w:rsidRPr="00662E51">
        <w:rPr>
          <w:rFonts w:ascii="Century Schoolbook" w:hAnsi="Century Schoolbook"/>
        </w:rPr>
        <w:t xml:space="preserve">” </w:t>
      </w:r>
      <w:r w:rsidRPr="00662E51">
        <w:rPr>
          <w:rFonts w:ascii="Century Schoolbook" w:hAnsi="Century Schoolbook"/>
        </w:rPr>
        <w:t xml:space="preserve">and </w:t>
      </w:r>
      <w:r w:rsidR="00EE4117" w:rsidRPr="00662E51">
        <w:rPr>
          <w:rFonts w:ascii="Century Schoolbook" w:hAnsi="Century Schoolbook"/>
        </w:rPr>
        <w:t>“</w:t>
      </w:r>
      <w:r w:rsidRPr="00662E51">
        <w:rPr>
          <w:rFonts w:ascii="Century Schoolbook" w:hAnsi="Century Schoolbook"/>
        </w:rPr>
        <w:t>destruction</w:t>
      </w:r>
      <w:r w:rsidR="00EE4117" w:rsidRPr="00662E51">
        <w:rPr>
          <w:rFonts w:ascii="Century Schoolbook" w:hAnsi="Century Schoolbook"/>
        </w:rPr>
        <w:t>”</w:t>
      </w:r>
      <w:r w:rsidRPr="00662E51">
        <w:rPr>
          <w:rFonts w:ascii="Century Schoolbook" w:hAnsi="Century Schoolbook"/>
        </w:rPr>
        <w:t xml:space="preserve"> because inhabitants were </w:t>
      </w:r>
      <w:r w:rsidR="00EE4117" w:rsidRPr="00662E51">
        <w:rPr>
          <w:rFonts w:ascii="Century Schoolbook" w:hAnsi="Century Schoolbook"/>
        </w:rPr>
        <w:t>“</w:t>
      </w:r>
      <w:r w:rsidRPr="00662E51">
        <w:rPr>
          <w:rFonts w:ascii="Century Schoolbook" w:hAnsi="Century Schoolbook"/>
        </w:rPr>
        <w:t>proud of what they’ve done</w:t>
      </w:r>
      <w:r w:rsidR="00EE4117" w:rsidRPr="00662E51">
        <w:rPr>
          <w:rFonts w:ascii="Century Schoolbook" w:hAnsi="Century Schoolbook"/>
        </w:rPr>
        <w:t xml:space="preserve">” </w:t>
      </w:r>
      <w:r w:rsidRPr="00662E51">
        <w:rPr>
          <w:rFonts w:ascii="Century Schoolbook" w:hAnsi="Century Schoolbook"/>
        </w:rPr>
        <w:t xml:space="preserve">(KI.4, interview, 27 Nov. 2023). This effect was widespread across the estate and endured at least into the 1990s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{"citationID":"HygTcwpN","properties":{"formattedCitation":"(J. L. Smith 1993)","plainCitation":"(J. L. Smith 1993)","noteIndex":0},"citationItems":[{"id":5324,"uris":["http://zotero.org/users/8977980/items/5VHBHWGE"],"itemData":{"id":5324,"type":"article-newspaper","archive":"The Times Digital Archive","container-title":"The Times","ISSN":"0140-0460","issue":"64704","language":"English","note":"14","page":"14","publisher-place":"London, UK","source":"Gale","title":"Back from the brink","author":[{"family":"Smith","given":"Julia Llewellyn"}],"issued":{"date-parts":[["1993",7,23]]}}}],"schema":"https://github.com/citation-style-language/schema/raw/master/csl-citation.json"}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(J. L. Smith 1993)</w:t>
      </w:r>
      <w:r w:rsidRPr="00662E51">
        <w:rPr>
          <w:rFonts w:ascii="Century Schoolbook" w:hAnsi="Century Schoolbook"/>
        </w:rPr>
        <w:fldChar w:fldCharType="end"/>
      </w:r>
      <w:r w:rsidRPr="00662E51">
        <w:rPr>
          <w:rFonts w:ascii="Century Schoolbook" w:hAnsi="Century Schoolbook"/>
        </w:rPr>
        <w:t xml:space="preserve">. Auto-regeneration is another important citizenship act. In essence, the Co-Op is a clever use of existing laws to ensure government funds were funnelled toward BF residents, as it could bid for contracts normally only available to outside construction firms. While the funds were a consequence of the 1985 uprising, the </w:t>
      </w:r>
      <w:r w:rsidRPr="00662E51">
        <w:rPr>
          <w:rFonts w:ascii="Century Schoolbook" w:hAnsi="Century Schoolbook"/>
        </w:rPr>
        <w:lastRenderedPageBreak/>
        <w:t xml:space="preserve">funnelling was only possible because of BFYA’s use of existing law. The BFYA even flexed its muscles to </w:t>
      </w:r>
      <w:r w:rsidR="00EE4117" w:rsidRPr="00662E51">
        <w:rPr>
          <w:rFonts w:ascii="Century Schoolbook" w:hAnsi="Century Schoolbook"/>
        </w:rPr>
        <w:t>“</w:t>
      </w:r>
      <w:r w:rsidRPr="00662E51">
        <w:rPr>
          <w:rFonts w:ascii="Century Schoolbook" w:hAnsi="Century Schoolbook"/>
        </w:rPr>
        <w:t>insist that [a subcontractor] used and trained local youth</w:t>
      </w:r>
      <w:r w:rsidR="00EE4117" w:rsidRPr="00662E51">
        <w:rPr>
          <w:rFonts w:ascii="Century Schoolbook" w:hAnsi="Century Schoolbook"/>
        </w:rPr>
        <w:t>”</w:t>
      </w:r>
      <w:r w:rsidRPr="00662E51">
        <w:rPr>
          <w:rFonts w:ascii="Century Schoolbook" w:hAnsi="Century Schoolbook"/>
        </w:rPr>
        <w:t xml:space="preserve"> for the parks project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{"citationID":"egT1TyYT","properties":{"formattedCitation":"(Williams 1994, 59)","plainCitation":"(Williams 1994, 59)","noteIndex":0},"citationItems":[{"id":5315,"uris":["http://zotero.org/users/8977980/items/Q3WDKSWW"],"itemData":{"id":5315,"type":"book","abstract":"KEEPER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DREAM","author":[{"family":"Williams","given":"Paul"}],"accessed":{"date-parts":[["2023",10,12]]},"issued":{"date-parts":[["1994"]]}},"locator":"59"}],"schema":"https://github.com/citation-style-language/schema/raw/master/csl-citation.json"}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(Williams 1994, 59)</w:t>
      </w:r>
      <w:r w:rsidRPr="00662E51">
        <w:rPr>
          <w:rFonts w:ascii="Century Schoolbook" w:hAnsi="Century Schoolbook"/>
        </w:rPr>
        <w:fldChar w:fldCharType="end"/>
      </w:r>
      <w:r w:rsidRPr="00662E51">
        <w:rPr>
          <w:rFonts w:ascii="Century Schoolbook" w:hAnsi="Century Schoolbook"/>
        </w:rPr>
        <w:t xml:space="preserve">. Auto-regeneration reflects the </w:t>
      </w:r>
      <w:r w:rsidR="00EE4117" w:rsidRPr="00662E51">
        <w:rPr>
          <w:rFonts w:ascii="Century Schoolbook" w:hAnsi="Century Schoolbook"/>
        </w:rPr>
        <w:t>“</w:t>
      </w:r>
      <w:r w:rsidRPr="00662E51">
        <w:rPr>
          <w:rFonts w:ascii="Century Schoolbook" w:hAnsi="Century Schoolbook"/>
        </w:rPr>
        <w:t>determination of residents to rely on nobody’s efforts</w:t>
      </w:r>
      <w:r w:rsidR="00EE4117" w:rsidRPr="00662E51">
        <w:rPr>
          <w:rFonts w:ascii="Century Schoolbook" w:hAnsi="Century Schoolbook"/>
        </w:rPr>
        <w:t xml:space="preserve">” </w:t>
      </w:r>
      <w:r w:rsidRPr="00662E51">
        <w:rPr>
          <w:rFonts w:ascii="Century Schoolbook" w:hAnsi="Century Schoolbook"/>
        </w:rPr>
        <w:t xml:space="preserve">but their own, which is a marked shift from earlier depictions of BF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{"citationID":"7o4g9MFh","properties":{"formattedCitation":"(Young 1992)","plainCitation":"(Young 1992)","noteIndex":0},"citationItems":[{"id":5326,"uris":["http://zotero.org/users/8977980/items/ILJE9RXJ"],"itemData":{"id":5326,"type":"article-newspaper","archive":"The Times Digital Archive","container-title":"The Times","ISSN":"0140-0460","issue":"64377","language":"English","note":"8","page":"8","source":"Gale","title":"Tenants build a better future for Broadwater Farm","author":[{"family":"Young","given":"John"}],"issued":{"date-parts":[["1992",7,6]]}}}],"schema":"https://github.com/citation-style-language/schema/raw/master/csl-citation.json"}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(Young 1992)</w:t>
      </w:r>
      <w:r w:rsidRPr="00662E51">
        <w:rPr>
          <w:rFonts w:ascii="Century Schoolbook" w:hAnsi="Century Schoolbook"/>
        </w:rPr>
        <w:fldChar w:fldCharType="end"/>
      </w:r>
      <w:r w:rsidRPr="00662E51">
        <w:rPr>
          <w:rFonts w:ascii="Century Schoolbook" w:hAnsi="Century Schoolbook"/>
        </w:rPr>
        <w:t xml:space="preserve">. By exerting this change in circumstance, BFYA fundamentally altered their relationship with the local state. BFYA activist Nigel Norie is quoted as saying that before the Co-Op, </w:t>
      </w:r>
      <w:r w:rsidR="00EE4117" w:rsidRPr="00662E51">
        <w:rPr>
          <w:rFonts w:ascii="Century Schoolbook" w:hAnsi="Century Schoolbook"/>
        </w:rPr>
        <w:t>“</w:t>
      </w:r>
      <w:r w:rsidRPr="00662E51">
        <w:rPr>
          <w:rFonts w:ascii="Century Schoolbook" w:hAnsi="Century Schoolbook"/>
        </w:rPr>
        <w:t>the council would send in a team and dab on some fresh paint and go away again.</w:t>
      </w:r>
      <w:r w:rsidR="00EE4117" w:rsidRPr="00662E51">
        <w:rPr>
          <w:rFonts w:ascii="Century Schoolbook" w:hAnsi="Century Schoolbook"/>
        </w:rPr>
        <w:t>”</w:t>
      </w:r>
      <w:r w:rsidRPr="00662E51">
        <w:rPr>
          <w:rFonts w:ascii="Century Schoolbook" w:hAnsi="Century Schoolbook"/>
        </w:rPr>
        <w:t xml:space="preserve"> Yet, because of high unemployment, </w:t>
      </w:r>
      <w:r w:rsidR="00EE4117" w:rsidRPr="00662E51">
        <w:rPr>
          <w:rFonts w:ascii="Century Schoolbook" w:hAnsi="Century Schoolbook"/>
        </w:rPr>
        <w:t>“</w:t>
      </w:r>
      <w:r w:rsidRPr="00662E51">
        <w:rPr>
          <w:rFonts w:ascii="Century Schoolbook" w:hAnsi="Century Schoolbook"/>
        </w:rPr>
        <w:t>local people would have to just sit and watch. Anger and bitterness would be left behind…</w:t>
      </w:r>
      <w:r w:rsidR="00EE4117" w:rsidRPr="00662E51">
        <w:rPr>
          <w:rFonts w:ascii="Century Schoolbook" w:hAnsi="Century Schoolbook"/>
        </w:rPr>
        <w:t>”</w:t>
      </w:r>
      <w:r w:rsidRPr="00662E51">
        <w:rPr>
          <w:rFonts w:ascii="Century Schoolbook" w:hAnsi="Century Schoolbook"/>
        </w:rPr>
        <w:t xml:space="preserv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{"citationID":"2gJAlHPY","properties":{"formattedCitation":"(Young 1992)","plainCitation":"(Young 1992)","noteIndex":0},"citationItems":[{"id":5326,"uris":["http://zotero.org/users/8977980/items/ILJE9RXJ"],"itemData":{"id":5326,"type":"article-newspaper","archive":"The Times Digital Archive","container-title":"The Times","ISSN":"0140-0460","issue":"64377","language":"English","note":"8","page":"8","source":"Gale","title":"Tenants build a better future for Broadwater Farm","author":[{"family":"Young","given":"John"}],"issued":{"date-parts":[["1992",7,6]]}},"label":"page"}],"schema":"https://github.com/citation-style-language/schema/raw/master/csl-citation.json"}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(Young 1992)</w:t>
      </w:r>
      <w:r w:rsidRPr="00662E51">
        <w:rPr>
          <w:rFonts w:ascii="Century Schoolbook" w:hAnsi="Century Schoolbook"/>
        </w:rPr>
        <w:fldChar w:fldCharType="end"/>
      </w:r>
      <w:r w:rsidRPr="00662E51">
        <w:rPr>
          <w:rFonts w:ascii="Century Schoolbook" w:hAnsi="Century Schoolbook"/>
        </w:rPr>
        <w:t xml:space="preserve">. After the change, there was a clear sense that BF inhabitants were in charge of the estate’s affairs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{"citationID":"bwzv9GLB","properties":{"formattedCitation":"(Williams 1994)","plainCitation":"(Williams 1994)","noteIndex":0},"citationItems":[{"id":5315,"uris":["http://zotero.org/users/8977980/items/Q3WDKSWW"],"itemData":{"id":5315,"type":"book","abstract":"KEEPER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(Williams 1994)</w:t>
      </w:r>
      <w:r w:rsidRPr="00662E51">
        <w:rPr>
          <w:rFonts w:ascii="Century Schoolbook" w:hAnsi="Century Schoolbook"/>
        </w:rPr>
        <w:fldChar w:fldCharType="end"/>
      </w:r>
      <w:r w:rsidRPr="00662E51">
        <w:rPr>
          <w:rFonts w:ascii="Century Schoolbook" w:hAnsi="Century Schoolbook"/>
        </w:rPr>
        <w:t xml:space="preserve">. Beyond becoming actors that became answerable to justice—in this case, answerable to the insulation from dissent and lack of consent from residents for projects—BF dwellers established new scripts that went against </w:t>
      </w:r>
      <w:r w:rsidR="00EE4117" w:rsidRPr="00662E51">
        <w:rPr>
          <w:rFonts w:ascii="Century Schoolbook" w:hAnsi="Century Schoolbook"/>
        </w:rPr>
        <w:t>“</w:t>
      </w:r>
      <w:r w:rsidRPr="00662E51">
        <w:rPr>
          <w:rFonts w:ascii="Century Schoolbook" w:hAnsi="Century Schoolbook"/>
        </w:rPr>
        <w:t>prescribed habitus and political taboos</w:t>
      </w:r>
      <w:r w:rsidR="00EE4117" w:rsidRPr="00662E51">
        <w:rPr>
          <w:rFonts w:ascii="Century Schoolbook" w:hAnsi="Century Schoolbook"/>
        </w:rPr>
        <w:t xml:space="preserv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{"citationID":"uTNLuKFf","properties":{"formattedCitation":"(Jakim\\uc0\\u243{}w 2022, 509)","plainCitation":"(Jakimów 2022, 509)","noteIndex":0},"citationItems":[{"id":5118,"uris":["http://zotero.org/users/8977980/items/WQR8VRAH"],"itemData":{"id":5118,"type":"article-journal","abstract":"The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contexts","volume":"26","author":[{"family":"Jakimów","given":"Małgorzata"}],"issued":{"date-parts":[["2022",7,4]]}},"locator":"509","label":"page"}],"schema":"https://github.com/citation-style-language/schema/raw/master/csl-citation.json"}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(Jakimów 2022, 509)</w:t>
      </w:r>
      <w:r w:rsidRPr="00662E51">
        <w:rPr>
          <w:rFonts w:ascii="Century Schoolbook" w:hAnsi="Century Schoolbook"/>
        </w:rPr>
        <w:fldChar w:fldCharType="end"/>
      </w:r>
      <w:r w:rsidRPr="00662E51">
        <w:rPr>
          <w:rFonts w:ascii="Century Schoolbook" w:hAnsi="Century Schoolbook"/>
        </w:rPr>
        <w:t>. We know from the archive that the Co-Op was an unanticipated move by the BF</w:t>
      </w:r>
      <w:r w:rsidR="00EE4117" w:rsidRPr="00662E51">
        <w:rPr>
          <w:rFonts w:ascii="Century Schoolbook" w:hAnsi="Century Schoolbook"/>
        </w:rPr>
        <w:t>Y</w:t>
      </w:r>
      <w:r w:rsidRPr="00662E51">
        <w:rPr>
          <w:rFonts w:ascii="Century Schoolbook" w:hAnsi="Century Schoolbook"/>
        </w:rPr>
        <w:t xml:space="preserve">A that Council staff did not initially believe would succeed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{"citationID":"ssEjTkYx","properties":{"formattedCitation":"(Williams 1994)","plainCitation":"(Williams 1994)","noteIndex":0},"citationItems":[{"id":5315,"uris":["http://zotero.org/users/8977980/items/Q3WDKSWW"],"itemData":{"id":5315,"type":"book","abstract":"KEEPER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(Williams 1994)</w:t>
      </w:r>
      <w:r w:rsidRPr="00662E51">
        <w:rPr>
          <w:rFonts w:ascii="Century Schoolbook" w:hAnsi="Century Schoolbook"/>
        </w:rPr>
        <w:fldChar w:fldCharType="end"/>
      </w:r>
      <w:r w:rsidRPr="00662E51">
        <w:rPr>
          <w:rFonts w:ascii="Century Schoolbook" w:hAnsi="Century Schoolbook"/>
        </w:rPr>
        <w:t xml:space="preserve">. While Isin’s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{"citationID":"9L1fDsOK","properties":{"formattedCitation":"(2008)","plainCitation":"(2008)","noteIndex":0},"citationItems":[{"id":256,"uris":["http://zotero.org/users/8977980/items/ZRWP6PIY"],"itemData":{"id":256,"type":"chapter","abstract":"Politics,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(2008)</w:t>
      </w:r>
      <w:r w:rsidRPr="00662E51">
        <w:rPr>
          <w:rFonts w:ascii="Century Schoolbook" w:hAnsi="Century Schoolbook"/>
        </w:rPr>
        <w:fldChar w:fldCharType="end"/>
      </w:r>
      <w:r w:rsidRPr="00662E51">
        <w:rPr>
          <w:rFonts w:ascii="Century Schoolbook" w:hAnsi="Century Schoolbook"/>
        </w:rPr>
        <w:t xml:space="preserve"> original formulation emphasises acts over practices (i.e., repeated actions or habitus), Jakimów </w:t>
      </w:r>
      <w:r w:rsidRPr="00662E51">
        <w:rPr>
          <w:rFonts w:ascii="Century Schoolbook" w:hAnsi="Century Schoolbook"/>
        </w:rPr>
        <w:fldChar w:fldCharType="begin"/>
      </w:r>
      <w:r w:rsidR="00F15CF8">
        <w:rPr>
          <w:rFonts w:ascii="Century Schoolbook" w:hAnsi="Century Schoolbook"/>
        </w:rPr>
        <w:instrText xml:space="preserve"> ADDIN ZOTERO_ITEM CSL_CITATION {"citationID":"HGPF3YXg","properties":{"formattedCitation":"(2017, 2022)","plainCitation":"(2017, 2022)","noteIndex":0},"citationItems":[{"id":5120,"uris":["http://zotero.org/users/8977980/items/LAMKT3ES"],"itemData":{"id":5120,"type":"article-journal","abstract":"Based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label":"page","suppress-author":true},{"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contexts","volume":"26","author":[{"family":"Jakimów","given":"Małgorzata"}],"issued":{"date-parts":[["2022",7,4]]}},"label":"page","suppress-author":true}],"schema":"https://github.com/citation-style-language/schema/raw/master/csl-citation.json"} </w:instrText>
      </w:r>
      <w:r w:rsidRPr="00662E51">
        <w:rPr>
          <w:rFonts w:ascii="Century Schoolbook" w:hAnsi="Century Schoolbook"/>
        </w:rPr>
        <w:fldChar w:fldCharType="separate"/>
      </w:r>
      <w:r w:rsidR="00F15CF8" w:rsidRPr="00F15CF8">
        <w:rPr>
          <w:rFonts w:ascii="Century Schoolbook" w:hAnsi="Century Schoolbook"/>
        </w:rPr>
        <w:t>(2017, 2022)</w:t>
      </w:r>
      <w:r w:rsidRPr="00662E51">
        <w:rPr>
          <w:rFonts w:ascii="Century Schoolbook" w:hAnsi="Century Schoolbook"/>
        </w:rPr>
        <w:fldChar w:fldCharType="end"/>
      </w:r>
      <w:r w:rsidRPr="00662E51">
        <w:rPr>
          <w:rFonts w:ascii="Century Schoolbook" w:hAnsi="Century Schoolbook"/>
        </w:rPr>
        <w:t xml:space="preserve"> contends that repeated rupturing acts across different times and spaces can snowball into a new set of citizenship expectations. The longevity of the Co-Op echoes those repeated acts that have the potential to transform existing citizenship practices. Lastly, the emphasis on auto-regeneration also lead to the development of an </w:t>
      </w:r>
      <w:r w:rsidR="00EE4117" w:rsidRPr="00662E51">
        <w:rPr>
          <w:rFonts w:ascii="Century Schoolbook" w:hAnsi="Century Schoolbook"/>
        </w:rPr>
        <w:t>“</w:t>
      </w:r>
      <w:r w:rsidRPr="00662E51">
        <w:rPr>
          <w:rFonts w:ascii="Century Schoolbook" w:hAnsi="Century Schoolbook"/>
        </w:rPr>
        <w:t>enterprise culture</w:t>
      </w:r>
      <w:r w:rsidR="00EE4117" w:rsidRPr="00662E51">
        <w:rPr>
          <w:rFonts w:ascii="Century Schoolbook" w:hAnsi="Century Schoolbook"/>
        </w:rPr>
        <w:t>”</w:t>
      </w:r>
      <w:r w:rsidRPr="00662E51">
        <w:rPr>
          <w:rFonts w:ascii="Century Schoolbook" w:hAnsi="Century Schoolbook"/>
        </w:rPr>
        <w:t xml:space="preserve"> at BF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{"citationID":"20NKCJxl","properties":{"formattedCitation":"(Williams 1994, 71)","plainCitation":"(Williams 1994, 71)","noteIndex":0},"citationItems":[{"id":5315,"uris":["http://zotero.org/users/8977980/items/Q3WDKSWW"],"itemData":{"id":5315,"type":"book","abstract":"KEEPER OF THE DREAM: THE STORY OF DOLLY KIFFIN OF BROADWATER FARM. by Williams, Paul. Foreword By Lord Gifford Q.C. - ISBN 10: 0952337207 - ISBN 13: 9780952337201 - ICT - 1994 - Softcover","language":"en_GB","publisher":"International Community Talk Publishing","publisher-place":"London, UK","title":"Keeper of the Dream: The Story of Dolly Kiffin of Broadwater Farm","title-short":"KEEPER OF THE DREAM","author":[{"family":"Williams","given":"Paul"}],"accessed":{"date-parts":[["2023",10,12]]},"issued":{"date-parts":[["1994"]]}},"locator":"71"}],"schema":"https://github.com/citation-style-language/schema/raw/master/csl-citation.json"}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(Williams 1994, 71)</w:t>
      </w:r>
      <w:r w:rsidRPr="00662E51">
        <w:rPr>
          <w:rFonts w:ascii="Century Schoolbook" w:hAnsi="Century Schoolbook"/>
        </w:rPr>
        <w:fldChar w:fldCharType="end"/>
      </w:r>
      <w:r w:rsidRPr="00662E51">
        <w:rPr>
          <w:rFonts w:ascii="Century Schoolbook" w:hAnsi="Century Schoolbook"/>
        </w:rPr>
        <w:t xml:space="preserve">. BFYA was able to support several start-up businesses, which were expected to provide over a hundred new jobs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{"citationID":"8QfZVU8z","properties":{"formattedCitation":"(Young 1992)","plainCitation":"(Young 1992)","noteIndex":0},"citationItems":[{"id":5326,"uris":["http://zotero.org/users/8977980/items/ILJE9RXJ"],"itemData":{"id":5326,"type":"article-newspaper","archive":"The Times Digital Archive","container-title":"The Times","ISSN":"0140-0460","issue":"64377","language":"English","note":"8","page":"8","source":"Gale","title":"Tenants build a better future for Broadwater Farm","author":[{"family":"Young","given":"John"}],"issued":{"date-parts":[["1992",7,6]]}}}],"schema":"https://github.com/citation-style-language/schema/raw/master/csl-citation.json"}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(Young 1992)</w:t>
      </w:r>
      <w:r w:rsidRPr="00662E51">
        <w:rPr>
          <w:rFonts w:ascii="Century Schoolbook" w:hAnsi="Century Schoolbook"/>
        </w:rPr>
        <w:fldChar w:fldCharType="end"/>
      </w:r>
      <w:r w:rsidRPr="00662E51">
        <w:rPr>
          <w:rFonts w:ascii="Century Schoolbook" w:hAnsi="Century Schoolbook"/>
        </w:rPr>
        <w:t xml:space="preserve">. References to the new businesses persist to 1998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{"citationID":"hXpYDrwQ","properties":{"formattedCitation":"(Boumelha 1998)","plainCitation":"(Boumelha 1998)","noteIndex":0},"citationItems":[{"id":5362,"uris":["http://zotero.org/users/8977980/items/2F68N8LS"],"itemData":{"id":5362,"type":"article-magazine","archive":"Haringey Borough Archives","container-title":"Haringey People","language":"English","page":"15-17","title":"From sink to swim","author":[{"family":"Boumelha","given":"Jim"}],"issued":{"date-parts":[["1998",9]]}}}],"schema":"https://github.com/citation-style-language/schema/raw/master/csl-citation.json"}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(Boumelha 1998)</w:t>
      </w:r>
      <w:r w:rsidRPr="00662E51">
        <w:rPr>
          <w:rFonts w:ascii="Century Schoolbook" w:hAnsi="Century Schoolbook"/>
        </w:rPr>
        <w:fldChar w:fldCharType="end"/>
      </w:r>
      <w:r w:rsidRPr="00662E51">
        <w:rPr>
          <w:rFonts w:ascii="Century Schoolbook" w:hAnsi="Century Schoolbook"/>
        </w:rPr>
        <w:t xml:space="preserve"> but unfortunately nothing was found after that year. This, too, went against expectations. Norie is again quoted as saying </w:t>
      </w:r>
      <w:r w:rsidR="00EE4117" w:rsidRPr="00662E51">
        <w:rPr>
          <w:rFonts w:ascii="Century Schoolbook" w:hAnsi="Century Schoolbook"/>
        </w:rPr>
        <w:t>“</w:t>
      </w:r>
      <w:r w:rsidRPr="00662E51">
        <w:rPr>
          <w:rFonts w:ascii="Century Schoolbook" w:hAnsi="Century Schoolbook"/>
        </w:rPr>
        <w:t>Councils cannot get used to people doing anything for themselves,</w:t>
      </w:r>
      <w:r w:rsidR="00EE4117" w:rsidRPr="00662E51">
        <w:rPr>
          <w:rFonts w:ascii="Century Schoolbook" w:hAnsi="Century Schoolbook"/>
        </w:rPr>
        <w:t>”</w:t>
      </w:r>
      <w:r w:rsidRPr="00662E51">
        <w:rPr>
          <w:rFonts w:ascii="Century Schoolbook" w:hAnsi="Century Schoolbook"/>
        </w:rPr>
        <w:t xml:space="preserve"> which indicates BFYA breaking habitus without resorting to confrontational resistance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{"citationID":"URVOCoCz","properties":{"formattedCitation":"(Young 1992)","plainCitation":"(Young 1992)","noteIndex":0},"citationItems":[{"id":5326,"uris":["http://zotero.org/users/8977980/items/ILJE9RXJ"],"itemData":{"id":5326,"type":"article-newspaper","archive":"The Times Digital Archive","container-title":"The Times","ISSN":"0140-0460","issue":"64377","language":"English","note":"8","page":"8","source":"Gale","title":"Tenants build a better future for Broadwater Farm","author":[{"family":"Young","given":"John"}],"issued":{"date-parts":[["1992",7,6]]}}}],"schema":"https://github.com/citation-style-language/schema/raw/master/csl-citation.json"}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(Young 1992)</w:t>
      </w:r>
      <w:r w:rsidRPr="00662E51">
        <w:rPr>
          <w:rFonts w:ascii="Century Schoolbook" w:hAnsi="Century Schoolbook"/>
        </w:rPr>
        <w:fldChar w:fldCharType="end"/>
      </w:r>
      <w:r w:rsidRPr="00662E51">
        <w:rPr>
          <w:rFonts w:ascii="Century Schoolbook" w:hAnsi="Century Schoolbook"/>
        </w:rPr>
        <w:t>.</w:t>
      </w:r>
    </w:p>
    <w:p w14:paraId="47235BD6" w14:textId="77777777" w:rsidR="00DE5968" w:rsidRPr="00662E51" w:rsidRDefault="00DE5968" w:rsidP="00F56305">
      <w:pPr>
        <w:pStyle w:val="Newparagraph"/>
        <w:spacing w:line="360" w:lineRule="auto"/>
        <w:rPr>
          <w:rFonts w:ascii="Century Schoolbook" w:hAnsi="Century Schoolbook"/>
        </w:rPr>
      </w:pPr>
    </w:p>
    <w:p w14:paraId="328708D2" w14:textId="31A667AF" w:rsidR="00DE5968" w:rsidRPr="00662E51" w:rsidRDefault="00DE5968" w:rsidP="00F56305">
      <w:pPr>
        <w:pStyle w:val="Heading2"/>
      </w:pPr>
      <w:bookmarkStart w:id="345" w:name="_Toc216096169"/>
      <w:bookmarkStart w:id="346" w:name="_Toc221184355"/>
      <w:bookmarkStart w:id="347" w:name="_Toc231215273"/>
      <w:r w:rsidRPr="00662E51">
        <w:t>Conclusion</w:t>
      </w:r>
      <w:bookmarkEnd w:id="345"/>
      <w:bookmarkEnd w:id="346"/>
      <w:r w:rsidR="00836748">
        <w:t>:</w:t>
      </w:r>
      <w:bookmarkEnd w:id="347"/>
    </w:p>
    <w:p w14:paraId="016A1F3C" w14:textId="7DC0138A" w:rsidR="00DE5968" w:rsidRPr="00662E51" w:rsidRDefault="00DE5968" w:rsidP="00D1388F">
      <w:pPr>
        <w:pStyle w:val="Paragraph"/>
        <w:spacing w:before="0" w:line="360" w:lineRule="auto"/>
        <w:jc w:val="both"/>
        <w:rPr>
          <w:rFonts w:ascii="Century Schoolbook" w:hAnsi="Century Schoolbook"/>
        </w:rPr>
      </w:pPr>
      <w:r w:rsidRPr="00662E51">
        <w:rPr>
          <w:rFonts w:ascii="Century Schoolbook" w:hAnsi="Century Schoolbook"/>
        </w:rPr>
        <w:t xml:space="preserve">Expanding theorisations of acts to include unprivileged sides of activism is </w:t>
      </w:r>
      <w:r w:rsidRPr="00662E51">
        <w:rPr>
          <w:rFonts w:ascii="Century Schoolbook" w:hAnsi="Century Schoolbook"/>
        </w:rPr>
        <w:lastRenderedPageBreak/>
        <w:t xml:space="preserve">important because acts of citizenships </w:t>
      </w:r>
      <w:r w:rsidR="00D1388F" w:rsidRPr="00662E51">
        <w:rPr>
          <w:rFonts w:ascii="Century Schoolbook" w:hAnsi="Century Schoolbook"/>
        </w:rPr>
        <w:t>“</w:t>
      </w:r>
      <w:r w:rsidRPr="00662E51">
        <w:rPr>
          <w:rFonts w:ascii="Century Schoolbook" w:hAnsi="Century Schoolbook"/>
        </w:rPr>
        <w:t>produce citizens and their others.</w:t>
      </w:r>
      <w:r w:rsidR="00D1388F" w:rsidRPr="00662E51">
        <w:rPr>
          <w:rFonts w:ascii="Century Schoolbook" w:hAnsi="Century Schoolbook"/>
        </w:rPr>
        <w:t>”</w:t>
      </w:r>
      <w:r w:rsidRPr="00662E51">
        <w:rPr>
          <w:rFonts w:ascii="Century Schoolbook" w:hAnsi="Century Schoolbook"/>
        </w:rPr>
        <w:t xml:space="preserve"> Without such expansion, scholars will miss out on the less visible ways individuals become answerable actors </w:t>
      </w:r>
      <w:r w:rsidRPr="00662E51">
        <w:rPr>
          <w:rFonts w:ascii="Century Schoolbook" w:hAnsi="Century Schoolbook"/>
        </w:rPr>
        <w:fldChar w:fldCharType="begin"/>
      </w:r>
      <w:r w:rsidR="008E2F28">
        <w:rPr>
          <w:rFonts w:ascii="Century Schoolbook" w:hAnsi="Century Schoolbook"/>
        </w:rPr>
        <w:instrText xml:space="preserve"> ADDIN ZOTERO_ITEM CSL_CITATION {"citationID":"MLdMq3NJ","properties":{"formattedCitation":"(Isin 2008, 37\\uc0\\u8211{}39)","plainCitation":"(Isin 2008, 37–39)","noteIndex":0},"citationItems":[{"id":256,"uris":["http://zotero.org/users/8977980/items/ZRWP6PIY"],"itemData":{"id":256,"type":"chapter","abstract":"Politics,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Marc"}],"author":[{"family":"Isin","given":"Engin"}],"accessed":{"date-parts":[["2022",2,3]]},"issued":{"date-parts":[["2008"]]}},"locator":"37-9"}],"schema":"https://github.com/citation-style-language/schema/raw/master/csl-citation.json"} </w:instrText>
      </w:r>
      <w:r w:rsidRPr="00662E51">
        <w:rPr>
          <w:rFonts w:ascii="Century Schoolbook" w:hAnsi="Century Schoolbook"/>
        </w:rPr>
        <w:fldChar w:fldCharType="separate"/>
      </w:r>
      <w:r w:rsidR="008E2F28" w:rsidRPr="008E2F28">
        <w:rPr>
          <w:rFonts w:ascii="Century Schoolbook" w:hAnsi="Century Schoolbook"/>
        </w:rPr>
        <w:t>(Isin 2008, 37–39)</w:t>
      </w:r>
      <w:r w:rsidRPr="00662E51">
        <w:rPr>
          <w:rFonts w:ascii="Century Schoolbook" w:hAnsi="Century Schoolbook"/>
        </w:rPr>
        <w:fldChar w:fldCharType="end"/>
      </w:r>
      <w:r w:rsidRPr="00662E51">
        <w:rPr>
          <w:rFonts w:ascii="Century Schoolbook" w:hAnsi="Century Schoolbook"/>
        </w:rPr>
        <w:t xml:space="preserve">. While the Broadwater Farm Youth Association did not always use traditional forms of politicisation, their activities show that this did not stifle their ability to become citizens. Instead, BFYA’s advocacy was effective precisely because they accommodated, cooperated with, and often replaced the local state rather than confronted it. </w:t>
      </w:r>
      <w:r w:rsidRPr="00662E51" w:rsidDel="00A85525">
        <w:rPr>
          <w:rFonts w:ascii="Century Schoolbook" w:hAnsi="Century Schoolbook"/>
        </w:rPr>
        <w:t xml:space="preserve"> </w:t>
      </w:r>
      <w:r w:rsidRPr="00662E51">
        <w:rPr>
          <w:rFonts w:ascii="Century Schoolbook" w:hAnsi="Century Schoolbook"/>
        </w:rPr>
        <w:t xml:space="preserve">This was not co-option; rather, BFYA extracted change by persistently using the avenues open to it, while also paving new ones. Unlike most accounts of activism that hinge on breaking the law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{"citationID":"ZI7Zgf43","properties":{"formattedCitation":"(e.g., Barbero 2012; Jacobson 2022)","plainCitation":"(e.g., Barbero 2012; Jacobson 2022)","noteIndex":0},"citationItems":[{"id":3274,"uris":["http://zotero.org/users/8977980/items/U7NNX2E6"],"itemData":{"id":3274,"type":"article-journal","abstract":"This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Citizenship","volume":"21","author":[{"family":"Barbero","given":"Iker"}],"issued":{"date-parts":[["2012",12,1]]}},"label":"page","prefix":"e.g., "},{"id":2614,"uris":["http://zotero.org/users/8977980/items/4SUAA6HS"],"itemData":{"id":2614,"type":"article-journal","abstract":"This article examines an overlooked group of participants within 1970s housing occupation movements in Western Europe – migrants. More specifically, I analyse Italian migrants’ participation in housing occupations in the city of Frankfurt am Main, West Germany, from 1970–3. By engaging in visible protest, Italian migrant occupiers performed ‘acts of urban citizenship’ that ruptured understandings of localised citizenship and belonging. This case study thus illuminates two interrelated historic phenomena: (1) how social rights became de-territorialised and attached to the individual rather than the nation-state; and (2) how the city became a crucial site of citizenship formation, even across national borders.","container-title":"Contemporary European History","DOI":"10.1017/S0960777322000662","ISSN":"0960-7773, 1469-2171","journalAbbreviation":"Contemporary European History","language":"en","page":"1-17","source":"DOI.org (Crossref)","title":"Redefining Urban Citizenship: Italian Migrants and Housing Occupations in 1970s Frankfurt am Main","title-short":"Redefining Urban Citizenship","author":[{"family":"Jacobson","given":"Sarah"}],"issued":{"date-parts":[["2022",10,20]]}}}],"schema":"https://github.com/citation-style-language/schema/raw/master/csl-citation.json"}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(e.g., Barbero 2012; Jacobson 2022)</w:t>
      </w:r>
      <w:r w:rsidRPr="00662E51">
        <w:rPr>
          <w:rFonts w:ascii="Century Schoolbook" w:hAnsi="Century Schoolbook"/>
        </w:rPr>
        <w:fldChar w:fldCharType="end"/>
      </w:r>
      <w:r w:rsidRPr="00662E51">
        <w:rPr>
          <w:rFonts w:ascii="Century Schoolbook" w:hAnsi="Century Schoolbook"/>
        </w:rPr>
        <w:t xml:space="preserve">, the BFYA consistently exploited existing law in creative ways. All the Association’s acts reshaped the state-resident relation so that BF residents could obtain full citizenship despite the state’s attempts to marginalise them. During the BFYA’s time, that relation was defined by an authoritarian neoliberalism that stemmed from racist policing supported by national policies and insulation brought on by the local state’s lack of interest in its Black residents. AN meant that such nontraditional advocacy was necessary, and yet still successful. Thus, BFYA’s work demands theorists to seriously reconsider political advocacy in our era of intensified and everyday authoritarian neoliberalism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{"citationID":"CICN46vH","properties":{"formattedCitation":"(Davey and Koch 2021)","plainCitation":"(Davey and Koch 2021)","noteIndex":0},"citationItems":[{"id":5121,"uris":["http://zotero.org/users/8977980/items/RGMNPPDQ"],"itemData":{"id":5121,"type":"article-journal","abstract":"In Britain, especially in the 2010s, neoliberal reform involved an extension of legal coercion into the domestic and community lives of marginalized citizens. On two postindustrial housing estates in Britain, working-class residents experience this “everyday authoritarianism” in areas that the liberal state typically constructs as private and purports to leave alone: the home and the intimate relations that frame it. Residents engage this legal coercion by adopting responses that range from defensive avoidance to co-opting officials to acts of vigilantism. By doing so, they negotiate the presence of an authority that is often out of sync with their own expectations for protection, and in some cases actively undermines their efforts to remain safe. Their pluralism can be framed neither in terms of an acceptance of state authority nor as a straightforward refusal to be governed. Rather, it reveals the contradictory ways in which marginalized citizens define their relationship to the state under contemporary conditions of class fragmentation. By adding detail on everyday life to meta-narratives of an authoritarian turn, this article theorizes the political potential and limits of people's daily engagements with the state for contesting the latter's authority. [class, coercion, liberal governance]","container-title":"PoLAR: Political and Legal Anthropology Review","DOI":"10.1111/plar.12422","ISSN":"1555-2934","issue":"1","language":"en","note":"_eprint: https://onlinelibrary.wiley.com/doi/pdf/10.1111/plar.12422","page":"43-59","source":"Wiley Online Library","title":"Everyday Authoritarianism: Class and Coercion on Housing Estates in Neoliberal Britain","title-short":"Everyday Authoritarianism","volume":"44","author":[{"family":"Davey","given":"Ryan"},{"family":"Koch","given":"Insa Lee"}],"issued":{"date-parts":[["2021"]]}}}],"schema":"https://github.com/citation-style-language/schema/raw/master/csl-citation.json"}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(Davey and Koch 2021)</w:t>
      </w:r>
      <w:r w:rsidRPr="00662E51">
        <w:rPr>
          <w:rFonts w:ascii="Century Schoolbook" w:hAnsi="Century Schoolbook"/>
        </w:rPr>
        <w:fldChar w:fldCharType="end"/>
      </w:r>
      <w:r w:rsidRPr="00662E51">
        <w:rPr>
          <w:rFonts w:ascii="Century Schoolbook" w:hAnsi="Century Schoolbook"/>
        </w:rPr>
        <w:t xml:space="preserve">. This </w:t>
      </w:r>
      <w:r w:rsidR="00855B9A" w:rsidRPr="00662E51">
        <w:rPr>
          <w:rFonts w:ascii="Century Schoolbook" w:hAnsi="Century Schoolbook"/>
        </w:rPr>
        <w:t>chapter</w:t>
      </w:r>
      <w:r w:rsidRPr="00662E51">
        <w:rPr>
          <w:rFonts w:ascii="Century Schoolbook" w:hAnsi="Century Schoolbook"/>
        </w:rPr>
        <w:t xml:space="preserve"> has thus not only argued for expanding the frame of accommodative acts of citizenship to consider those that occur under neoliberal authoritarian regimes, but also has further developed how housing and place-based activism fits within acts of citizenship.</w:t>
      </w:r>
    </w:p>
    <w:p w14:paraId="5F3CE416" w14:textId="763D7CB8" w:rsidR="001D62D6" w:rsidRDefault="00DE5968" w:rsidP="00D1388F">
      <w:pPr>
        <w:pStyle w:val="Newparagraph"/>
        <w:spacing w:line="360" w:lineRule="auto"/>
        <w:jc w:val="both"/>
        <w:rPr>
          <w:rFonts w:ascii="Century Schoolbook" w:hAnsi="Century Schoolbook"/>
        </w:rPr>
      </w:pPr>
      <w:r w:rsidRPr="00662E51">
        <w:rPr>
          <w:rFonts w:ascii="Century Schoolbook" w:hAnsi="Century Schoolbook"/>
        </w:rPr>
        <w:t xml:space="preserve">I conclude by analysing how accommodation fits with other underappreciated activist forms that still generate answerable subjects despite their perceived lack of radicality. Such forms include </w:t>
      </w:r>
      <w:r w:rsidR="00D1388F" w:rsidRPr="00662E51">
        <w:rPr>
          <w:rFonts w:ascii="Century Schoolbook" w:hAnsi="Century Schoolbook"/>
        </w:rPr>
        <w:t>“</w:t>
      </w:r>
      <w:r w:rsidRPr="00662E51">
        <w:rPr>
          <w:rFonts w:ascii="Century Schoolbook" w:hAnsi="Century Schoolbook"/>
        </w:rPr>
        <w:t>passive dissent</w:t>
      </w:r>
      <w:r w:rsidR="00D1388F" w:rsidRPr="00662E51">
        <w:rPr>
          <w:rFonts w:ascii="Century Schoolbook" w:hAnsi="Century Schoolbook"/>
        </w:rPr>
        <w:t>”</w:t>
      </w:r>
      <w:r w:rsidRPr="00662E51">
        <w:rPr>
          <w:rFonts w:ascii="Century Schoolbook" w:hAnsi="Century Schoolbook"/>
        </w:rPr>
        <w:t xml:space="preserve">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{"citationID":"rq4IU4nu","properties":{"formattedCitation":"(Wilkinson and Ortega-Alc\\uc0\\u225{}zar 2019)","plainCitation":"(Wilkinson and Ortega-Alcázar 2019)","noteIndex":0},"citationItems":[{"id":5078,"uris":["http://zotero.org/users/8977980/items/EV5QXRJZ"],"itemData":{"id":5078,"type":"article-journal","abstract":"This paper seeks to advance understandings of austerity's everyday affects by examining how neoliberal welfare retrenchment is lived, experienced and resisted. Drawing on interviews with young people in housing need, we demonstrate the ways in which day-to-day coping with welfare reform can lead to a state of fatigue, a gradual slow wearing-out that comes with having to endure everyday hardship. Such weariness, we argue, is an integral part of understanding the everyday impacts of austerity. Yet despite the apparent centrality of weariness to issues such as precarity and poverty, there has not yet been sustained discussion into the idea of weariness itself. A common conceptualisation positions weariness as the antithesis of political action, where individuals are slowly worn down until they no longer have the strength or capacity to resist. However, this paper offers a more reparative reading of weariness, one which does not narrowly conceptualise weariness as simply a closing down. Instead we question whether weariness should necessarily always be equated with inaction. The paper focuses on forms of suffering and violence that are felt as a kind of steady on-going form of endurance, rather than as a sudden eruption. We foreground affective moments that are neither passionate nor intense, but instead listless and still, generating feelings of inertia, flatness, impasse. The paper concludes with some reflections on what we term “the right to be weary,” examining how weariness could be understood as a potential retreat from the relentless drive to move forwards, a form of passive dissent.","container-title":"Transactions of the Institute of British Geographers","DOI":"10.1111/tran.12266","ISSN":"1475-5661","issue":"1","language":"en","license":"The information, practices and views in this article are those of the author(s) and do not necessarily reflect the opinion of the Royal Geographical Society (with IBG). © 2018 The Authors. Transactions of the Institute of British Geographers published by John Wiley &amp; Sons Ltd on behalf of Royal Geographical Society (with the Institute of British Geographers).","note":"_eprint: https://onlinelibrary.wiley.com/doi/pdf/10.1111/tran.12266","page":"155-167","source":"Wiley Online Library","title":"The right to be weary? Endurance and exhaustion in austere times","title-short":"The right to be weary?","volume":"44","author":[{"family":"Wilkinson","given":"Eleanor"},{"family":"Ortega-Alcázar","given":"Iliana"}],"issued":{"date-parts":[["2019"]]}}}],"schema":"https://github.com/citation-style-language/schema/raw/master/csl-citation.json"}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(Wilkinson and Ortega-Alcázar 2019)</w:t>
      </w:r>
      <w:r w:rsidRPr="00662E51">
        <w:rPr>
          <w:rFonts w:ascii="Century Schoolbook" w:hAnsi="Century Schoolbook"/>
        </w:rPr>
        <w:fldChar w:fldCharType="end"/>
      </w:r>
      <w:r w:rsidRPr="00662E51">
        <w:rPr>
          <w:rFonts w:ascii="Century Schoolbook" w:hAnsi="Century Schoolbook"/>
        </w:rPr>
        <w:t xml:space="preserve"> and </w:t>
      </w:r>
      <w:r w:rsidR="00D1388F" w:rsidRPr="00662E51">
        <w:rPr>
          <w:rFonts w:ascii="Century Schoolbook" w:hAnsi="Century Schoolbook"/>
        </w:rPr>
        <w:t>“</w:t>
      </w:r>
      <w:r w:rsidRPr="00662E51">
        <w:rPr>
          <w:rFonts w:ascii="Century Schoolbook" w:hAnsi="Century Schoolbook"/>
        </w:rPr>
        <w:t>quiet activism</w:t>
      </w:r>
      <w:r w:rsidR="00D1388F" w:rsidRPr="00662E51">
        <w:rPr>
          <w:rFonts w:ascii="Century Schoolbook" w:hAnsi="Century Schoolbook"/>
        </w:rPr>
        <w:t>”</w:t>
      </w:r>
      <w:r w:rsidRPr="00662E51">
        <w:rPr>
          <w:rFonts w:ascii="Century Schoolbook" w:hAnsi="Century Schoolbook"/>
        </w:rPr>
        <w:t xml:space="preserve">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{"citationID":"zBcwICxF","properties":{"formattedCitation":"(Pottinger 2017)","plainCitation":"(Pottinger 2017)","noteIndex":0},"citationItems":[{"id":7051,"uris":["http://zotero.org/users/8977980/items/GZZVXTGN"],"itemData":{"id":7051,"type":"article-journal","abstract":"While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(Pottinger 2017)</w:t>
      </w:r>
      <w:r w:rsidRPr="00662E51">
        <w:rPr>
          <w:rFonts w:ascii="Century Schoolbook" w:hAnsi="Century Schoolbook"/>
        </w:rPr>
        <w:fldChar w:fldCharType="end"/>
      </w:r>
      <w:r w:rsidR="007B7057">
        <w:rPr>
          <w:rFonts w:ascii="Century Schoolbook" w:hAnsi="Century Schoolbook"/>
        </w:rPr>
        <w:t xml:space="preserve"> or “quiet politics” </w:t>
      </w:r>
      <w:r w:rsidR="007B7057">
        <w:rPr>
          <w:rFonts w:ascii="Century Schoolbook" w:hAnsi="Century Schoolbook"/>
        </w:rPr>
        <w:fldChar w:fldCharType="begin"/>
      </w:r>
      <w:r w:rsidR="007B7057">
        <w:rPr>
          <w:rFonts w:ascii="Century Schoolbook" w:hAnsi="Century Schoolbook"/>
        </w:rPr>
        <w:instrText xml:space="preserve"> ADDIN ZOTERO_ITEM CSL_CITATION {"citationID":"SjLsz108","properties":{"formattedCitation":"(Askins 2014)","plainCitation":"(Askins 2014)","noteIndex":0},"citationItems":[{"id":7180,"uris":["http://zotero.org/users/8977980/items/6VHU98IS"],"itemData":{"id":7180,"type":"article-journal","abstract":"This paper draws on fieldwork with a befriending scheme that pairs refugees, asylum seekers and local residents in the north east of England. It explores the ways in which a ?quiet politics? of encounter, embedded in intimate relationships, is caught up in and productive of complex inter-scale geographies, highlighting the ebbs and flows across security and insecurity. Critically, it foregrounds the relationality of emotions in enabling and maintaining intimate-geopolitics.","container-title":"Area","DOI":"10.1111/area.12138_5","ISSN":"0004-0894","issue":"4","page":"353-354","publisher":"John Wiley &amp; Sons, Ltd","source":"rgs-ibg.onlinelibrary.wiley.com (Atypon)","title":"A quiet politics of being together: Miriam and Rose","title-short":"A quiet politics of being together","volume":"46","author":[{"family":"Askins","given":"Kye"}],"issued":{"date-parts":[["2014",12]]}}}],"schema":"https://github.com/citation-style-language/schema/raw/master/csl-citation.json"} </w:instrText>
      </w:r>
      <w:r w:rsidR="007B7057">
        <w:rPr>
          <w:rFonts w:ascii="Century Schoolbook" w:hAnsi="Century Schoolbook"/>
        </w:rPr>
        <w:fldChar w:fldCharType="separate"/>
      </w:r>
      <w:r w:rsidR="007B7057" w:rsidRPr="007B7057">
        <w:rPr>
          <w:rFonts w:ascii="Century Schoolbook" w:hAnsi="Century Schoolbook"/>
        </w:rPr>
        <w:t>(Askins 2014)</w:t>
      </w:r>
      <w:r w:rsidR="007B7057">
        <w:rPr>
          <w:rFonts w:ascii="Century Schoolbook" w:hAnsi="Century Schoolbook"/>
        </w:rPr>
        <w:fldChar w:fldCharType="end"/>
      </w:r>
      <w:r w:rsidRPr="00662E51">
        <w:rPr>
          <w:rFonts w:ascii="Century Schoolbook" w:hAnsi="Century Schoolbook"/>
        </w:rPr>
        <w:t xml:space="preserve">. In an age of relentless neoliberalism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{"citationID":"smcNKb8o","properties":{"formattedCitation":"(Bayliss et al. 2024)","plainCitation":"(Bayliss et al. 2024)","noteIndex":0},"citationItems":[{"id":6278,"uris":["http://zotero.org/users/8977980/items/9UE2KFBV"],"itemData":{"id":6278,"type":"article-journal","abstract":"Recent declarations of the end of neoliberalism in the United Kingdom, especially since the Covid-19 pandemic, are underpinned by diffuse and unstructured understandings of the neoliberal state. We argue that state intervention is both necessary and unavoidable under neoliberalism. This article shows that the ‘market-based’ reforms and the ‘rollback of the state’ that overtly characterise neoliberalism are heavily reliant upon public policy and entail an ongoing role for state intervention both over time and across economic sectors. Using sectoral case studies of housing and water from within the United Kingdom, we demonstrate, through a tight analytical framing of both financialisation and commodification, the variegated though crucial role of the neoliberal state in restructuring provision to facilitate financialised accumulation and their transformations in response to the contradictions, dysfunctions and limitations of neoliberalised social reproduction.","container-title":"European Journal of Social Theory","DOI":"10.1177/13684310241241800","ISSN":"1368-4310","issue":"4","language":"en","page":"540-560","publisher":"SAGE Publications Ltd","source":"SAGE Journals","title":"Reports of my death are greatly exaggerated: The persistence of neoliberalism in Britain","title-short":"Reports of my death are greatly exaggerated","volume":"27","author":[{"family":"Bayliss","given":"Kate"},{"family":"Fine","given":"Ben"},{"family":"Robertson","given":"Mary"},{"family":"Saad-Filho","given":"Alfredo"}],"issued":{"date-parts":[["2024",11,1]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(Bayliss et al. 2024)</w:t>
      </w:r>
      <w:r w:rsidRPr="00662E51">
        <w:rPr>
          <w:rFonts w:ascii="Century Schoolbook" w:hAnsi="Century Schoolbook"/>
        </w:rPr>
        <w:fldChar w:fldCharType="end"/>
      </w:r>
      <w:r w:rsidRPr="00662E51">
        <w:rPr>
          <w:rFonts w:ascii="Century Schoolbook" w:hAnsi="Century Schoolbook"/>
        </w:rPr>
        <w:t>, activists must contend with physical and mental exhaustion</w:t>
      </w:r>
      <w:r w:rsidR="0074264B">
        <w:rPr>
          <w:rFonts w:ascii="Century Schoolbook" w:hAnsi="Century Schoolbook"/>
        </w:rPr>
        <w:t xml:space="preserve"> </w:t>
      </w:r>
      <w:r w:rsidR="0074264B">
        <w:fldChar w:fldCharType="begin"/>
      </w:r>
      <w:r w:rsidR="0074264B">
        <w:instrText xml:space="preserve"> ADDIN ZOTERO_ITEM CSL_CITATION {"citationID":"IaowxTIa","properties":{"formattedCitation":"(Emejulu and Bassel 2020)","plainCitation":"(Emejulu and Bassel 2020)","noteIndex":0},"citationItems":[{"id":5125,"uris":["http://zotero.org/users/8977980/items/XLEQE7EK"],"itemData":{"id":5125,"type":"article-journal","abstract":"Drawing on our comparative research project conducted in six European cities, this article proposes a tentative politics of exhaustion as a way to understand the promise and perils of women of colour activists’ solidarity work. Through an examination of how women of colour activists strategise, organise and mobilise, we demonstrate the political and psychological impact of exhaustion. To declare exhaustion, we argue, is to hail the equally exhausted to build solidarity. Understanding the politics of exhaustion can help shed light on the creative practices of women of colour activists in European cities today, as well as highlight the structural processes that demand activists’ exhaustion.","container-title":"City","DOI":"10.1080/13604813.2020.1739439","ISSN":"1360-4813","issue":"1-2","note":"_eprint: https://doi.org/10.1080/13604813.2020.1739439","page":"400-406","publisher":"Routledge","source":"Taylor and Francis+NEJM","title":"The politics of exhaustion","volume":"24","author":[{"family":"Emejulu","given":"Akwugo"},{"family":"Bassel","given":"Leah"}],"issued":{"date-parts":[["2020",3,3]]}}}],"schema":"https://github.com/citation-style-language/schema/raw/master/csl-citation.json"} </w:instrText>
      </w:r>
      <w:r w:rsidR="0074264B">
        <w:fldChar w:fldCharType="separate"/>
      </w:r>
      <w:r w:rsidR="0074264B" w:rsidRPr="00E24F3A">
        <w:rPr>
          <w:rFonts w:ascii="Century Schoolbook" w:hAnsi="Century Schoolbook"/>
        </w:rPr>
        <w:t>(Emejulu and Bassel 2020)</w:t>
      </w:r>
      <w:r w:rsidR="0074264B">
        <w:fldChar w:fldCharType="end"/>
      </w:r>
      <w:r w:rsidR="0074264B" w:rsidRPr="00362DA5">
        <w:t>.</w:t>
      </w:r>
      <w:r w:rsidRPr="00662E51">
        <w:rPr>
          <w:rFonts w:ascii="Century Schoolbook" w:hAnsi="Century Schoolbook"/>
        </w:rPr>
        <w:t xml:space="preserve"> As exhaustion can be a type of domination, scholars must think expansively about what counts as advocacy. Wilkinson and Ortega-Alcázar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{"citationID":"HZmF7NfO","properties":{"formattedCitation":"(2019, 164)","plainCitation":"(2019, 164)","noteIndex":0},"citationItems":[{"id":5078,"uris":["http://zotero.org/users/8977980/items/EV5QXRJZ"],"itemData":{"id":5078,"type":"article-journal","abstract":"This paper seeks to advance understandings of austerity's everyday affects by examining how neoliberal welfare retrenchment is lived, experienced and resisted. Drawing on interviews with young people in housing need, we demonstrate the ways in which day-to-day coping with welfare reform can lead to a state of fatigue, a gradual slow wearing-out that comes with having to endure everyday hardship. Such weariness, we argue, is an integral part of understanding the everyday impacts of austerity. Yet despite the apparent centrality of weariness to issues such as precarity and poverty, there has not yet been sustained discussion into the idea of weariness itself. A common conceptualisation positions weariness as the antithesis of political action, where individuals are slowly worn down until they no longer have the strength or capacity to resist. However, this paper offers a more reparative reading of weariness, one which does not narrowly conceptualise weariness as simply a closing down. Instead we question whether weariness should necessarily always be equated with inaction. The paper focuses on forms of suffering and violence that are felt as a kind of steady on-going form of endurance, rather than as a sudden eruption. We foreground affective moments that are neither passionate nor intense, but instead listless and still, generating feelings of inertia, flatness, impasse. The paper concludes with some reflections on what we term “the right to be weary,” examining how weariness could be understood as a potential retreat from the relentless drive to move forwards, a form of passive dissent.","container-title":"Transactions of the Institute of British Geographers","DOI":"10.1111/tran.12266","ISSN":"1475-5661","issue":"1","language":"en","license":"The information, practices and views in this article are those of the author(s) and do not necessarily reflect the opinion of the Royal Geographical Society (with IBG). © 2018 The Authors. Transactions of the Institute of British Geographers published by John Wiley &amp; Sons Ltd on behalf of Royal Geographical Society (with the Institute of British Geographers).","note":"_eprint: https://onlinelibrary.wiley.com/doi/pdf/10.1111/tran.12266","page":"155-167","source":"Wiley Online Library","title":"The right to be weary? Endurance and exhaustion in austere times","title-short":"The right to be weary?","volume":"44","author":[{"family":"Wilkinson","given":"Eleanor"},{"family":"Ortega-Alcázar","given":"Iliana"}],"issued":{"date-parts":[["2019"]]}},"locator":"164","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(2019, 164)</w:t>
      </w:r>
      <w:r w:rsidRPr="00662E51">
        <w:rPr>
          <w:rFonts w:ascii="Century Schoolbook" w:hAnsi="Century Schoolbook"/>
        </w:rPr>
        <w:fldChar w:fldCharType="end"/>
      </w:r>
      <w:r w:rsidRPr="00662E51">
        <w:rPr>
          <w:rFonts w:ascii="Century Schoolbook" w:hAnsi="Century Schoolbook"/>
        </w:rPr>
        <w:t xml:space="preserve"> for instance argue that </w:t>
      </w:r>
      <w:r w:rsidR="00D1388F" w:rsidRPr="00662E51">
        <w:rPr>
          <w:rFonts w:ascii="Century Schoolbook" w:hAnsi="Century Schoolbook"/>
        </w:rPr>
        <w:t>“</w:t>
      </w:r>
      <w:r w:rsidRPr="00662E51">
        <w:rPr>
          <w:rFonts w:ascii="Century Schoolbook" w:hAnsi="Century Schoolbook"/>
        </w:rPr>
        <w:t>flourishing may only be achieved through withdrawal</w:t>
      </w:r>
      <w:r w:rsidR="00D1388F" w:rsidRPr="00662E51">
        <w:rPr>
          <w:rFonts w:ascii="Century Schoolbook" w:hAnsi="Century Schoolbook"/>
        </w:rPr>
        <w:t xml:space="preserve">” </w:t>
      </w:r>
      <w:r w:rsidRPr="00662E51">
        <w:rPr>
          <w:rFonts w:ascii="Century Schoolbook" w:hAnsi="Century Schoolbook"/>
        </w:rPr>
        <w:t xml:space="preserve">stemming from </w:t>
      </w:r>
      <w:r w:rsidRPr="00662E51">
        <w:rPr>
          <w:rFonts w:ascii="Century Schoolbook" w:hAnsi="Century Schoolbook"/>
        </w:rPr>
        <w:lastRenderedPageBreak/>
        <w:t xml:space="preserve">exhaustion. Thus, withdrawal can become </w:t>
      </w:r>
      <w:r w:rsidR="00D1388F" w:rsidRPr="00662E51">
        <w:rPr>
          <w:rFonts w:ascii="Century Schoolbook" w:hAnsi="Century Schoolbook"/>
        </w:rPr>
        <w:t>“</w:t>
      </w:r>
      <w:r w:rsidRPr="00662E51">
        <w:rPr>
          <w:rFonts w:ascii="Century Schoolbook" w:hAnsi="Century Schoolbook"/>
        </w:rPr>
        <w:t>a form of passive dissent</w:t>
      </w:r>
      <w:r w:rsidR="00D1388F" w:rsidRPr="00662E51">
        <w:rPr>
          <w:rFonts w:ascii="Century Schoolbook" w:hAnsi="Century Schoolbook"/>
        </w:rPr>
        <w:t>”</w:t>
      </w:r>
      <w:r w:rsidRPr="00662E51">
        <w:rPr>
          <w:rFonts w:ascii="Century Schoolbook" w:hAnsi="Century Schoolbook"/>
        </w:rPr>
        <w:t xml:space="preserve"> that is as much as a </w:t>
      </w:r>
      <w:r w:rsidR="00D1388F" w:rsidRPr="00662E51">
        <w:rPr>
          <w:rFonts w:ascii="Century Schoolbook" w:hAnsi="Century Schoolbook"/>
        </w:rPr>
        <w:t>“</w:t>
      </w:r>
      <w:r w:rsidRPr="00662E51">
        <w:rPr>
          <w:rFonts w:ascii="Century Schoolbook" w:hAnsi="Century Schoolbook"/>
        </w:rPr>
        <w:t>site of possibility</w:t>
      </w:r>
      <w:r w:rsidR="00D1388F" w:rsidRPr="00662E51">
        <w:rPr>
          <w:rFonts w:ascii="Century Schoolbook" w:hAnsi="Century Schoolbook"/>
        </w:rPr>
        <w:t>”</w:t>
      </w:r>
      <w:r w:rsidRPr="00662E51">
        <w:rPr>
          <w:rFonts w:ascii="Century Schoolbook" w:hAnsi="Century Schoolbook"/>
        </w:rPr>
        <w:t xml:space="preserve"> as is confrontational political advocacy. Merging passive dissent with, say, quiet quitting allows scholars rethink the phenomenon not as diffuse dissatisfaction with labouring life—but rather as a deliberate attempt to forge a new relationship with work. In the same way, resistance by accommodation can help us reclaim the radicality of </w:t>
      </w:r>
      <w:r w:rsidR="00D1388F" w:rsidRPr="00662E51">
        <w:rPr>
          <w:rFonts w:ascii="Century Schoolbook" w:hAnsi="Century Schoolbook"/>
        </w:rPr>
        <w:t>“</w:t>
      </w:r>
      <w:r w:rsidRPr="00662E51">
        <w:rPr>
          <w:rFonts w:ascii="Century Schoolbook" w:hAnsi="Century Schoolbook"/>
        </w:rPr>
        <w:t>everyday activism</w:t>
      </w:r>
      <w:r w:rsidR="00D1388F" w:rsidRPr="00662E51">
        <w:rPr>
          <w:rFonts w:ascii="Century Schoolbook" w:hAnsi="Century Schoolbook"/>
        </w:rPr>
        <w:t xml:space="preserve">” </w:t>
      </w:r>
      <w:r w:rsidRPr="00662E51">
        <w:rPr>
          <w:rFonts w:ascii="Century Schoolbook" w:hAnsi="Century Schoolbook"/>
        </w:rPr>
        <w:t xml:space="preserve">first introduced by feminist scholars, understood as </w:t>
      </w:r>
      <w:r w:rsidR="00D1388F" w:rsidRPr="00662E51">
        <w:rPr>
          <w:rFonts w:ascii="Century Schoolbook" w:hAnsi="Century Schoolbook"/>
        </w:rPr>
        <w:t>“</w:t>
      </w:r>
      <w:r w:rsidRPr="00662E51">
        <w:rPr>
          <w:rFonts w:ascii="Century Schoolbook" w:hAnsi="Century Schoolbook"/>
        </w:rPr>
        <w:t>everyday actions by individuals that foster new social networks or power dynamics</w:t>
      </w:r>
      <w:r w:rsidR="00D1388F" w:rsidRPr="00662E51">
        <w:rPr>
          <w:rFonts w:ascii="Century Schoolbook" w:hAnsi="Century Schoolbook"/>
        </w:rPr>
        <w:t>”</w:t>
      </w:r>
      <w:r w:rsidRPr="00662E51">
        <w:rPr>
          <w:rFonts w:ascii="Century Schoolbook" w:hAnsi="Century Schoolbook"/>
        </w:rPr>
        <w:t xml:space="preserve"> to better conceptualise how </w:t>
      </w:r>
      <w:r w:rsidR="00D1388F" w:rsidRPr="00662E51">
        <w:rPr>
          <w:rFonts w:ascii="Century Schoolbook" w:hAnsi="Century Schoolbook"/>
        </w:rPr>
        <w:t>“</w:t>
      </w:r>
      <w:r w:rsidRPr="00662E51">
        <w:rPr>
          <w:rFonts w:ascii="Century Schoolbook" w:hAnsi="Century Schoolbook"/>
        </w:rPr>
        <w:t xml:space="preserve">small acts transform social relations in ways that have the potential to foster social change’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{"citationID":"No1zSOzl","properties":{"formattedCitation":"(D. G. Martin et al. 2007, 79)","plainCitation":"(D. G. Martin et al. 2007, 79)","noteIndex":0},"citationItems":[{"id":5833,"uris":["http://zotero.org/users/8977980/items/72L3TA9R"],"itemData":{"id":5833,"type":"article-journal","container-title":"Women's Studies Quarterly","ISSN":"0732-1562","issue":"3/4","page":"78-94","publisher":"The Feminist Press at the City University of New York","source":"JSTOR","title":"What Counts as Activism?: The Role of Individuals in Creating Change","title-short":"What Counts as Activism?","volume":"35","author":[{"family":"Martin","given":"Deborah G."},{"family":"Hanson","given":"Susan"},{"family":"Fontaine","given":"Danielle"}],"issued":{"date-parts":[["2007"]]}},"locator":"79"}],"schema":"https://github.com/citation-style-language/schema/raw/master/csl-citation.json"}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(D. G. Martin et al. 2007, 79)</w:t>
      </w:r>
      <w:r w:rsidRPr="00662E51">
        <w:rPr>
          <w:rFonts w:ascii="Century Schoolbook" w:hAnsi="Century Schoolbook"/>
        </w:rPr>
        <w:fldChar w:fldCharType="end"/>
      </w:r>
      <w:r w:rsidRPr="00662E51">
        <w:rPr>
          <w:rFonts w:ascii="Century Schoolbook" w:hAnsi="Century Schoolbook"/>
        </w:rPr>
        <w:t xml:space="preserve">. Linking everyday activism(s) back to citizenships acts opens up new questions for analysing quieter advocacy </w:t>
      </w:r>
      <w:r w:rsidRPr="00662E51">
        <w:rPr>
          <w:rFonts w:ascii="Century Schoolbook" w:hAnsi="Century Schoolbook"/>
        </w:rPr>
        <w:fldChar w:fldCharType="begin"/>
      </w:r>
      <w:r w:rsidR="00F129DB">
        <w:rPr>
          <w:rFonts w:ascii="Century Schoolbook" w:hAnsi="Century Schoolbook"/>
        </w:rPr>
        <w:instrText xml:space="preserve"> ADDIN ZOTERO_ITEM CSL_CITATION {"citationID":"hLZgVsDF","properties":{"formattedCitation":"(Askins 2014; Pottinger 2017)","plainCitation":"(Askins 2014; Pottinger 2017)","noteIndex":0},"citationItems":[{"id":7180,"uris":["http://zotero.org/users/8977980/items/6VHU98IS"],"itemData":{"id":7180,"type":"article-journal","abstract":"This paper draws on fieldwork with a befriending scheme that pairs refugees, asylum seekers and local residents in the north east of England. It explores the ways in which a ?quiet politics? of encounter, embedded in intimate relationships, is caught up in and productive of complex inter-scale geographies, highlighting the ebbs and flows across security and insecurity. Critically, it foregrounds the relationality of emotions in enabling and maintaining intimate-geopolitics.","container-title":"Area","DOI":"10.1111/area.12138_5","ISSN":"0004-0894","issue":"4","page":"353-354","publisher":"John Wiley &amp; Sons, Ltd","source":"rgs-ibg.onlinelibrary.wiley.com (Atypon)","title":"A quiet politics of being together: Miriam and Rose","title-short":"A quiet politics of being together","volume":"46","author":[{"family":"Askins","given":"Kye"}],"issued":{"date-parts":[["2014",12]]}}},{"id":7051,"uris":["http://zotero.org/users/8977980/items/GZZVXTGN"],"itemData":{"id":7051,"type":"article-journal","abstract":"While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activism","volume":"49","author":[{"family":"Pottinger","given":"Laura"}],"issued":{"date-parts":[["2017"]]}}}],"schema":"https://github.com/citation-style-language/schema/raw/master/csl-citation.json"} </w:instrText>
      </w:r>
      <w:r w:rsidRPr="00662E51">
        <w:rPr>
          <w:rFonts w:ascii="Century Schoolbook" w:hAnsi="Century Schoolbook"/>
        </w:rPr>
        <w:fldChar w:fldCharType="separate"/>
      </w:r>
      <w:r w:rsidR="00F129DB" w:rsidRPr="00F129DB">
        <w:rPr>
          <w:rFonts w:ascii="Century Schoolbook" w:hAnsi="Century Schoolbook"/>
        </w:rPr>
        <w:t>(Askins 2014; Pottinger 2017)</w:t>
      </w:r>
      <w:r w:rsidRPr="00662E51">
        <w:rPr>
          <w:rFonts w:ascii="Century Schoolbook" w:hAnsi="Century Schoolbook"/>
        </w:rPr>
        <w:fldChar w:fldCharType="end"/>
      </w:r>
      <w:r w:rsidRPr="00662E51">
        <w:rPr>
          <w:rFonts w:ascii="Century Schoolbook" w:hAnsi="Century Schoolbook"/>
        </w:rPr>
        <w:t xml:space="preserve"> under authoritarian neoliberalism. What do forms of everyday citizenship-claiming and -making look like? Recall Darling’s </w:t>
      </w:r>
      <w:r w:rsidRPr="00662E51">
        <w:rPr>
          <w:rFonts w:ascii="Century Schoolbook" w:hAnsi="Century Schoolbook"/>
        </w:rPr>
        <w:fldChar w:fldCharType="begin"/>
      </w:r>
      <w:r w:rsidRPr="00662E51">
        <w:rPr>
          <w:rFonts w:ascii="Century Schoolbook" w:hAnsi="Century Schoolbook"/>
        </w:rPr>
        <w:instrText xml:space="preserve"> ADDIN ZOTERO_ITEM CSL_CITATION {"citationID":"UYQ0WwAU","properties":{"formattedCitation":"(2014)","plainCitation":"(2014)","noteIndex":0},"citationItems":[{"id":3275,"uris":["http://zotero.org/users/8977980/items/ERTQGRHZ"],"itemData":{"id":3275,"type":"article-journal","abstract":"This paper explores the ways in which practices of asylum governance serve to depoliticise those seeking asylum in the UK. In critiquing claims over the “post-political” nature of contemporary governance, the paper proposes a focus upon situated practices of depoliticisation which displace those seeking asylum through the production of specific sites of accommodation and specific discourses of risk, security and moralised concern. The paper questions the tendency within “post-political” thought to strip the potential of modes of informal citizenship through arguing that minor acts of resistance are ineffectual and illusory. In response, the paper explores irregular migrant's “acts of citizenship”, and suggests that such prosaic acts can be powerful forms of political interruption through which new ways of seeing asylum are constructed. The paper concludes by suggesting that an incremental politics orientated around such acts of interruption is essential to challenge the material, affective and discursive closures of asylum domopolitics.","container-title":"Antipode","DOI":"10.1111/anti.12026","ISSN":"1467-8330","issue":"1","language":"en","note":"_eprint: https://onlinelibrary.wiley.com/doi/pdf/10.1111/anti.12026","page":"72-91","source":"Wiley Online Library","title":"Asylum and the Post-Political: Domopolitics, Depoliticisation and Acts of Citizenship","title-short":"Asylum and the Post-Political","volume":"46","author":[{"family":"Darling","given":"Jonathan"}],"issued":{"date-parts":[["2014"]]}},"label":"page","suppress-author":true}],"schema":"https://github.com/citation-style-language/schema/raw/master/csl-citation.json"}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(2014)</w:t>
      </w:r>
      <w:r w:rsidRPr="00662E51">
        <w:rPr>
          <w:rFonts w:ascii="Century Schoolbook" w:hAnsi="Century Schoolbook"/>
        </w:rPr>
        <w:fldChar w:fldCharType="end"/>
      </w:r>
      <w:r w:rsidRPr="00662E51">
        <w:rPr>
          <w:rFonts w:ascii="Century Schoolbook" w:hAnsi="Century Schoolbook"/>
        </w:rPr>
        <w:t xml:space="preserve"> reminder that we must consider politicisation that does not hinge on revolution. What micro-acts become political acts </w:t>
      </w:r>
      <w:r w:rsidRPr="00662E51">
        <w:rPr>
          <w:rFonts w:ascii="Century Schoolbook" w:hAnsi="Century Schoolbook"/>
        </w:rPr>
        <w:fldChar w:fldCharType="begin"/>
      </w:r>
      <w:r w:rsidR="00213B80">
        <w:rPr>
          <w:rFonts w:ascii="Century Schoolbook" w:hAnsi="Century Schoolbook"/>
        </w:rPr>
        <w:instrText xml:space="preserve"> ADDIN ZOTERO_ITEM CSL_CITATION {"citationID":"rFmWqhFb","properties":{"formattedCitation":"(D. G. Martin et al. 2007)","plainCitation":"(D. G. Martin et al. 2007)","noteIndex":0},"citationItems":[{"id":5833,"uris":["http://zotero.org/users/8977980/items/72L3TA9R"],"itemData":{"id":5833,"type":"article-journal","container-title":"Women's Studies Quarterly","ISSN":"0732-1562","issue":"3/4","page":"78-94","publisher":"The Feminist Press at the City University of New York","source":"JSTOR","title":"What Counts as Activism?: The Role of Individuals in Creating Change","title-short":"What Counts as Activism?","volume":"35","author":[{"family":"Martin","given":"Deborah G."},{"family":"Hanson","given":"Susan"},{"family":"Fontaine","given":"Danielle"}],"issued":{"date-parts":[["2007"]]}}}],"schema":"https://github.com/citation-style-language/schema/raw/master/csl-citation.json"} </w:instrText>
      </w:r>
      <w:r w:rsidRPr="00662E51">
        <w:rPr>
          <w:rFonts w:ascii="Century Schoolbook" w:hAnsi="Century Schoolbook"/>
        </w:rPr>
        <w:fldChar w:fldCharType="separate"/>
      </w:r>
      <w:r w:rsidR="00213B80" w:rsidRPr="00213B80">
        <w:rPr>
          <w:rFonts w:ascii="Century Schoolbook" w:hAnsi="Century Schoolbook"/>
        </w:rPr>
        <w:t>(D. G. Martin et al. 2007)</w:t>
      </w:r>
      <w:r w:rsidRPr="00662E51">
        <w:rPr>
          <w:rFonts w:ascii="Century Schoolbook" w:hAnsi="Century Schoolbook"/>
        </w:rPr>
        <w:fldChar w:fldCharType="end"/>
      </w:r>
      <w:r w:rsidRPr="00662E51">
        <w:rPr>
          <w:rFonts w:ascii="Century Schoolbook" w:hAnsi="Century Schoolbook"/>
        </w:rPr>
        <w:t xml:space="preserve">? How do acts of citizenship thrive in the ongoing era of neoliberal authoritarianism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{"citationID":"BchndX93","properties":{"formattedCitation":"(Bayliss et al. 2024)","plainCitation":"(Bayliss et al. 2024)","noteIndex":0},"citationItems":[{"id":6278,"uris":["http://zotero.org/users/8977980/items/9UE2KFBV"],"itemData":{"id":6278,"type":"article-journal","abstract":"Recent declarations of the end of neoliberalism in the United Kingdom, especially since the Covid-19 pandemic, are underpinned by diffuse and unstructured understandings of the neoliberal state. We argue that state intervention is both necessary and unavoidable under neoliberalism. This article shows that the ‘market-based’ reforms and the ‘rollback of the state’ that overtly characterise neoliberalism are heavily reliant upon public policy and entail an ongoing role for state intervention both over time and across economic sectors. Using sectoral case studies of housing and water from within the United Kingdom, we demonstrate, through a tight analytical framing of both financialisation and commodification, the variegated though crucial role of the neoliberal state in restructuring provision to facilitate financialised accumulation and their transformations in response to the contradictions, dysfunctions and limitations of neoliberalised social reproduction.","container-title":"European Journal of Social Theory","DOI":"10.1177/13684310241241800","ISSN":"1368-4310","issue":"4","language":"en","page":"540-560","publisher":"SAGE Publications Ltd","source":"SAGE Journals","title":"Reports of my death are greatly exaggerated: The persistence of neoliberalism in Britain","title-short":"Reports of my death are greatly exaggerated","volume":"27","author":[{"family":"Bayliss","given":"Kate"},{"family":"Fine","given":"Ben"},{"family":"Robertson","given":"Mary"},{"family":"Saad-Filho","given":"Alfredo"}],"issued":{"date-parts":[["2024",11,1]]}}}],"schema":"https://github.com/citation-style-language/schema/raw/master/csl-citation.json"} </w:instrText>
      </w:r>
      <w:r w:rsidRPr="00662E51">
        <w:rPr>
          <w:rFonts w:ascii="Century Schoolbook" w:hAnsi="Century Schoolbook"/>
        </w:rPr>
        <w:fldChar w:fldCharType="separate"/>
      </w:r>
      <w:r w:rsidRPr="00662E51">
        <w:rPr>
          <w:rFonts w:ascii="Century Schoolbook" w:hAnsi="Century Schoolbook"/>
        </w:rPr>
        <w:t>(Bayliss et al. 2024)</w:t>
      </w:r>
      <w:r w:rsidRPr="00662E51">
        <w:rPr>
          <w:rFonts w:ascii="Century Schoolbook" w:hAnsi="Century Schoolbook"/>
        </w:rPr>
        <w:fldChar w:fldCharType="end"/>
      </w:r>
      <w:r w:rsidRPr="00662E51">
        <w:rPr>
          <w:rFonts w:ascii="Century Schoolbook" w:hAnsi="Century Schoolbook"/>
        </w:rPr>
        <w:t xml:space="preserve"> as exemplified by global crackdowns on pro-Palestinian activism </w:t>
      </w:r>
      <w:r w:rsidRPr="00662E51">
        <w:rPr>
          <w:rFonts w:ascii="Century Schoolbook" w:hAnsi="Century Schoolbook"/>
        </w:rPr>
        <w:fldChar w:fldCharType="begin"/>
      </w:r>
      <w:r w:rsidR="00BB15CC">
        <w:rPr>
          <w:rFonts w:ascii="Century Schoolbook" w:hAnsi="Century Schoolbook"/>
        </w:rPr>
        <w:instrText xml:space="preserve"> ADDIN ZOTERO_ITEM CSL_CITATION {"citationID":"yy77pMnk","properties":{"formattedCitation":"(e.g., Reilly 2025; Taft 2024)","plainCitation":"(e.g., Reilly 2025; Taft 2024)","noteIndex":0},"citationItems":[{"id":6640,"uris":["http://zotero.org/users/8977980/items/46UUJIYZ"],"itemData":{"id":6640,"type":"webpage","abstract":"Amnesty International UK: BANNING PALESTINE ACTION ‘A DISTURBING LEGAL OVERREACH’ BY GOVERNMENT","genre":"Press Release","language":"en","title":"UK: Banning Palestine Action 'a disturbing legal overreach' by UK Government, Amnesty International UK Chief Executive warns","title-short":"Amnesty International UK","URL":"https://www.amnesty.org.uk/press-releases/uk-banning-palestine-action-disturbing-legal-overreach-uk-government-amnesty","author":[{"family":"Reilly","given":"Rachel"}],"accessed":{"date-parts":[["2025",7,4]]},"issued":{"date-parts":[["2025",7,2]]}},"prefix":"e.g., "},{"id":6274,"uris":["http://zotero.org/users/8977980/items/AM9AEV2W"],"itemData":{"id":6274,"type":"article-newspaper","abstract":"Stricter rules and punishments over campus protests seem to be working. Universities have seen just under 950 protest events this semester, compared with 3,000 in the spring.","container-title":"The New York Times","ISSN":"0362-4331","language":"en-US","section":"U.S.","source":"NYTimes.com","title":"How Universities Cracked Down on Pro-Palestinian Activism","URL":"https://www.nytimes.com/2024/11/25/us/university-crackdowns-protests-israel-hamas-war.html","author":[{"family":"Taft","given":"Isabelle"}],"accessed":{"date-parts":[["2025",1,15]]},"issued":{"date-parts":[["2024",11,25]]}}}],"schema":"https://github.com/citation-style-language/schema/raw/master/csl-citation.json"} </w:instrText>
      </w:r>
      <w:r w:rsidRPr="00662E51">
        <w:rPr>
          <w:rFonts w:ascii="Century Schoolbook" w:hAnsi="Century Schoolbook"/>
        </w:rPr>
        <w:fldChar w:fldCharType="separate"/>
      </w:r>
      <w:r w:rsidR="00BB15CC" w:rsidRPr="00BB15CC">
        <w:rPr>
          <w:rFonts w:ascii="Century Schoolbook" w:hAnsi="Century Schoolbook"/>
        </w:rPr>
        <w:t>(e.g., Reilly 2025; Taft 2024)</w:t>
      </w:r>
      <w:r w:rsidRPr="00662E51">
        <w:rPr>
          <w:rFonts w:ascii="Century Schoolbook" w:hAnsi="Century Schoolbook"/>
        </w:rPr>
        <w:fldChar w:fldCharType="end"/>
      </w:r>
      <w:r w:rsidRPr="00662E51">
        <w:rPr>
          <w:rFonts w:ascii="Century Schoolbook" w:hAnsi="Century Schoolbook"/>
        </w:rPr>
        <w:t>? Finally, what hidden routes are there for advocates to blow open structures of oppression? The case of BFYA is thus a lesson in how to effectively turn an existing oppressive framework back on itself such that those without rights becomes those with the right to claim rights.</w:t>
      </w:r>
    </w:p>
    <w:p w14:paraId="2FE696F5" w14:textId="77777777" w:rsidR="001D62D6" w:rsidRDefault="001D62D6">
      <w:pPr>
        <w:rPr>
          <w:rFonts w:eastAsia="Times New Roman" w:cs="Times New Roman"/>
          <w:kern w:val="0"/>
          <w:szCs w:val="24"/>
          <w:lang w:eastAsia="en-GB"/>
          <w14:ligatures w14:val="none"/>
        </w:rPr>
      </w:pPr>
      <w:r>
        <w:br w:type="page"/>
      </w:r>
    </w:p>
    <w:p w14:paraId="2FD8B8EB" w14:textId="77777777" w:rsidR="00DE5968" w:rsidRPr="00662E51" w:rsidRDefault="00DE5968" w:rsidP="00F56305">
      <w:pPr>
        <w:pStyle w:val="Heading2"/>
      </w:pPr>
      <w:bookmarkStart w:id="348" w:name="_Toc216096170"/>
      <w:bookmarkStart w:id="349" w:name="_Toc221184356"/>
      <w:bookmarkStart w:id="350" w:name="_Toc231215274"/>
      <w:r w:rsidRPr="00662E51">
        <w:lastRenderedPageBreak/>
        <w:t>Interviewees</w:t>
      </w:r>
      <w:bookmarkEnd w:id="348"/>
      <w:bookmarkEnd w:id="349"/>
      <w:bookmarkEnd w:id="350"/>
    </w:p>
    <w:p w14:paraId="283AD162" w14:textId="77777777" w:rsidR="00DE5968" w:rsidRPr="00662E51" w:rsidRDefault="00DE5968" w:rsidP="00F56305">
      <w:pPr>
        <w:spacing w:line="360" w:lineRule="auto"/>
        <w:rPr>
          <w:szCs w:val="24"/>
        </w:rPr>
      </w:pPr>
      <w:r w:rsidRPr="00662E51">
        <w:rPr>
          <w:szCs w:val="24"/>
        </w:rPr>
        <w:t xml:space="preserve">All abbreviated as KI.#: </w:t>
      </w:r>
    </w:p>
    <w:p w14:paraId="737F7769" w14:textId="77777777" w:rsidR="00DE5968" w:rsidRPr="00662E51" w:rsidRDefault="00DE5968" w:rsidP="00F56305">
      <w:pPr>
        <w:pStyle w:val="Bulletedlist"/>
        <w:spacing w:before="0" w:after="0" w:line="360" w:lineRule="auto"/>
        <w:rPr>
          <w:rFonts w:ascii="Century Schoolbook" w:hAnsi="Century Schoolbook"/>
        </w:rPr>
      </w:pPr>
      <w:r w:rsidRPr="00662E51">
        <w:rPr>
          <w:rFonts w:ascii="Century Schoolbook" w:hAnsi="Century Schoolbook"/>
        </w:rPr>
        <w:t xml:space="preserve">Key Interviewee 1 – former or current politician </w:t>
      </w:r>
    </w:p>
    <w:p w14:paraId="7C14FD0A" w14:textId="77777777" w:rsidR="00DE5968" w:rsidRPr="00662E51" w:rsidRDefault="00DE5968" w:rsidP="00F56305">
      <w:pPr>
        <w:pStyle w:val="Bulletedlist"/>
        <w:spacing w:before="0" w:after="0" w:line="360" w:lineRule="auto"/>
        <w:rPr>
          <w:rFonts w:ascii="Century Schoolbook" w:hAnsi="Century Schoolbook"/>
        </w:rPr>
      </w:pPr>
      <w:r w:rsidRPr="00662E51">
        <w:rPr>
          <w:rFonts w:ascii="Century Schoolbook" w:hAnsi="Century Schoolbook"/>
        </w:rPr>
        <w:t xml:space="preserve">Key Interviewee 2 – former or current politician </w:t>
      </w:r>
    </w:p>
    <w:p w14:paraId="4C3C5940" w14:textId="77777777" w:rsidR="00DE5968" w:rsidRPr="00662E51" w:rsidRDefault="00DE5968" w:rsidP="00F56305">
      <w:pPr>
        <w:pStyle w:val="Bulletedlist"/>
        <w:spacing w:before="0" w:after="0" w:line="360" w:lineRule="auto"/>
        <w:rPr>
          <w:rFonts w:ascii="Century Schoolbook" w:hAnsi="Century Schoolbook"/>
        </w:rPr>
      </w:pPr>
      <w:r w:rsidRPr="00662E51">
        <w:rPr>
          <w:rFonts w:ascii="Century Schoolbook" w:hAnsi="Century Schoolbook"/>
        </w:rPr>
        <w:t>Key Interviewee 3 – activist and leader in Broadwater Farm Youth Association</w:t>
      </w:r>
    </w:p>
    <w:p w14:paraId="4238C664" w14:textId="77777777" w:rsidR="00DE5968" w:rsidRPr="00662E51" w:rsidRDefault="00DE5968" w:rsidP="00F56305">
      <w:pPr>
        <w:pStyle w:val="Bulletedlist"/>
        <w:spacing w:before="0" w:after="0" w:line="360" w:lineRule="auto"/>
        <w:rPr>
          <w:rFonts w:ascii="Century Schoolbook" w:hAnsi="Century Schoolbook"/>
        </w:rPr>
      </w:pPr>
      <w:r w:rsidRPr="00662E51">
        <w:rPr>
          <w:rFonts w:ascii="Century Schoolbook" w:hAnsi="Century Schoolbook"/>
        </w:rPr>
        <w:t>Key Interviewee 4 – activist in Broadwater Farm Youth Association</w:t>
      </w:r>
    </w:p>
    <w:p w14:paraId="06BB8AC4" w14:textId="0E010B44" w:rsidR="002773D6" w:rsidRPr="00662E51" w:rsidRDefault="00DE5968" w:rsidP="00F56305">
      <w:pPr>
        <w:pStyle w:val="Bulletedlist"/>
        <w:spacing w:before="0" w:after="0" w:line="360" w:lineRule="auto"/>
        <w:rPr>
          <w:rFonts w:ascii="Century Schoolbook" w:hAnsi="Century Schoolbook"/>
        </w:rPr>
      </w:pPr>
      <w:r w:rsidRPr="00662E51">
        <w:rPr>
          <w:rFonts w:ascii="Century Schoolbook" w:hAnsi="Century Schoolbook"/>
        </w:rPr>
        <w:t>Key Interviewee 5 – former Haringey Borough Council staff member</w:t>
      </w:r>
    </w:p>
    <w:p w14:paraId="77588261" w14:textId="3639DEA5" w:rsidR="000E557E" w:rsidRPr="00662E51" w:rsidRDefault="000E557E">
      <w:pPr>
        <w:rPr>
          <w:szCs w:val="24"/>
        </w:rPr>
      </w:pPr>
      <w:r w:rsidRPr="00662E51">
        <w:rPr>
          <w:szCs w:val="24"/>
        </w:rPr>
        <w:br w:type="page"/>
      </w:r>
    </w:p>
    <w:p w14:paraId="3210801C" w14:textId="67AB4BE0" w:rsidR="00A1577B" w:rsidRPr="00662E51" w:rsidRDefault="00D60A56" w:rsidP="00DB0DB6">
      <w:pPr>
        <w:pStyle w:val="Style1"/>
      </w:pPr>
      <w:bookmarkStart w:id="351" w:name="_Toc213173968"/>
      <w:bookmarkStart w:id="352" w:name="_Toc216096171"/>
      <w:bookmarkStart w:id="353" w:name="_Toc221184357"/>
      <w:bookmarkStart w:id="354" w:name="_Toc231215275"/>
      <w:r w:rsidRPr="00662E51">
        <w:lastRenderedPageBreak/>
        <w:t xml:space="preserve">Chapter 6: </w:t>
      </w:r>
      <w:r w:rsidR="00734BAB" w:rsidRPr="00662E51">
        <w:t>“Personal Connections and Personal Alliances</w:t>
      </w:r>
      <w:r w:rsidR="00AA04D3" w:rsidRPr="00662E51">
        <w:t>:</w:t>
      </w:r>
      <w:r w:rsidR="00734BAB" w:rsidRPr="00662E51">
        <w:t>” Leveraging Local Electoral Politics for Power</w:t>
      </w:r>
      <w:bookmarkEnd w:id="351"/>
      <w:r w:rsidR="00DD1F4D" w:rsidRPr="00BD17AF">
        <w:rPr>
          <w:rStyle w:val="FootnoteReference"/>
        </w:rPr>
        <w:footnoteReference w:id="50"/>
      </w:r>
      <w:bookmarkEnd w:id="352"/>
      <w:bookmarkEnd w:id="353"/>
      <w:bookmarkEnd w:id="354"/>
    </w:p>
    <w:p w14:paraId="2BC920B1" w14:textId="33AA1979" w:rsidR="001C08C7" w:rsidRDefault="001C08C7" w:rsidP="00D60A56">
      <w:pPr>
        <w:spacing w:line="360" w:lineRule="auto"/>
        <w:ind w:left="0"/>
        <w:rPr>
          <w:szCs w:val="24"/>
        </w:rPr>
      </w:pPr>
      <w:r w:rsidRPr="001C08C7">
        <w:rPr>
          <w:szCs w:val="24"/>
        </w:rPr>
        <w:t xml:space="preserve">This chapter </w:t>
      </w:r>
      <w:r>
        <w:rPr>
          <w:szCs w:val="24"/>
        </w:rPr>
        <w:t xml:space="preserve">jumps forward to the present, considering </w:t>
      </w:r>
      <w:r w:rsidRPr="001C08C7">
        <w:rPr>
          <w:szCs w:val="24"/>
        </w:rPr>
        <w:t xml:space="preserve">the StopHDV campaign’s electoral strategy to cancel the Haringey Development Vehicle. </w:t>
      </w:r>
      <w:r w:rsidR="00287961">
        <w:rPr>
          <w:szCs w:val="24"/>
        </w:rPr>
        <w:t>Through an interrogation of the internal politics of Haringey Labour, the chapter answers R</w:t>
      </w:r>
      <w:r w:rsidRPr="001C08C7">
        <w:rPr>
          <w:szCs w:val="24"/>
        </w:rPr>
        <w:t xml:space="preserve">esearch </w:t>
      </w:r>
      <w:r w:rsidR="00287961">
        <w:rPr>
          <w:szCs w:val="24"/>
        </w:rPr>
        <w:t>Q</w:t>
      </w:r>
      <w:r w:rsidRPr="001C08C7">
        <w:rPr>
          <w:szCs w:val="24"/>
        </w:rPr>
        <w:t>uestions two and three regarding the interrelations between the local state and the local party</w:t>
      </w:r>
      <w:r w:rsidR="003A09F2">
        <w:rPr>
          <w:szCs w:val="24"/>
        </w:rPr>
        <w:t>.</w:t>
      </w:r>
    </w:p>
    <w:p w14:paraId="1073B11E" w14:textId="77777777" w:rsidR="00817BDA" w:rsidRPr="00662E51" w:rsidRDefault="00817BDA" w:rsidP="00817BDA">
      <w:pPr>
        <w:spacing w:line="360" w:lineRule="auto"/>
        <w:ind w:left="0"/>
        <w:jc w:val="center"/>
        <w:rPr>
          <w:szCs w:val="24"/>
        </w:rPr>
      </w:pPr>
      <w:r w:rsidRPr="00662E51">
        <w:rPr>
          <w:sz w:val="32"/>
          <w:szCs w:val="32"/>
        </w:rPr>
        <w:t>† † †</w:t>
      </w:r>
    </w:p>
    <w:p w14:paraId="3E0F9321" w14:textId="5DF7EE75" w:rsidR="00A1577B" w:rsidRPr="00662E51" w:rsidRDefault="00A1577B" w:rsidP="003A09F2">
      <w:pPr>
        <w:spacing w:line="360" w:lineRule="auto"/>
        <w:ind w:left="0" w:firstLine="720"/>
        <w:rPr>
          <w:szCs w:val="24"/>
        </w:rPr>
      </w:pPr>
      <w:r w:rsidRPr="00662E51">
        <w:rPr>
          <w:szCs w:val="24"/>
        </w:rPr>
        <w:t xml:space="preserve">Geographical research on political parties tends to privilege the regional or the national scales </w:t>
      </w:r>
      <w:r w:rsidRPr="00662E51">
        <w:rPr>
          <w:szCs w:val="24"/>
        </w:rPr>
        <w:fldChar w:fldCharType="begin"/>
      </w:r>
      <w:r w:rsidR="00557CA9" w:rsidRPr="00662E51">
        <w:rPr>
          <w:szCs w:val="24"/>
        </w:rPr>
        <w:instrText xml:space="preserve"> ADDIN ZOTERO_ITEM CSL_CITATION {"citationID":"h3UmSb4E","properties":{"formattedCitation":"(Halvorsen 2020)","plainCitation":"(Halvorsen 2020)","noteIndex":0},"citationItems":[{"id":5547,"uris":["http://zotero.org/users/8977980/items/5PSXDI9P"],"itemData":{"id":5547,"type":"article-journal","abstract":"How and why does geography inform the organisational strategies of political parties?\n              Encuentro por la Democracia y la Equidad\n              (Encounter for Democracy and Equity, hereafter EDE) is a centre</w:instrText>
      </w:r>
      <w:r w:rsidR="00557CA9" w:rsidRPr="00662E51">
        <w:rPr>
          <w:rFonts w:ascii="Cambria Math" w:hAnsi="Cambria Math" w:cs="Cambria Math"/>
          <w:szCs w:val="24"/>
        </w:rPr>
        <w:instrText>‐</w:instrText>
      </w:r>
      <w:r w:rsidR="00557CA9" w:rsidRPr="00662E51">
        <w:rPr>
          <w:szCs w:val="24"/>
        </w:rPr>
        <w:instrText>left Argentine political party that, since arriving in Buenos Aires in 2008, quickly became one of the largest oppositional parties in the city in terms of its activist base and electoral representation. This was achieved by explicitly prioritising a territorial organisational strategy: building the party at the scale of the neighbourhood by opening branches, accumulating activists and constructing linkages with civil society. Through a qualitative analysis of EDE's organisational strategy over 10 years (2008–2018), the paper proposes four dimensions for understanding the relationship between grassroots territorial organising and party strategy: party</w:instrText>
      </w:r>
      <w:r w:rsidR="00557CA9" w:rsidRPr="00662E51">
        <w:rPr>
          <w:rFonts w:ascii="Cambria Math" w:hAnsi="Cambria Math" w:cs="Cambria Math"/>
          <w:szCs w:val="24"/>
        </w:rPr>
        <w:instrText>‐</w:instrText>
      </w:r>
      <w:r w:rsidR="00557CA9" w:rsidRPr="00662E51">
        <w:rPr>
          <w:szCs w:val="24"/>
        </w:rPr>
        <w:instrText>building; electoral success; democratic linkages; and alliance building. The findings are of relevance not only to party</w:instrText>
      </w:r>
      <w:r w:rsidR="00557CA9" w:rsidRPr="00662E51">
        <w:rPr>
          <w:rFonts w:ascii="Cambria Math" w:hAnsi="Cambria Math" w:cs="Cambria Math"/>
          <w:szCs w:val="24"/>
        </w:rPr>
        <w:instrText>‐</w:instrText>
      </w:r>
      <w:r w:rsidR="00557CA9" w:rsidRPr="00662E51">
        <w:rPr>
          <w:szCs w:val="24"/>
        </w:rPr>
        <w:instrText>building in Latin America but also to the recent surge of territorial organising in parties in Europe. The paper makes three contributions to geographical literature. First, it adds to limited Anglophone geographical engagements with Latin American electoral and party politics by highlighting the centrality of spatiality to party</w:instrText>
      </w:r>
      <w:r w:rsidR="00557CA9" w:rsidRPr="00662E51">
        <w:rPr>
          <w:rFonts w:ascii="Cambria Math" w:hAnsi="Cambria Math" w:cs="Cambria Math"/>
          <w:szCs w:val="24"/>
        </w:rPr>
        <w:instrText>‐</w:instrText>
      </w:r>
      <w:r w:rsidR="00557CA9" w:rsidRPr="00662E51">
        <w:rPr>
          <w:szCs w:val="24"/>
        </w:rPr>
        <w:instrText>building. Second, it emphasises sub</w:instrText>
      </w:r>
      <w:r w:rsidR="00557CA9" w:rsidRPr="00662E51">
        <w:rPr>
          <w:rFonts w:ascii="Cambria Math" w:hAnsi="Cambria Math" w:cs="Cambria Math"/>
          <w:szCs w:val="24"/>
        </w:rPr>
        <w:instrText>‐</w:instrText>
      </w:r>
      <w:r w:rsidR="00557CA9" w:rsidRPr="00662E51">
        <w:rPr>
          <w:szCs w:val="24"/>
        </w:rPr>
        <w:instrText xml:space="preserve">national dynamics of party organising, contributing to a dismantling of methodological state centrism that pervades party scholarship. Third, it develops a geographical analytical approach to party organisation that demonstrates how sociospatial relations constitute parties' unfolding relations with the state and civil society.\n            \n          , \n            How and why does geography inform the organisational strategies of political parties? The paper proposes a model for analysing the geography of political parties by focusing on the relationship between territory and party organisation. It draws on empirical work in Buenos Aires to outline four dimensions through which parties strategically organise in and through territory in order to pursue their objectives.","container-title":"Transactions of the Institute of British Geographers","DOI":"10.1111/tran.12343","ISSN":"0020-2754, 1475-5661","issue":"2","journalAbbreviation":"Trans Inst British Geog","language":"en","page":"242-255","source":"DOI.org (Crossref)","title":"The geography of political parties: Territory and organisational strategies in Buenos Aires","title-short":"The geography of political parties","volume":"45","author":[{"family":"Halvorsen","given":"Sam"}],"issued":{"date-parts":[["2020",6]]}}}],"schema":"https://github.com/citation-style-language/schema/raw/master/csl-citation.json"} </w:instrText>
      </w:r>
      <w:r w:rsidRPr="00662E51">
        <w:rPr>
          <w:szCs w:val="24"/>
        </w:rPr>
        <w:fldChar w:fldCharType="separate"/>
      </w:r>
      <w:r w:rsidR="0095662D" w:rsidRPr="00662E51">
        <w:t>(Halvorsen 2020)</w:t>
      </w:r>
      <w:r w:rsidRPr="00662E51">
        <w:rPr>
          <w:szCs w:val="24"/>
        </w:rPr>
        <w:fldChar w:fldCharType="end"/>
      </w:r>
      <w:r w:rsidRPr="00662E51">
        <w:rPr>
          <w:szCs w:val="24"/>
        </w:rPr>
        <w:t xml:space="preserve">. Yet, as Ormerod </w:t>
      </w:r>
      <w:r w:rsidRPr="00662E51">
        <w:rPr>
          <w:szCs w:val="24"/>
        </w:rPr>
        <w:fldChar w:fldCharType="begin"/>
      </w:r>
      <w:r w:rsidR="00557CA9" w:rsidRPr="00662E51">
        <w:rPr>
          <w:szCs w:val="24"/>
        </w:rPr>
        <w:instrText xml:space="preserve"> ADDIN ZOTERO_ITEM CSL_CITATION {"citationID":"0L0JL1zQ","properties":{"formattedCitation":"(2021, 1)","plainCitation":"(2021, 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ocator":"1","label":"page","suppress-author":true}],"schema":"https://github.com/citation-style-language/schema/raw/master/csl-citation.json"} </w:instrText>
      </w:r>
      <w:r w:rsidRPr="00662E51">
        <w:rPr>
          <w:szCs w:val="24"/>
        </w:rPr>
        <w:fldChar w:fldCharType="separate"/>
      </w:r>
      <w:r w:rsidR="0095662D" w:rsidRPr="00662E51">
        <w:t>(2021, 1)</w:t>
      </w:r>
      <w:r w:rsidRPr="00662E51">
        <w:rPr>
          <w:szCs w:val="24"/>
        </w:rPr>
        <w:fldChar w:fldCharType="end"/>
      </w:r>
      <w:r w:rsidRPr="00662E51">
        <w:rPr>
          <w:szCs w:val="24"/>
        </w:rPr>
        <w:t xml:space="preserve"> notes, this scholarship “can overlook the complex and on-going local political struggles, and the quieter registers of political power” within the context of long-standing one-party local states in the UK </w:t>
      </w:r>
      <w:r w:rsidRPr="00662E51">
        <w:rPr>
          <w:szCs w:val="24"/>
        </w:rPr>
        <w:fldChar w:fldCharType="begin"/>
      </w:r>
      <w:r w:rsidR="008835AB" w:rsidRPr="00662E51">
        <w:rPr>
          <w:szCs w:val="24"/>
        </w:rPr>
        <w:instrText xml:space="preserve"> ADDIN ZOTERO_ITEM CSL_CITATION {"citationID":"j0FL9c4d","properties":{"formattedCitation":"(Dillon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0095662D" w:rsidRPr="00662E51">
        <w:t>(Dillon and Fanning 2011)</w:t>
      </w:r>
      <w:r w:rsidRPr="00662E51">
        <w:rPr>
          <w:szCs w:val="24"/>
        </w:rPr>
        <w:fldChar w:fldCharType="end"/>
      </w:r>
      <w:r w:rsidRPr="00662E51">
        <w:rPr>
          <w:szCs w:val="24"/>
        </w:rPr>
        <w:t xml:space="preserve">. </w:t>
      </w:r>
    </w:p>
    <w:p w14:paraId="768C3479" w14:textId="48714ABB" w:rsidR="00A1577B" w:rsidRPr="00662E51" w:rsidRDefault="00A1577B" w:rsidP="00F56305">
      <w:pPr>
        <w:spacing w:line="360" w:lineRule="auto"/>
        <w:ind w:left="0" w:firstLine="720"/>
        <w:rPr>
          <w:szCs w:val="24"/>
        </w:rPr>
      </w:pPr>
      <w:r w:rsidRPr="00662E51">
        <w:rPr>
          <w:szCs w:val="24"/>
        </w:rPr>
        <w:t xml:space="preserve">Public and social housing in England is a primary function of the local state, making it a good focus for studies of state-party relations. Taking local housing development as a site of political contestation, I consider the fight over the Haringey Development Vehicle (HDV), a proposed—but unrealised—large scale regeneration scheme in Haringey, London. Beyond conventional activism, anti-HDV campaigners effectively took over Haringey Council to end the scheme </w:t>
      </w:r>
      <w:r w:rsidRPr="00662E51">
        <w:rPr>
          <w:szCs w:val="24"/>
        </w:rPr>
        <w:fldChar w:fldCharType="begin"/>
      </w:r>
      <w:r w:rsidR="008835AB" w:rsidRPr="00662E51">
        <w:rPr>
          <w:szCs w:val="24"/>
        </w:rPr>
        <w:instrText xml:space="preserve"> ADDIN ZOTERO_ITEM CSL_CITATION {"citationID":"5lakX70U","properties":{"formattedCitation":"(Horton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Using interviews and archival data, I therefore consider local councillors as both actively implicated in the governance of space and as representatives within a wider party structure </w:t>
      </w:r>
      <w:r w:rsidRPr="00662E51">
        <w:rPr>
          <w:szCs w:val="24"/>
        </w:rPr>
        <w:fldChar w:fldCharType="begin"/>
      </w:r>
      <w:r w:rsidR="008835AB" w:rsidRPr="00662E51">
        <w:rPr>
          <w:szCs w:val="24"/>
        </w:rPr>
        <w:instrText xml:space="preserve"> ADDIN ZOTERO_ITEM CSL_CITATION {"citationID":"RAYZKp7T","properties":{"formattedCitation":"(Copus 2004)","plainCitation":"(Copus 2004)","noteIndex":0},"citationItems":[{"id":6766,"uris":["http://zotero.org/users/8977980/items/22FQIFRM"],"itemData":{"id":6766,"type":"book","ISBN":"978-0-7190-6635-1","language":"eng","number-of-pages":"313","publisher":"Manchester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Government","author":[{"family":"Copus","given":"Colin"}],"issued":{"date-parts":[["2004"]]}}}],"schema":"https://github.com/citation-style-language/schema/raw/master/csl-citation.json"} </w:instrText>
      </w:r>
      <w:r w:rsidRPr="00662E51">
        <w:rPr>
          <w:szCs w:val="24"/>
        </w:rPr>
        <w:fldChar w:fldCharType="separate"/>
      </w:r>
      <w:r w:rsidR="0095662D" w:rsidRPr="00662E51">
        <w:t>(Copus 2004)</w:t>
      </w:r>
      <w:r w:rsidRPr="00662E51">
        <w:rPr>
          <w:szCs w:val="24"/>
        </w:rPr>
        <w:fldChar w:fldCharType="end"/>
      </w:r>
      <w:r w:rsidRPr="00662E51">
        <w:rPr>
          <w:szCs w:val="24"/>
        </w:rPr>
        <w:t xml:space="preserve">. </w:t>
      </w:r>
    </w:p>
    <w:p w14:paraId="7BC5FDD7" w14:textId="75FED551" w:rsidR="00A1577B" w:rsidRPr="00662E51" w:rsidRDefault="00A1577B" w:rsidP="00F56305">
      <w:pPr>
        <w:spacing w:line="360" w:lineRule="auto"/>
        <w:ind w:left="0" w:firstLine="720"/>
        <w:rPr>
          <w:szCs w:val="24"/>
        </w:rPr>
      </w:pPr>
      <w:r w:rsidRPr="00662E51">
        <w:rPr>
          <w:szCs w:val="24"/>
        </w:rPr>
        <w:t xml:space="preserve">Building on research that explores the relationship(s) between local political parties, the local state, and urban regeneration/development </w:t>
      </w:r>
      <w:r w:rsidRPr="00662E51">
        <w:rPr>
          <w:szCs w:val="24"/>
        </w:rPr>
        <w:fldChar w:fldCharType="begin"/>
      </w:r>
      <w:r w:rsidR="00557CA9" w:rsidRPr="00662E51">
        <w:rPr>
          <w:szCs w:val="24"/>
        </w:rPr>
        <w:instrText xml:space="preserve"> ADDIN ZOTERO_ITEM CSL_CITATION {"citationID":"XnbCCCGA","properties":{"formattedCitation":"(Ormerod 2021)","plainCitation":"(Ormerod 2021)","noteIndex":0},"citationItems":[{"id":3295,"uris":["http://zotero.org/users/8977980/items/UP7CRFTK"],"itemData":{"id":3295,"type":"article-journal","abstract":"This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95662D" w:rsidRPr="00662E51">
        <w:t>(Ormerod 2021)</w:t>
      </w:r>
      <w:r w:rsidRPr="00662E51">
        <w:rPr>
          <w:szCs w:val="24"/>
        </w:rPr>
        <w:fldChar w:fldCharType="end"/>
      </w:r>
      <w:r w:rsidRPr="00662E51">
        <w:rPr>
          <w:szCs w:val="24"/>
        </w:rPr>
        <w:t xml:space="preserve">, I undertake a deep exploration of the HDV to challenge dominant depictions of political parties as machinery of depoliticisation </w:t>
      </w:r>
      <w:r w:rsidRPr="00662E51">
        <w:rPr>
          <w:szCs w:val="24"/>
        </w:rPr>
        <w:fldChar w:fldCharType="begin"/>
      </w:r>
      <w:r w:rsidR="00D83C5D">
        <w:rPr>
          <w:szCs w:val="24"/>
        </w:rPr>
        <w:instrText xml:space="preserve"> ADDIN ZOTERO_ITEM CSL_CITATION {"citationID":"qIEfzDkc","properties":{"formattedCitation":"(Gilbert 2023; Horton and Penny 2024; Jessop 2016)","plainCitation":"(Gilbert 2023; Horton and Penny 2024; Jessop 2016)","noteIndex":0},"citationItems":[{"id":5842,"uris":["http://zotero.org/users/8977980/items/QZRKMUSZ"],"itemData":{"id":5842,"type":"article-newspaper","abstract":"In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state","author":[{"family":"Jessop","given":"Bob"}],"issued":{"date-parts":[["2016"]]}}}],"schema":"https://github.com/citation-style-language/schema/raw/master/csl-citation.json"} </w:instrText>
      </w:r>
      <w:r w:rsidRPr="00662E51">
        <w:rPr>
          <w:szCs w:val="24"/>
        </w:rPr>
        <w:fldChar w:fldCharType="separate"/>
      </w:r>
      <w:r w:rsidR="00D83C5D" w:rsidRPr="00D83C5D">
        <w:t>(Gilbert 2023; Horton and Penny 2024; Jessop 2016)</w:t>
      </w:r>
      <w:r w:rsidRPr="00662E51">
        <w:rPr>
          <w:szCs w:val="24"/>
        </w:rPr>
        <w:fldChar w:fldCharType="end"/>
      </w:r>
      <w:r w:rsidRPr="00662E51">
        <w:rPr>
          <w:szCs w:val="24"/>
        </w:rPr>
        <w:t xml:space="preserve">. I argue that the inherently unstable nature of parties makes them vulnerable to contestation and takeover. This means treating the </w:t>
      </w:r>
      <w:r w:rsidRPr="00662E51">
        <w:rPr>
          <w:szCs w:val="24"/>
        </w:rPr>
        <w:lastRenderedPageBreak/>
        <w:t xml:space="preserve">state and the party as relational, rather than as discrete objects. I </w:t>
      </w:r>
      <w:r w:rsidR="00EA2F16">
        <w:rPr>
          <w:szCs w:val="24"/>
        </w:rPr>
        <w:t xml:space="preserve">chiefly </w:t>
      </w:r>
      <w:r w:rsidRPr="00662E51">
        <w:rPr>
          <w:szCs w:val="24"/>
        </w:rPr>
        <w:t xml:space="preserve">draw on critical perspectives on the Labour Party </w:t>
      </w:r>
      <w:r w:rsidRPr="00662E51">
        <w:rPr>
          <w:szCs w:val="24"/>
        </w:rPr>
        <w:fldChar w:fldCharType="begin"/>
      </w:r>
      <w:r w:rsidR="00D502D6">
        <w:rPr>
          <w:szCs w:val="24"/>
        </w:rPr>
        <w:instrText xml:space="preserve"> ADDIN ZOTERO_ITEM CSL_CITATION {"citationID":"0MIWo9nC","properties":{"formattedCitation":"(Cockburn 1980; Miliband 1973; Ormerod 2021)","plainCitation":"(Cockburn 1980; Miliband 1973; Ormerod 2021)","noteIndex":0},"citationItems":[{"id":5811,"uris":["http://zotero.org/users/8977980/items/U5ZYVUT5"],"itemData":{"id":5811,"type":"book","edition":"Repr","ISBN":"978-0-904383-48-5","language":"eng","number-of-pages":"207","publisher":"Pluto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state","author":[{"family":"Cockburn","given":"Cynthia"}],"issued":{"date-parts":[["1980"]]}}},{"id":6775,"uris":["http://zotero.org/users/8977980/items/WA9H2UEI"],"itemData":{"id":6775,"type":"book","call-number":"324.24107 MIL","edition":"2d ed.","ISBN":"978-0-85036-135-3","language":"eng","number-of-pages":"384","publisher":"Merlin Press","publisher-place":"London","source":"discover.durham.ac.uk","title":"Parliamentary socialism: a study in the politics of Labour","title-short":"Parliamentary socialism","author":[{"family":"Miliband","given":"Ralph"}],"issued":{"date-parts":[["1973"]]}}},{"id":3295,"uris":["http://zotero.org/users/8977980/items/UP7CRFTK"],"itemData":{"id":3295,"type":"article-journal","abstract":"This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D502D6" w:rsidRPr="00D502D6">
        <w:t>(Cockburn 1980; Miliband 1973; Ormerod 2021)</w:t>
      </w:r>
      <w:r w:rsidRPr="00662E51">
        <w:rPr>
          <w:szCs w:val="24"/>
        </w:rPr>
        <w:fldChar w:fldCharType="end"/>
      </w:r>
      <w:r w:rsidR="00EA2F16">
        <w:rPr>
          <w:szCs w:val="24"/>
        </w:rPr>
        <w:t xml:space="preserve">, which are then </w:t>
      </w:r>
      <w:r w:rsidR="00ED3F0D">
        <w:rPr>
          <w:szCs w:val="24"/>
        </w:rPr>
        <w:t xml:space="preserve">complemented by </w:t>
      </w:r>
      <w:r w:rsidRPr="00662E51">
        <w:rPr>
          <w:szCs w:val="24"/>
        </w:rPr>
        <w:t>Alain Badiou’s concept</w:t>
      </w:r>
      <w:r w:rsidR="005957B1">
        <w:rPr>
          <w:szCs w:val="24"/>
        </w:rPr>
        <w:t>s</w:t>
      </w:r>
      <w:r w:rsidRPr="00662E51">
        <w:rPr>
          <w:szCs w:val="24"/>
        </w:rPr>
        <w:t xml:space="preserve"> of the state revolutionary </w:t>
      </w:r>
      <w:r w:rsidRPr="00662E51">
        <w:rPr>
          <w:szCs w:val="24"/>
        </w:rPr>
        <w:fldChar w:fldCharType="begin"/>
      </w:r>
      <w:r w:rsidR="008835AB" w:rsidRPr="00662E51">
        <w:rPr>
          <w:szCs w:val="24"/>
        </w:rPr>
        <w:instrText xml:space="preserve"> ADDIN ZOTERO_ITEM CSL_CITATION {"citationID":"tM4LYsqo","properties":{"formattedCitation":"(Paccoud 2019)","plainCitation":"(Paccoud 2019)","noteIndex":0},"citationItems":[{"id":5584,"uris":["http://zotero.org/users/8977980/items/ASA2TBJM"],"itemData":{"id":5584,"type":"article-journal","abstract":"The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Saint-Simon","volume":"18","author":[{"family":"Paccoud","given":"Antoine"}],"issued":{"date-parts":[["2019",8,1]]}}}],"schema":"https://github.com/citation-style-language/schema/raw/master/csl-citation.json"} </w:instrText>
      </w:r>
      <w:r w:rsidRPr="00662E51">
        <w:rPr>
          <w:szCs w:val="24"/>
        </w:rPr>
        <w:fldChar w:fldCharType="separate"/>
      </w:r>
      <w:r w:rsidR="0095662D" w:rsidRPr="00662E51">
        <w:t>(Paccoud 2019)</w:t>
      </w:r>
      <w:r w:rsidRPr="00662E51">
        <w:rPr>
          <w:szCs w:val="24"/>
        </w:rPr>
        <w:fldChar w:fldCharType="end"/>
      </w:r>
      <w:r w:rsidRPr="00662E51">
        <w:rPr>
          <w:szCs w:val="24"/>
        </w:rPr>
        <w:t xml:space="preserve"> and the event of the political subject </w:t>
      </w:r>
      <w:r w:rsidRPr="00662E51">
        <w:rPr>
          <w:szCs w:val="24"/>
        </w:rPr>
        <w:fldChar w:fldCharType="begin"/>
      </w:r>
      <w:r w:rsidR="00557CA9" w:rsidRPr="00662E51">
        <w:rPr>
          <w:szCs w:val="24"/>
        </w:rPr>
        <w:instrText xml:space="preserve"> ADDIN ZOTERO_ITEM CSL_CITATION {"citationID":"rWyTftkD","properties":{"formattedCitation":"(Calcagno 2008)","plainCitation":"(Calcagno 2008)","noteIndex":0},"citationItems":[{"id":5586,"uris":["http://zotero.org/users/8977980/items/QF64XFNU"],"itemData":{"id":5586,"type":"article-journal","abstract":"One of the more poignant claims Badiou makes is that the subject develops an understanding of itself as a political subject only by executing decisive political actions or making decisive political interventions. In this article I will argue that in order to have a fuller philosophical conception of political subjectivity, and therefore political agency, one must also hold that, first, political interventions do not necessarily lead to a definition or a further way of referring to and understanding the subject. In fact, political events and interventions may consciously aim at and result in the de-politicizing, de-subjectivating or dehumanizing of the subject. Second, political agency need not result in an event or an intervention in order to be political. In other words, failed or non-interventions may still be considered political. Third, despite Badiou's call for an ethics rooted in truth and fidelity, his political philosophy results in a relativism that can easily lapse into violence and injustice.","container-title":"Philosophy &amp; Social Criticism","DOI":"10.1177/0191453708098537","ISSN":"0191-4537, 1461-734X","issue":"9","journalAbbreviation":"Philosophy &amp; Social Criticism","language":"en","page":"1051-1070","source":"DOI.org (Crossref)","title":"Alain Badiou: the event of becoming a political subject","title-short":"Alain Badiou","volume":"34","author":[{"family":"Calcagno","given":"Antonio"}],"issued":{"date-parts":[["2008",11]]}}}],"schema":"https://github.com/citation-style-language/schema/raw/master/csl-citation.json"} </w:instrText>
      </w:r>
      <w:r w:rsidRPr="00662E51">
        <w:rPr>
          <w:szCs w:val="24"/>
        </w:rPr>
        <w:fldChar w:fldCharType="separate"/>
      </w:r>
      <w:r w:rsidR="0095662D" w:rsidRPr="00662E51">
        <w:t>(Calcagno 2008)</w:t>
      </w:r>
      <w:r w:rsidRPr="00662E51">
        <w:rPr>
          <w:szCs w:val="24"/>
        </w:rPr>
        <w:fldChar w:fldCharType="end"/>
      </w:r>
      <w:r w:rsidRPr="00662E51">
        <w:rPr>
          <w:szCs w:val="24"/>
        </w:rPr>
        <w:t xml:space="preserve"> to think through this web of relations. Thus, this research contributes to the limited political geography literature on local state-party relationships, resist monolithic portrayals of the state-party nexus, and refocus research on the urban and neighbourhood scales by examining the role of councillors in public policy.</w:t>
      </w:r>
    </w:p>
    <w:p w14:paraId="75A812EB" w14:textId="77777777" w:rsidR="00A1577B" w:rsidRPr="00662E51" w:rsidRDefault="00A1577B" w:rsidP="00F56305">
      <w:pPr>
        <w:spacing w:line="360" w:lineRule="auto"/>
        <w:ind w:left="0" w:firstLine="720"/>
        <w:rPr>
          <w:szCs w:val="24"/>
        </w:rPr>
      </w:pPr>
    </w:p>
    <w:p w14:paraId="20727F51" w14:textId="77777777" w:rsidR="002B3632" w:rsidRPr="00662E51" w:rsidRDefault="002B3632" w:rsidP="00F56305">
      <w:pPr>
        <w:pStyle w:val="ListParagraph"/>
        <w:keepNext/>
        <w:keepLines/>
        <w:numPr>
          <w:ilvl w:val="0"/>
          <w:numId w:val="5"/>
        </w:numPr>
        <w:spacing w:line="360" w:lineRule="auto"/>
        <w:contextualSpacing w:val="0"/>
        <w:outlineLvl w:val="1"/>
        <w:rPr>
          <w:rFonts w:eastAsiaTheme="majorEastAsia" w:cstheme="majorBidi"/>
          <w:vanish/>
          <w:u w:val="single"/>
          <w:lang w:eastAsia="en-US"/>
        </w:rPr>
      </w:pPr>
      <w:bookmarkStart w:id="355" w:name="_Toc213160130"/>
      <w:bookmarkStart w:id="356" w:name="_Toc213160214"/>
      <w:bookmarkStart w:id="357" w:name="_Toc213170691"/>
      <w:bookmarkStart w:id="358" w:name="_Toc213173969"/>
      <w:bookmarkStart w:id="359" w:name="_Toc216095997"/>
      <w:bookmarkStart w:id="360" w:name="_Toc216096101"/>
      <w:bookmarkStart w:id="361" w:name="_Toc216096172"/>
      <w:bookmarkStart w:id="362" w:name="_Toc216875752"/>
      <w:bookmarkStart w:id="363" w:name="_Toc216875856"/>
      <w:bookmarkStart w:id="364" w:name="_Toc216876633"/>
      <w:bookmarkStart w:id="365" w:name="_Toc216877800"/>
      <w:bookmarkStart w:id="366" w:name="_Toc216878189"/>
      <w:bookmarkStart w:id="367" w:name="_Toc216878540"/>
      <w:bookmarkStart w:id="368" w:name="_Toc216959847"/>
      <w:bookmarkStart w:id="369" w:name="_Toc216960711"/>
      <w:bookmarkStart w:id="370" w:name="_Toc216968050"/>
      <w:bookmarkStart w:id="371" w:name="_Toc216968311"/>
      <w:bookmarkStart w:id="372" w:name="_Toc216968453"/>
      <w:bookmarkStart w:id="373" w:name="_Toc216970125"/>
      <w:bookmarkStart w:id="374" w:name="_Toc216985769"/>
      <w:bookmarkStart w:id="375" w:name="_Toc216985886"/>
      <w:bookmarkStart w:id="376" w:name="_Toc216986003"/>
      <w:bookmarkStart w:id="377" w:name="_Toc216986120"/>
      <w:bookmarkStart w:id="378" w:name="_Toc216986237"/>
      <w:bookmarkStart w:id="379" w:name="_Toc217295457"/>
      <w:bookmarkStart w:id="380" w:name="_Toc220791079"/>
      <w:bookmarkStart w:id="381" w:name="_Toc220922410"/>
      <w:bookmarkStart w:id="382" w:name="_Toc221112531"/>
      <w:bookmarkStart w:id="383" w:name="_Toc221184358"/>
      <w:bookmarkStart w:id="384" w:name="_Toc221195268"/>
      <w:bookmarkStart w:id="385" w:name="_Toc221786852"/>
      <w:bookmarkStart w:id="386" w:name="_Toc231215276"/>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p w14:paraId="4BEABE47" w14:textId="7F643D35" w:rsidR="00A1577B" w:rsidRPr="00662E51" w:rsidRDefault="00A1577B" w:rsidP="00F56305">
      <w:pPr>
        <w:pStyle w:val="Heading2"/>
      </w:pPr>
      <w:bookmarkStart w:id="387" w:name="_Toc213173970"/>
      <w:bookmarkStart w:id="388" w:name="_Toc216096173"/>
      <w:bookmarkStart w:id="389" w:name="_Toc221184359"/>
      <w:bookmarkStart w:id="390" w:name="_Toc231215277"/>
      <w:r w:rsidRPr="00662E51">
        <w:t>Background</w:t>
      </w:r>
      <w:bookmarkEnd w:id="387"/>
      <w:bookmarkEnd w:id="388"/>
      <w:bookmarkEnd w:id="389"/>
      <w:r w:rsidR="00836748">
        <w:t>:</w:t>
      </w:r>
      <w:r w:rsidR="00312068" w:rsidRPr="00D83C5D">
        <w:rPr>
          <w:rStyle w:val="FootnoteReference"/>
          <w:u w:val="none"/>
        </w:rPr>
        <w:footnoteReference w:id="51"/>
      </w:r>
      <w:bookmarkEnd w:id="390"/>
    </w:p>
    <w:p w14:paraId="07927BD8" w14:textId="22CA688C" w:rsidR="00A1577B" w:rsidRPr="00662E51" w:rsidRDefault="00A1577B" w:rsidP="00F56305">
      <w:pPr>
        <w:spacing w:line="360" w:lineRule="auto"/>
        <w:ind w:left="0"/>
        <w:rPr>
          <w:szCs w:val="24"/>
        </w:rPr>
      </w:pPr>
      <w:r w:rsidRPr="00662E51">
        <w:rPr>
          <w:szCs w:val="24"/>
        </w:rPr>
        <w:t>In 2015, the London Borough of Haringey announced the Haringey Development Vehicle. The HDV</w:t>
      </w:r>
      <w:r w:rsidR="00303D50" w:rsidRPr="00662E51">
        <w:rPr>
          <w:szCs w:val="24"/>
        </w:rPr>
        <w:t xml:space="preserve"> </w:t>
      </w:r>
      <w:r w:rsidRPr="00662E51">
        <w:rPr>
          <w:szCs w:val="24"/>
        </w:rPr>
        <w:t xml:space="preserve">was intended to redevelop large portions of Haringey’s publicly held assets like housing estates and  council offices </w:t>
      </w:r>
      <w:r w:rsidRPr="00662E51">
        <w:rPr>
          <w:szCs w:val="24"/>
        </w:rPr>
        <w:fldChar w:fldCharType="begin"/>
      </w:r>
      <w:r w:rsidR="008835AB" w:rsidRPr="00662E51">
        <w:rPr>
          <w:szCs w:val="24"/>
        </w:rPr>
        <w:instrText xml:space="preserve"> ADDIN ZOTERO_ITEM CSL_CITATION {"citationID":"98XJ38y3","properties":{"formattedCitation":"(Horton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The Council argued that such a large scheme was necessary to upgrade areas that historically received little investment—and especially so after the 2011 uprisings. This uprising set the stage for the HDV, which was designed to remake Tottenham “from the ground up in the interests of real estate capital, the state and a wealthier class of investors and residents,” or in other words to erase the stain of the 2011 riots </w:t>
      </w:r>
      <w:r w:rsidRPr="00662E51">
        <w:rPr>
          <w:szCs w:val="24"/>
        </w:rPr>
        <w:fldChar w:fldCharType="begin"/>
      </w:r>
      <w:r w:rsidR="008835AB" w:rsidRPr="00662E51">
        <w:rPr>
          <w:szCs w:val="24"/>
        </w:rPr>
        <w:instrText xml:space="preserve"> ADDIN ZOTERO_ITEM CSL_CITATION {"citationID":"ZX2eAVkL","properties":{"formattedCitation":"(Horton and Penny 2024, 1)","plainCitation":"(Horton and Penny 2024, 1)","noteIndex":0},"citationItems":[{"id":5697,"uris":["http://zotero.org/users/8977980/items/ZPYXM7A6"],"itemData":{"id":5697,"type":"book","ISBN":"978-1-80008-710-1","language":"eng","note":"OCLC: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CITY","URL":"https://www.uclpress.co.uk/products/240669","author":[{"family":"Horton","given":"Amy"},{"family":"Penny","given":"Joe"}],"issued":{"date-parts":[["2024"]]}},"locator":"1"}],"schema":"https://github.com/citation-style-language/schema/raw/master/csl-citation.json"} </w:instrText>
      </w:r>
      <w:r w:rsidRPr="00662E51">
        <w:rPr>
          <w:szCs w:val="24"/>
        </w:rPr>
        <w:fldChar w:fldCharType="separate"/>
      </w:r>
      <w:r w:rsidR="0095662D" w:rsidRPr="00662E51">
        <w:t>(Horton and Penny 2024, 1)</w:t>
      </w:r>
      <w:r w:rsidRPr="00662E51">
        <w:rPr>
          <w:szCs w:val="24"/>
        </w:rPr>
        <w:fldChar w:fldCharType="end"/>
      </w:r>
      <w:r w:rsidRPr="00662E51">
        <w:rPr>
          <w:szCs w:val="24"/>
        </w:rPr>
        <w:t>. Its architects (including government and property developers) thus used the 2011 uprisings as a cover to fundamentally change the character of the neighbourhood and to replace the pre-existing community with younger, whiter professionals.</w:t>
      </w:r>
    </w:p>
    <w:p w14:paraId="19A5BCFA" w14:textId="240F062A" w:rsidR="00A1577B" w:rsidRPr="00662E51" w:rsidRDefault="00A1577B" w:rsidP="00E811F2">
      <w:pPr>
        <w:spacing w:line="360" w:lineRule="auto"/>
        <w:ind w:left="0" w:firstLine="720"/>
        <w:rPr>
          <w:szCs w:val="24"/>
        </w:rPr>
      </w:pPr>
      <w:r w:rsidRPr="00662E51">
        <w:rPr>
          <w:szCs w:val="24"/>
        </w:rPr>
        <w:t xml:space="preserve">Activists quickly began a furious campaign to halt the Vehicle in 2015. They considered various avenues, including a legal challenge, but settled on taking over the council by campaigning within the Labour Party councillor selection process. Using the 2018 local elections as a referendum on the scheme, anti-HDV campaigners were successful: of the 57 councillors for re-election, 45 were against the scheme </w:t>
      </w:r>
      <w:r w:rsidRPr="00662E51">
        <w:rPr>
          <w:szCs w:val="24"/>
        </w:rPr>
        <w:fldChar w:fldCharType="begin"/>
      </w:r>
      <w:r w:rsidR="00213B80">
        <w:rPr>
          <w:szCs w:val="24"/>
        </w:rPr>
        <w:instrText xml:space="preserve"> ADDIN ZOTERO_ITEM CSL_CITATION {"citationID":"kzljSBWY","properties":{"formattedCitation":"(R. Mason 2018)","plainCitation":"(R. Mason 2018)","noteIndex":0},"citationItems":[{"id":6841,"uris":["http://zotero.org/users/8977980/items/XMJRGMTG"],"itemData":{"id":6841,"type":"article-newspaper","abstract":"National executive committee asks Haringey to rethink scheme","container-title":"The Guardian","ISSN":"0261-3077","language":"en-GB","section":"UK news","source":"The Guardian","title":"Labour intervenes in council housing plan dispute","URL":"https://www.theguardian.com/uk-news/2018/jan/23/labour-intervenes-in-council-housing-plan-dispute","author":[{"family":"Mason","given":"Rowena"}],"accessed":{"date-parts":[["2025",9,1]]},"issued":{"date-parts":[["2018",1,23]]}}}],"schema":"https://github.com/citation-style-language/schema/raw/master/csl-citation.json"} </w:instrText>
      </w:r>
      <w:r w:rsidRPr="00662E51">
        <w:rPr>
          <w:szCs w:val="24"/>
        </w:rPr>
        <w:fldChar w:fldCharType="separate"/>
      </w:r>
      <w:r w:rsidR="00213B80" w:rsidRPr="00213B80">
        <w:t>(R. Mason 2018)</w:t>
      </w:r>
      <w:r w:rsidRPr="00662E51">
        <w:rPr>
          <w:szCs w:val="24"/>
        </w:rPr>
        <w:fldChar w:fldCharType="end"/>
      </w:r>
      <w:r w:rsidRPr="00662E51">
        <w:rPr>
          <w:szCs w:val="24"/>
        </w:rPr>
        <w:t xml:space="preserve">. However, the Labour Party lost six seats to the Liberal Democrats </w:t>
      </w:r>
      <w:r w:rsidRPr="00662E51">
        <w:rPr>
          <w:szCs w:val="24"/>
        </w:rPr>
        <w:fldChar w:fldCharType="begin"/>
      </w:r>
      <w:r w:rsidR="008835AB" w:rsidRPr="00662E51">
        <w:rPr>
          <w:szCs w:val="24"/>
        </w:rPr>
        <w:instrText xml:space="preserve"> ADDIN ZOTERO_ITEM CSL_CITATION {"citationID":"V2Sx4hBK","properties":{"formattedCitation":"(Horton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The geography of this election reflected historic trends in Haringey, with the eastern half of the borough </w:t>
      </w:r>
      <w:r w:rsidRPr="00662E51">
        <w:rPr>
          <w:szCs w:val="24"/>
        </w:rPr>
        <w:lastRenderedPageBreak/>
        <w:t xml:space="preserve">traditionally a Labour stronghold while the western half has tended to favour the Liberal Democrats </w:t>
      </w:r>
      <w:r w:rsidRPr="00662E51">
        <w:rPr>
          <w:szCs w:val="24"/>
        </w:rPr>
        <w:fldChar w:fldCharType="begin"/>
      </w:r>
      <w:r w:rsidR="008835AB" w:rsidRPr="00662E51">
        <w:rPr>
          <w:szCs w:val="24"/>
        </w:rPr>
        <w:instrText xml:space="preserve"> ADDIN ZOTERO_ITEM CSL_CITATION {"citationID":"EZhoQn9y","properties":{"formattedCitation":"(Dillon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0095662D" w:rsidRPr="00662E51">
        <w:t>(Dillon and Fanning 2011)</w:t>
      </w:r>
      <w:r w:rsidRPr="00662E51">
        <w:rPr>
          <w:szCs w:val="24"/>
        </w:rPr>
        <w:fldChar w:fldCharType="end"/>
      </w:r>
      <w:r w:rsidRPr="00662E51">
        <w:rPr>
          <w:szCs w:val="24"/>
        </w:rPr>
        <w:t>. This electoral tactic has been described in media as a “takeover” of the council by the political group Momentum. Momentum and StopHDV—while both opposed to the Vehicle and shared some membership—were discrete groups with different aims. StopHDV was a local, nonpartisan alliance of community advocates. Momentum is a national, left-wing political organisation aligned with (but separate from) the Labour Party. Although the claim of</w:t>
      </w:r>
      <w:r w:rsidR="00EB0D69">
        <w:rPr>
          <w:szCs w:val="24"/>
        </w:rPr>
        <w:t xml:space="preserve"> a</w:t>
      </w:r>
      <w:r w:rsidRPr="00662E51">
        <w:rPr>
          <w:szCs w:val="24"/>
        </w:rPr>
        <w:t xml:space="preserve"> council hijacked by Momentum activists has been criticised by councillors and activists alike, this narrative remains </w:t>
      </w:r>
      <w:r w:rsidRPr="00662E51">
        <w:rPr>
          <w:szCs w:val="24"/>
        </w:rPr>
        <w:fldChar w:fldCharType="begin"/>
      </w:r>
      <w:r w:rsidR="008835AB" w:rsidRPr="00662E51">
        <w:rPr>
          <w:szCs w:val="24"/>
        </w:rPr>
        <w:instrText xml:space="preserve"> ADDIN ZOTERO_ITEM CSL_CITATION {"citationID":"B1m5Jcb7","properties":{"formattedCitation":"(Dignan 2021; Horton and Penny 2024)","plainCitation":"(Dignan 2021; Horton and Penny 2024)","noteIndex":0},"citationItems":[{"id":2039,"uris":["http://zotero.org/groups/4816685/items/FHF7UGFX"],"itemData":{"id":2039,"type":"article-magazine","abstract":"The party needs to pull together to take on the challenges facing the borough.","container-title":"New Statesman","language":"en-US","title":"Local people stopped the Haringey Development Vehicle - now it’s time for unity","URL":"https://www.newstatesman.com/politics/2018/01/local-people-stopped-haringey-development-vehicle-now-its-time-unity","author":[{"family":"Dignan","given":"Celia"}],"accessed":{"date-parts":[["2022",8,1]]},"issued":{"date-parts":[["2021",6,9]]}}},{"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(Dignan 2021; Horton and Penny 2024)</w:t>
      </w:r>
      <w:r w:rsidRPr="00662E51">
        <w:rPr>
          <w:szCs w:val="24"/>
        </w:rPr>
        <w:fldChar w:fldCharType="end"/>
      </w:r>
      <w:r w:rsidRPr="00662E51">
        <w:rPr>
          <w:szCs w:val="24"/>
        </w:rPr>
        <w:t xml:space="preserve">. The ‘takeover’ strategy was ultimately successful, with enough anti-HDV candidates winning their seats and activists convincing incumbents to flip sides. The scheme was withdrawn by the new council in summer 2018. </w:t>
      </w:r>
    </w:p>
    <w:p w14:paraId="064F7C72" w14:textId="77777777" w:rsidR="00A1577B" w:rsidRPr="00662E51" w:rsidRDefault="00A1577B" w:rsidP="00E811F2">
      <w:pPr>
        <w:spacing w:line="360" w:lineRule="auto"/>
        <w:ind w:left="0"/>
        <w:rPr>
          <w:szCs w:val="24"/>
        </w:rPr>
      </w:pPr>
    </w:p>
    <w:p w14:paraId="4B5C18CD" w14:textId="438D283E" w:rsidR="00E811F2" w:rsidRPr="00662E51" w:rsidRDefault="000F01F0" w:rsidP="00E811F2">
      <w:pPr>
        <w:pStyle w:val="Heading2"/>
      </w:pPr>
      <w:bookmarkStart w:id="391" w:name="_Toc213173971"/>
      <w:bookmarkStart w:id="392" w:name="_Toc216096174"/>
      <w:bookmarkStart w:id="393" w:name="_Toc221184360"/>
      <w:bookmarkStart w:id="394" w:name="_Toc231215278"/>
      <w:r w:rsidRPr="00662E51">
        <w:t>Understanding the State-Party Nexus</w:t>
      </w:r>
      <w:bookmarkEnd w:id="391"/>
      <w:bookmarkEnd w:id="392"/>
      <w:bookmarkEnd w:id="393"/>
      <w:r w:rsidR="00836748">
        <w:t>:</w:t>
      </w:r>
      <w:bookmarkEnd w:id="394"/>
    </w:p>
    <w:p w14:paraId="1339737D" w14:textId="25BF5B6D" w:rsidR="00E811F2" w:rsidRPr="00662E51" w:rsidRDefault="00E811F2" w:rsidP="009E678E">
      <w:pPr>
        <w:spacing w:line="360" w:lineRule="auto"/>
        <w:ind w:left="0"/>
        <w:rPr>
          <w:szCs w:val="24"/>
        </w:rPr>
      </w:pPr>
      <w:r w:rsidRPr="00662E51">
        <w:rPr>
          <w:szCs w:val="24"/>
        </w:rPr>
        <w:t>This section offers a summary of the</w:t>
      </w:r>
      <w:r w:rsidR="00516824">
        <w:rPr>
          <w:szCs w:val="24"/>
        </w:rPr>
        <w:t xml:space="preserve"> chapter’s analytical approach</w:t>
      </w:r>
      <w:r w:rsidRPr="00662E51">
        <w:rPr>
          <w:szCs w:val="24"/>
        </w:rPr>
        <w:t xml:space="preserve">. </w:t>
      </w:r>
      <w:r w:rsidR="00E20D01" w:rsidRPr="00662E51">
        <w:rPr>
          <w:szCs w:val="24"/>
        </w:rPr>
        <w:t>I</w:t>
      </w:r>
      <w:r w:rsidR="009E678E" w:rsidRPr="00662E51">
        <w:rPr>
          <w:szCs w:val="24"/>
        </w:rPr>
        <w:t xml:space="preserve"> chiefly</w:t>
      </w:r>
      <w:r w:rsidR="00E20D01" w:rsidRPr="00662E51">
        <w:rPr>
          <w:szCs w:val="24"/>
        </w:rPr>
        <w:t xml:space="preserve"> d</w:t>
      </w:r>
      <w:r w:rsidR="00420E4C" w:rsidRPr="00662E51">
        <w:rPr>
          <w:szCs w:val="24"/>
        </w:rPr>
        <w:t>raw</w:t>
      </w:r>
      <w:r w:rsidR="00E20D01" w:rsidRPr="00662E51">
        <w:rPr>
          <w:szCs w:val="24"/>
        </w:rPr>
        <w:t xml:space="preserve"> </w:t>
      </w:r>
      <w:r w:rsidR="00420E4C" w:rsidRPr="00662E51">
        <w:rPr>
          <w:szCs w:val="24"/>
        </w:rPr>
        <w:t>on literatures of the relational state, the history of the Labour Party</w:t>
      </w:r>
      <w:r w:rsidR="00E20D01" w:rsidRPr="00662E51">
        <w:rPr>
          <w:szCs w:val="24"/>
        </w:rPr>
        <w:t>, and Badiou’s theories of the event and the state revolutionary</w:t>
      </w:r>
      <w:r w:rsidR="001F6F79">
        <w:rPr>
          <w:szCs w:val="24"/>
        </w:rPr>
        <w:t xml:space="preserve">. The theory presented here restates portions of Chapter 3 while introducing the use of Badiou’s frameworks, which are particularly useful to help interpret the HDV.  </w:t>
      </w:r>
      <w:r w:rsidR="006A5C2B" w:rsidRPr="00662E51">
        <w:rPr>
          <w:szCs w:val="24"/>
        </w:rPr>
        <w:t xml:space="preserve"> </w:t>
      </w:r>
    </w:p>
    <w:p w14:paraId="543668CD" w14:textId="77777777" w:rsidR="009E678E" w:rsidRPr="00662E51" w:rsidRDefault="009E678E" w:rsidP="009E678E">
      <w:pPr>
        <w:spacing w:line="360" w:lineRule="auto"/>
        <w:ind w:left="0"/>
        <w:rPr>
          <w:szCs w:val="24"/>
        </w:rPr>
      </w:pPr>
    </w:p>
    <w:p w14:paraId="05D07595" w14:textId="77777777" w:rsidR="00A1577B" w:rsidRPr="00662E51" w:rsidRDefault="00A1577B" w:rsidP="00E811F2">
      <w:pPr>
        <w:pStyle w:val="Heading3"/>
      </w:pPr>
      <w:bookmarkStart w:id="395" w:name="_Toc213173972"/>
      <w:bookmarkStart w:id="396" w:name="_Toc221184361"/>
      <w:bookmarkStart w:id="397" w:name="_Toc231215279"/>
      <w:r w:rsidRPr="00662E51">
        <w:t>The State and the Party:</w:t>
      </w:r>
      <w:bookmarkEnd w:id="395"/>
      <w:bookmarkEnd w:id="396"/>
      <w:bookmarkEnd w:id="397"/>
    </w:p>
    <w:p w14:paraId="293B9BB7" w14:textId="49564238" w:rsidR="00A1577B" w:rsidRPr="00662E51" w:rsidRDefault="00A1577B" w:rsidP="00E811F2">
      <w:pPr>
        <w:spacing w:line="360" w:lineRule="auto"/>
        <w:ind w:left="0"/>
        <w:rPr>
          <w:szCs w:val="24"/>
        </w:rPr>
      </w:pPr>
      <w:r w:rsidRPr="00662E51">
        <w:rPr>
          <w:szCs w:val="24"/>
        </w:rPr>
        <w:tab/>
        <w:t xml:space="preserve">As indicated above, the present work takes the local state as its primary focus. I draw on the relational approach of scholars like Ormerod </w:t>
      </w:r>
      <w:r w:rsidRPr="00662E51">
        <w:rPr>
          <w:szCs w:val="24"/>
        </w:rPr>
        <w:fldChar w:fldCharType="begin"/>
      </w:r>
      <w:r w:rsidRPr="00662E51">
        <w:rPr>
          <w:szCs w:val="24"/>
        </w:rPr>
        <w:instrText xml:space="preserve"> ADDIN ZOTERO_ITEM CSL_CITATION {"citationID":"KsLP05Fe","properties":{"formattedCitation":"(2021)","plainCitation":"(2021)","noteIndex":0},"citationItems":[{"id":3295,"uris":["http://zotero.org/users/8977980/items/UP7CRFTK"],"itemData":{"id":3295,"type":"article-journal","abstract":"This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abel":"page","suppress-author":true}],"schema":"https://github.com/citation-style-language/schema/raw/master/csl-citation.json"} </w:instrText>
      </w:r>
      <w:r w:rsidRPr="00662E51">
        <w:rPr>
          <w:szCs w:val="24"/>
        </w:rPr>
        <w:fldChar w:fldCharType="separate"/>
      </w:r>
      <w:r w:rsidR="0095662D" w:rsidRPr="00662E51">
        <w:t>(2021)</w:t>
      </w:r>
      <w:r w:rsidRPr="00662E51">
        <w:rPr>
          <w:szCs w:val="24"/>
        </w:rPr>
        <w:fldChar w:fldCharType="end"/>
      </w:r>
      <w:r w:rsidRPr="00662E51">
        <w:rPr>
          <w:szCs w:val="24"/>
        </w:rPr>
        <w:t xml:space="preserve">, Jessop </w:t>
      </w:r>
      <w:r w:rsidRPr="00662E51">
        <w:rPr>
          <w:szCs w:val="24"/>
        </w:rPr>
        <w:fldChar w:fldCharType="begin"/>
      </w:r>
      <w:r w:rsidR="008835AB" w:rsidRPr="00662E51">
        <w:rPr>
          <w:szCs w:val="24"/>
        </w:rPr>
        <w:instrText xml:space="preserve"> ADDIN ZOTERO_ITEM CSL_CITATION {"citationID":"LdLdORl6","properties":{"formattedCitation":"(2016)","plainCitation":"(2016)","noteIndex":0},"citationItems":[{"id":6781,"uris":["http://zotero.org/users/8977980/items/6VKLXRIF"],"itemData":{"id":6781,"type":"book","abstract":"Intro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state","author":[{"family":"Jessop","given":"Bob"}],"issued":{"date-parts":[["2016"]]}},"label":"page","suppress-author":true}],"schema":"https://github.com/citation-style-language/schema/raw/master/csl-citation.json"} </w:instrText>
      </w:r>
      <w:r w:rsidRPr="00662E51">
        <w:rPr>
          <w:szCs w:val="24"/>
        </w:rPr>
        <w:fldChar w:fldCharType="separate"/>
      </w:r>
      <w:r w:rsidR="0095662D" w:rsidRPr="00662E51">
        <w:t>(2016)</w:t>
      </w:r>
      <w:r w:rsidRPr="00662E51">
        <w:rPr>
          <w:szCs w:val="24"/>
        </w:rPr>
        <w:fldChar w:fldCharType="end"/>
      </w:r>
      <w:r w:rsidRPr="00662E51">
        <w:rPr>
          <w:szCs w:val="24"/>
        </w:rPr>
        <w:t xml:space="preserve">, and the London Edinburgh Weekend Return Group </w:t>
      </w:r>
      <w:r w:rsidRPr="00662E51">
        <w:rPr>
          <w:szCs w:val="24"/>
        </w:rPr>
        <w:fldChar w:fldCharType="begin"/>
      </w:r>
      <w:r w:rsidR="008835AB" w:rsidRPr="00662E51">
        <w:rPr>
          <w:szCs w:val="24"/>
        </w:rPr>
        <w:instrText xml:space="preserve"> ADDIN ZOTERO_ITEM CSL_CITATION {"citationID":"N4GQnP3S","properties":{"formattedCitation":"(LEWRG; [1980] 2021)","plainCitation":"(LEWRG; [1980] 2021)","noteIndex":0},"citationItems":[{"id":5812,"uris":["http://zotero.org/users/8977980/items/UXF4CXWN"],"itemData":{"id":5812,"type":"book","abstract":"Originally published as a pamphlet in 1979 and again by Pluto in 1980, In and Against the State brought together questions of working class struggle and state power, exploring how revolutionary socialists might reconcile working in the public sector with their radical politics. Informed by autonomist political ideas and practices that were central to the protests of 1968, the book's authors spoke to a generation of activists wrestling with where to place their energies. Forty years have passed, yet the questions it posed are still to be answered. Socialist activists continue to face a wave of Tory-led austerity measures involving hospital closures, a deepening housing crisis and attacks on social welfare provision. However, a new form of politics is emerging in the shadow of the neoliberal assault, one that may yet provide solutions. This edition includes a new introduction by Seth Wheeler and an interview with John McDonnell that reflect on the continuing relevance of In and Against the State and the questions it raises","edition":"New edition","ISBN":"978-0-7453-4181-1","language":"eng","number-of-pages":"154","publisher":"Pluto Press","publisher-place":"London","source":"K10plus ISBN","title":"In and against the state: discussion notes for socialists","title-short":"In and against the state","author":[{"literal":"London Edinburgh Weekend Return Group"}],"editor":[{"family":"Wheeler","given":"Seth"}],"issued":{"date-parts":[["2021"]]},"original-date":{"date-parts":[["1980"]]}},"label":"page","suppress-author":true,"prefix":"LEWRG; "}],"schema":"https://github.com/citation-style-language/schema/raw/master/csl-citation.json"} </w:instrText>
      </w:r>
      <w:r w:rsidRPr="00662E51">
        <w:rPr>
          <w:szCs w:val="24"/>
        </w:rPr>
        <w:fldChar w:fldCharType="separate"/>
      </w:r>
      <w:r w:rsidR="0095662D" w:rsidRPr="00662E51">
        <w:t>(LEWRG; [1980] 2021)</w:t>
      </w:r>
      <w:r w:rsidRPr="00662E51">
        <w:rPr>
          <w:szCs w:val="24"/>
        </w:rPr>
        <w:fldChar w:fldCharType="end"/>
      </w:r>
      <w:r w:rsidRPr="00662E51">
        <w:rPr>
          <w:szCs w:val="24"/>
        </w:rPr>
        <w:t xml:space="preserve">. LEWRG </w:t>
      </w:r>
      <w:r w:rsidRPr="00662E51">
        <w:rPr>
          <w:szCs w:val="24"/>
        </w:rPr>
        <w:fldChar w:fldCharType="begin"/>
      </w:r>
      <w:r w:rsidR="008835AB" w:rsidRPr="00662E51">
        <w:rPr>
          <w:szCs w:val="24"/>
        </w:rPr>
        <w:instrText xml:space="preserve"> ADDIN ZOTERO_ITEM CSL_CITATION {"citationID":"hOSwX577","properties":{"formattedCitation":"([1980] 2021)","plainCitation":"([1980] 2021)","noteIndex":0},"citationItems":[{"id":5812,"uris":["http://zotero.org/users/8977980/items/UXF4CXWN"],"itemData":{"id":5812,"type":"book","abstract":"Originally published as a pamphlet in 1979 and again by Pluto in 1980, In and Against the State brought together questions of working class struggle and state power, exploring how revolutionary socialists might reconcile working in the public sector with their radical politics. Informed by autonomist political ideas and practices that were central to the protests of 1968, the book's authors spoke to a generation of activists wrestling with where to place their energies. Forty years have passed, yet the questions it posed are still to be answered. Socialist activists continue to face a wave of Tory-led austerity measures involving hospital closures, a deepening housing crisis and attacks on social welfare provision. However, a new form of politics is emerging in the shadow of the neoliberal assault, one that may yet provide solutions. This edition includes a new introduction by Seth Wheeler and an interview with John McDonnell that reflect on the continuing relevance of In and Against the State and the questions it raises","edition":"New edition","ISBN":"978-0-7453-4181-1","language":"eng","number-of-pages":"154","publisher":"Pluto Press","publisher-place":"London","source":"K10plus ISBN","title":"In and against the state: discussion notes for socialists","title-short":"In and against the state","author":[{"literal":"London Edinburgh Weekend Return Group"}],"editor":[{"family":"Wheeler","given":"Seth"}],"issued":{"date-parts":[["2021"]]},"original-date":{"date-parts":[["1980"]]}},"label":"page","suppress-author":true}],"schema":"https://github.com/citation-style-language/schema/raw/master/csl-citation.json"} </w:instrText>
      </w:r>
      <w:r w:rsidRPr="00662E51">
        <w:rPr>
          <w:szCs w:val="24"/>
        </w:rPr>
        <w:fldChar w:fldCharType="separate"/>
      </w:r>
      <w:r w:rsidR="0095662D" w:rsidRPr="00662E51">
        <w:t>([1980] 2021)</w:t>
      </w:r>
      <w:r w:rsidRPr="00662E51">
        <w:rPr>
          <w:szCs w:val="24"/>
        </w:rPr>
        <w:fldChar w:fldCharType="end"/>
      </w:r>
      <w:r w:rsidRPr="00662E51">
        <w:rPr>
          <w:szCs w:val="24"/>
        </w:rPr>
        <w:t xml:space="preserve"> described the state as both a mechanism for policy delivery and composed of relationships between individuals. The two are mutually reinforcing and intertwined. This framework reflects Jessop’s </w:t>
      </w:r>
      <w:r w:rsidRPr="00662E51">
        <w:rPr>
          <w:szCs w:val="24"/>
        </w:rPr>
        <w:fldChar w:fldCharType="begin"/>
      </w:r>
      <w:r w:rsidR="008835AB" w:rsidRPr="00662E51">
        <w:rPr>
          <w:szCs w:val="24"/>
        </w:rPr>
        <w:instrText xml:space="preserve"> ADDIN ZOTERO_ITEM CSL_CITATION {"citationID":"fLqwGjcT","properties":{"formattedCitation":"(2016)","plainCitation":"(2016)","noteIndex":0},"citationItems":[{"id":6781,"uris":["http://zotero.org/users/8977980/items/6VKLXRIF"],"itemData":{"id":6781,"type":"book","abstract":"Intro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state","author":[{"family":"Jessop","given":"Bob"}],"issued":{"date-parts":[["2016"]]}},"label":"page","suppress-author":true}],"schema":"https://github.com/citation-style-language/schema/raw/master/csl-citation.json"} </w:instrText>
      </w:r>
      <w:r w:rsidRPr="00662E51">
        <w:rPr>
          <w:szCs w:val="24"/>
        </w:rPr>
        <w:fldChar w:fldCharType="separate"/>
      </w:r>
      <w:r w:rsidR="0095662D" w:rsidRPr="00662E51">
        <w:t>(2016)</w:t>
      </w:r>
      <w:r w:rsidRPr="00662E51">
        <w:rPr>
          <w:szCs w:val="24"/>
        </w:rPr>
        <w:fldChar w:fldCharType="end"/>
      </w:r>
      <w:r w:rsidRPr="00662E51">
        <w:rPr>
          <w:szCs w:val="24"/>
        </w:rPr>
        <w:t xml:space="preserve"> strategic-relational approach, which reconceptualises the state as a site of political jostling and agonism—through which groups and individuals exercise power vis-à-vis others. However, the state itself does not unidirectionally exert power. As such, the state is embedded in, but ultimately inseverable from, the wider political-economic system </w:t>
      </w:r>
      <w:r w:rsidRPr="00662E51">
        <w:rPr>
          <w:szCs w:val="24"/>
        </w:rPr>
        <w:fldChar w:fldCharType="begin"/>
      </w:r>
      <w:r w:rsidR="008835AB" w:rsidRPr="00662E51">
        <w:rPr>
          <w:szCs w:val="24"/>
        </w:rPr>
        <w:instrText xml:space="preserve"> ADDIN ZOTERO_ITEM CSL_CITATION {"citationID":"K0Iv99Eq","properties":{"formattedCitation":"(Jessop 2016; Ormerod 2021)","plainCitation":"(Jessop 2016; Ormerod 2021)","noteIndex":0},"citationItems":[{"id":6781,"uris":["http://zotero.org/users/8977980/items/6VKLXRIF"],"itemData":{"id":6781,"type":"book","abstract":"Intro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95662D" w:rsidRPr="00662E51">
        <w:t>(Jessop 2016; Ormerod 2021)</w:t>
      </w:r>
      <w:r w:rsidRPr="00662E51">
        <w:rPr>
          <w:szCs w:val="24"/>
        </w:rPr>
        <w:fldChar w:fldCharType="end"/>
      </w:r>
      <w:r w:rsidRPr="00662E51">
        <w:rPr>
          <w:szCs w:val="24"/>
        </w:rPr>
        <w:t>. Treating the state as a relation—</w:t>
      </w:r>
      <w:r w:rsidRPr="00662E51">
        <w:rPr>
          <w:szCs w:val="24"/>
        </w:rPr>
        <w:lastRenderedPageBreak/>
        <w:t xml:space="preserve">instead of as a concrete and stand-alone object—thus attends to the state’s complicated nature without wholly flattening it. </w:t>
      </w:r>
    </w:p>
    <w:p w14:paraId="6ED17300" w14:textId="60078A53" w:rsidR="00A1577B" w:rsidRPr="00662E51" w:rsidRDefault="00A1577B" w:rsidP="00F56305">
      <w:pPr>
        <w:spacing w:line="360" w:lineRule="auto"/>
        <w:ind w:left="0"/>
        <w:rPr>
          <w:szCs w:val="24"/>
        </w:rPr>
      </w:pPr>
      <w:r w:rsidRPr="00662E51">
        <w:rPr>
          <w:szCs w:val="24"/>
        </w:rPr>
        <w:tab/>
        <w:t xml:space="preserve">I </w:t>
      </w:r>
      <w:r w:rsidR="00A93A2D">
        <w:rPr>
          <w:szCs w:val="24"/>
        </w:rPr>
        <w:t xml:space="preserve">chiefly </w:t>
      </w:r>
      <w:r w:rsidRPr="00662E51">
        <w:rPr>
          <w:szCs w:val="24"/>
        </w:rPr>
        <w:t xml:space="preserve">draw on Jessop’s </w:t>
      </w:r>
      <w:r w:rsidRPr="00662E51">
        <w:rPr>
          <w:szCs w:val="24"/>
        </w:rPr>
        <w:fldChar w:fldCharType="begin"/>
      </w:r>
      <w:r w:rsidR="008835AB" w:rsidRPr="00662E51">
        <w:rPr>
          <w:szCs w:val="24"/>
        </w:rPr>
        <w:instrText xml:space="preserve"> ADDIN ZOTERO_ITEM CSL_CITATION {"citationID":"NROFtc1F","properties":{"formattedCitation":"(2016)","plainCitation":"(2016)","noteIndex":0},"citationItems":[{"id":6781,"uris":["http://zotero.org/users/8977980/items/6VKLXRIF"],"itemData":{"id":6781,"type":"book","abstract":"Intro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state","author":[{"family":"Jessop","given":"Bob"}],"issued":{"date-parts":[["2016"]]}},"label":"page","suppress-author":true}],"schema":"https://github.com/citation-style-language/schema/raw/master/csl-citation.json"} </w:instrText>
      </w:r>
      <w:r w:rsidRPr="00662E51">
        <w:rPr>
          <w:szCs w:val="24"/>
        </w:rPr>
        <w:fldChar w:fldCharType="separate"/>
      </w:r>
      <w:r w:rsidR="0095662D" w:rsidRPr="00662E51">
        <w:t>(2016)</w:t>
      </w:r>
      <w:r w:rsidRPr="00662E51">
        <w:rPr>
          <w:szCs w:val="24"/>
        </w:rPr>
        <w:fldChar w:fldCharType="end"/>
      </w:r>
      <w:r w:rsidRPr="00662E51">
        <w:rPr>
          <w:szCs w:val="24"/>
        </w:rPr>
        <w:t xml:space="preserve"> perspective of the party as political organisations that mediate between the state and civil society by organising the social base of the state. Parties also translate policies into platforms, reducing the complexity of politics. The literature often privileges the national scale, sidelining other scales </w:t>
      </w:r>
      <w:r w:rsidRPr="00662E51">
        <w:rPr>
          <w:szCs w:val="24"/>
        </w:rPr>
        <w:fldChar w:fldCharType="begin"/>
      </w:r>
      <w:r w:rsidR="001B2CAA">
        <w:rPr>
          <w:szCs w:val="24"/>
        </w:rPr>
        <w:instrText xml:space="preserve"> ADDIN ZOTERO_ITEM CSL_CITATION {"citationID":"ocUPz0qg","properties":{"formattedCitation":"(Cockburn 1980; Copus 2004, 2015; Halvorsen 2020; J. Scott and Wills 2017)","plainCitation":"(Cockburn 1980; Copus 2004, 2015; Halvorsen 2020; J. Scott and Wills 2017)","noteIndex":0},"citationItems":[{"id":5811,"uris":["http://zotero.org/users/8977980/items/U5ZYVUT5"],"itemData":{"id":5811,"type":"book","edition":"Repr","ISBN":"978-0-904383-48-5","language":"eng","number-of-pages":"207","publisher":"Pluto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Councillors","author":[{"family":"Copus","given":"Colin"}],"issued":{"date-parts":[["2015"]]}}},{"id":5547,"uris":["http://zotero.org/users/8977980/items/5PSXDI9P"],"itemData":{"id":5547,"type":"article-journal","abstract":"How and why does geography inform the organisational strategies of political parties?\n              Encuentro por la Democracia y la Equidad\n              (Encounter for Democracy and Equity, hereafter EDE) is a centre</w:instrText>
      </w:r>
      <w:r w:rsidR="001B2CAA">
        <w:rPr>
          <w:rFonts w:ascii="Cambria Math" w:hAnsi="Cambria Math" w:cs="Cambria Math"/>
          <w:szCs w:val="24"/>
        </w:rPr>
        <w:instrText>‐</w:instrText>
      </w:r>
      <w:r w:rsidR="001B2CAA">
        <w:rPr>
          <w:szCs w:val="24"/>
        </w:rPr>
        <w:instrText>left Argentine political party that, since arriving in Buenos Aires in 2008, quickly became one of the largest oppositional parties in the city in terms of its activist base and electoral representation. This was achieved by explicitly prioritising a territorial organisational strategy: building the party at the scale of the neighbourhood by opening branches, accumulating activists and constructing linkages with civil society. Through a qualitative analysis of EDE's organisational strategy over 10 years (2008–2018), the paper proposes four dimensions for understanding the relationship between grassroots territorial organising and party strategy: party</w:instrText>
      </w:r>
      <w:r w:rsidR="001B2CAA">
        <w:rPr>
          <w:rFonts w:ascii="Cambria Math" w:hAnsi="Cambria Math" w:cs="Cambria Math"/>
          <w:szCs w:val="24"/>
        </w:rPr>
        <w:instrText>‐</w:instrText>
      </w:r>
      <w:r w:rsidR="001B2CAA">
        <w:rPr>
          <w:szCs w:val="24"/>
        </w:rPr>
        <w:instrText>building; electoral success; democratic linkages; and alliance building. The findings are of relevance not only to party</w:instrText>
      </w:r>
      <w:r w:rsidR="001B2CAA">
        <w:rPr>
          <w:rFonts w:ascii="Cambria Math" w:hAnsi="Cambria Math" w:cs="Cambria Math"/>
          <w:szCs w:val="24"/>
        </w:rPr>
        <w:instrText>‐</w:instrText>
      </w:r>
      <w:r w:rsidR="001B2CAA">
        <w:rPr>
          <w:szCs w:val="24"/>
        </w:rPr>
        <w:instrText>building in Latin America but also to the recent surge of territorial organising in parties in Europe. The paper makes three contributions to geographical literature. First, it adds to limited Anglophone geographical engagements with Latin American electoral and party politics by highlighting the centrality of spatiality to party</w:instrText>
      </w:r>
      <w:r w:rsidR="001B2CAA">
        <w:rPr>
          <w:rFonts w:ascii="Cambria Math" w:hAnsi="Cambria Math" w:cs="Cambria Math"/>
          <w:szCs w:val="24"/>
        </w:rPr>
        <w:instrText>‐</w:instrText>
      </w:r>
      <w:r w:rsidR="001B2CAA">
        <w:rPr>
          <w:szCs w:val="24"/>
        </w:rPr>
        <w:instrText>building. Second, it emphasises sub</w:instrText>
      </w:r>
      <w:r w:rsidR="001B2CAA">
        <w:rPr>
          <w:rFonts w:ascii="Cambria Math" w:hAnsi="Cambria Math" w:cs="Cambria Math"/>
          <w:szCs w:val="24"/>
        </w:rPr>
        <w:instrText>‐</w:instrText>
      </w:r>
      <w:r w:rsidR="001B2CAA">
        <w:rPr>
          <w:szCs w:val="24"/>
        </w:rPr>
        <w:instrText xml:space="preserve">national dynamics of party organising, contributing to a dismantling of methodological state centrism that pervades party scholarship. Third, it develops a geographical analytical approach to party organisation that demonstrates how sociospatial relations constitute parties' unfolding relations with the state and civil society.\n            \n          , \n            How and why does geography inform the organisational strategies of political parties? The paper proposes a model for analysing the geography of political parties by focusing on the relationship between territory and party organisation. It draws on empirical work in Buenos Aires to outline four dimensions through which parties strategically organise in and through territory in order to pursue their objectives.","container-title":"Transactions of the Institute of British Geographers","DOI":"10.1111/tran.12343","ISSN":"0020-2754, 1475-5661","issue":"2","journalAbbreviation":"Trans Inst British Geog","language":"en","page":"242-255","source":"DOI.org (Crossref)","title":"The geography of political parties: Territory and organisational strategies in Buenos Aires","title-short":"The geography of political parties","volume":"45","author":[{"family":"Halvorsen","given":"Sam"}],"issued":{"date-parts":[["2020",6]]}}},{"id":"n0Saldgp/SMymUFlz","uris":["http://zotero.org/users/8977980/items/L74AUTZ7"],"itemData":{"id":"jliyuaB1/RjbQS3XU","type":"article-journal","abstract":"This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Pr="00662E51">
        <w:rPr>
          <w:szCs w:val="24"/>
        </w:rPr>
        <w:fldChar w:fldCharType="separate"/>
      </w:r>
      <w:r w:rsidR="00213B80" w:rsidRPr="00213B80">
        <w:t>(Cockburn 1980; Copus 2004, 2015; Halvorsen 2020; J. Scott and Wills 2017)</w:t>
      </w:r>
      <w:r w:rsidRPr="00662E51">
        <w:rPr>
          <w:szCs w:val="24"/>
        </w:rPr>
        <w:fldChar w:fldCharType="end"/>
      </w:r>
      <w:r w:rsidRPr="00662E51">
        <w:rPr>
          <w:szCs w:val="24"/>
        </w:rPr>
        <w:t>. The focus here, then, is on local political parties</w:t>
      </w:r>
      <w:r w:rsidR="008212AD">
        <w:rPr>
          <w:szCs w:val="24"/>
        </w:rPr>
        <w:t>—</w:t>
      </w:r>
      <w:r w:rsidRPr="00662E51">
        <w:rPr>
          <w:szCs w:val="24"/>
        </w:rPr>
        <w:t>specifically the Labour Party. It is the historic ruling party in Haringey and therefore has significant decision-making power</w:t>
      </w:r>
      <w:r w:rsidR="00DE52C8">
        <w:rPr>
          <w:szCs w:val="24"/>
        </w:rPr>
        <w:t>, as described in Chapter 1</w:t>
      </w:r>
      <w:r w:rsidRPr="00662E51">
        <w:rPr>
          <w:szCs w:val="24"/>
        </w:rPr>
        <w:t xml:space="preserve"> </w:t>
      </w:r>
      <w:r w:rsidRPr="00662E51">
        <w:rPr>
          <w:szCs w:val="24"/>
        </w:rPr>
        <w:fldChar w:fldCharType="begin"/>
      </w:r>
      <w:r w:rsidR="008835AB" w:rsidRPr="00662E51">
        <w:rPr>
          <w:szCs w:val="24"/>
        </w:rPr>
        <w:instrText xml:space="preserve"> ADDIN ZOTERO_ITEM CSL_CITATION {"citationID":"czGTYyVr","properties":{"formattedCitation":"(Dillon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0095662D" w:rsidRPr="00662E51">
        <w:t>(Dillon and Fanning 2011)</w:t>
      </w:r>
      <w:r w:rsidRPr="00662E51">
        <w:rPr>
          <w:szCs w:val="24"/>
        </w:rPr>
        <w:fldChar w:fldCharType="end"/>
      </w:r>
      <w:r w:rsidRPr="00662E51">
        <w:rPr>
          <w:szCs w:val="24"/>
        </w:rPr>
        <w:t xml:space="preserve">. Copus’s </w:t>
      </w:r>
      <w:r w:rsidRPr="00662E51">
        <w:rPr>
          <w:szCs w:val="24"/>
        </w:rPr>
        <w:fldChar w:fldCharType="begin"/>
      </w:r>
      <w:r w:rsidR="008835AB" w:rsidRPr="00662E51">
        <w:rPr>
          <w:szCs w:val="24"/>
        </w:rPr>
        <w:instrText xml:space="preserve"> ADDIN ZOTERO_ITEM CSL_CITATION {"citationID":"yiChBPNh","properties":{"formattedCitation":"(2004)","plainCitation":"(2004)","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Government","author":[{"family":"Copus","given":"Colin"}],"issued":{"date-parts":[["2004"]]}},"label":"page","suppress-author":true}],"schema":"https://github.com/citation-style-language/schema/raw/master/csl-citation.json"} </w:instrText>
      </w:r>
      <w:r w:rsidRPr="00662E51">
        <w:rPr>
          <w:szCs w:val="24"/>
        </w:rPr>
        <w:fldChar w:fldCharType="separate"/>
      </w:r>
      <w:r w:rsidR="0095662D" w:rsidRPr="00662E51">
        <w:t>(2004)</w:t>
      </w:r>
      <w:r w:rsidRPr="00662E51">
        <w:rPr>
          <w:szCs w:val="24"/>
        </w:rPr>
        <w:fldChar w:fldCharType="end"/>
      </w:r>
      <w:r w:rsidRPr="00662E51">
        <w:rPr>
          <w:szCs w:val="24"/>
        </w:rPr>
        <w:t xml:space="preserve"> in-depth study on councillors and local politics reveals a messy, interlocking, and scalar party system. Loci of power fluctuate depending on the nature of the political-economic context, the party group within a council (a united bloc of councillors from one political party), and the balance of the council. The scaled nature of political parties means that there is frequently a divergence in priorities between national leaders and local members. </w:t>
      </w:r>
      <w:r w:rsidR="00F430A8" w:rsidRPr="00662E51">
        <w:rPr>
          <w:szCs w:val="24"/>
        </w:rPr>
        <w:t>Yet</w:t>
      </w:r>
      <w:r w:rsidRPr="00662E51">
        <w:rPr>
          <w:szCs w:val="24"/>
        </w:rPr>
        <w:t xml:space="preserve"> the institutional and structural power of party leaders means that there is a downward pressure on the local party to comply with the national’s directives, even when there is significant opposition</w:t>
      </w:r>
      <w:r w:rsidR="0007562D" w:rsidRPr="00662E51">
        <w:rPr>
          <w:szCs w:val="24"/>
        </w:rPr>
        <w:t>. This is partially because of the strictly hierarchical and tiered system of party</w:t>
      </w:r>
      <w:r w:rsidR="00764258" w:rsidRPr="00662E51">
        <w:rPr>
          <w:szCs w:val="24"/>
        </w:rPr>
        <w:t>. It is also a result of the party’s governance structure that privileges parliamentary politics instead of the grassroots</w:t>
      </w:r>
      <w:r w:rsidRPr="00662E51">
        <w:rPr>
          <w:szCs w:val="24"/>
        </w:rPr>
        <w:t xml:space="preserve"> </w:t>
      </w:r>
      <w:r w:rsidRPr="00662E51">
        <w:rPr>
          <w:szCs w:val="24"/>
        </w:rPr>
        <w:fldChar w:fldCharType="begin"/>
      </w:r>
      <w:r w:rsidR="001B2CAA">
        <w:rPr>
          <w:szCs w:val="24"/>
        </w:rPr>
        <w:instrText xml:space="preserve"> ADDIN ZOTERO_ITEM CSL_CITATION {"citationID":"Ec5YPVh2","properties":{"formattedCitation":"(Gilbert 2023; J. Scott and Wills 2017)","plainCitation":"(Gilbert 2023; J. Scott and Wills 2017)","noteIndex":0},"citationItems":[{"id":5842,"uris":["http://zotero.org/users/8977980/items/QZRKMUSZ"],"itemData":{"id":5842,"type":"article-newspaper","abstract":"In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n0Saldgp/SMymUFlz","uris":["http://zotero.org/users/8977980/items/L74AUTZ7"],"itemData":{"id":"kHToI8xs/1Oi58UAm","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Pr="00662E51">
        <w:rPr>
          <w:szCs w:val="24"/>
        </w:rPr>
        <w:fldChar w:fldCharType="separate"/>
      </w:r>
      <w:r w:rsidR="00213B80" w:rsidRPr="00213B80">
        <w:t>(Gilbert 2023; J. Scott and Wills 2017)</w:t>
      </w:r>
      <w:r w:rsidRPr="00662E51">
        <w:rPr>
          <w:szCs w:val="24"/>
        </w:rPr>
        <w:fldChar w:fldCharType="end"/>
      </w:r>
      <w:r w:rsidRPr="00662E51">
        <w:rPr>
          <w:szCs w:val="24"/>
        </w:rPr>
        <w:t xml:space="preserve">. Consequently, councillors </w:t>
      </w:r>
      <w:r w:rsidR="002A4484" w:rsidRPr="00662E51">
        <w:rPr>
          <w:szCs w:val="24"/>
        </w:rPr>
        <w:t xml:space="preserve">typically prioritise the demands of the party (in particular, the national party) above those of their constituents </w:t>
      </w:r>
      <w:r w:rsidR="00E01A3E" w:rsidRPr="00662E51">
        <w:rPr>
          <w:szCs w:val="24"/>
        </w:rPr>
        <w:fldChar w:fldCharType="begin"/>
      </w:r>
      <w:r w:rsidR="00F15CF8">
        <w:rPr>
          <w:szCs w:val="24"/>
        </w:rPr>
        <w:instrText xml:space="preserve"> ADDIN ZOTERO_ITEM CSL_CITATION {"citationID":"lc99m00U","properties":{"formattedCitation":"(Copus 2004, 2015)","plainCitation":"(Copus 2004, 2015)","noteIndex":0},"citationItems":[{"id":6766,"uris":["http://zotero.org/users/8977980/items/22FQIFRM"],"itemData":{"id":6766,"type":"book","ISBN":"978-0-7190-6635-1","language":"eng","number-of-pages":"313","publisher":"Manchester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Councillors","author":[{"family":"Copus","given":"Colin"}],"issued":{"date-parts":[["2015"]]}}}],"schema":"https://github.com/citation-style-language/schema/raw/master/csl-citation.json"} </w:instrText>
      </w:r>
      <w:r w:rsidR="00E01A3E" w:rsidRPr="00662E51">
        <w:rPr>
          <w:szCs w:val="24"/>
        </w:rPr>
        <w:fldChar w:fldCharType="separate"/>
      </w:r>
      <w:r w:rsidR="00F15CF8" w:rsidRPr="00F15CF8">
        <w:t>(Copus 2004, 2015)</w:t>
      </w:r>
      <w:r w:rsidR="00E01A3E" w:rsidRPr="00662E51">
        <w:rPr>
          <w:szCs w:val="24"/>
        </w:rPr>
        <w:fldChar w:fldCharType="end"/>
      </w:r>
      <w:r w:rsidR="002A4484" w:rsidRPr="00662E51">
        <w:rPr>
          <w:szCs w:val="24"/>
        </w:rPr>
        <w:t xml:space="preserve">. </w:t>
      </w:r>
      <w:r w:rsidRPr="00662E51">
        <w:rPr>
          <w:szCs w:val="24"/>
        </w:rPr>
        <w:t>As is demonstrated below, many interviewees highlighted the significance of these personal relationships to the failure of the HDV and other policy proposals.</w:t>
      </w:r>
    </w:p>
    <w:p w14:paraId="7435B7B0" w14:textId="23DDA545" w:rsidR="00A1577B" w:rsidRPr="00662E51" w:rsidRDefault="00A1577B" w:rsidP="00F56305">
      <w:pPr>
        <w:spacing w:line="360" w:lineRule="auto"/>
        <w:ind w:left="0"/>
        <w:rPr>
          <w:szCs w:val="24"/>
        </w:rPr>
      </w:pPr>
      <w:r w:rsidRPr="00662E51">
        <w:rPr>
          <w:szCs w:val="24"/>
        </w:rPr>
        <w:tab/>
        <w:t xml:space="preserve">Born out of a collection of socialist organisations and trade unions, the Labour Party has always sat uncomfortably as a broad coalition of social-democratic and socialist politics </w:t>
      </w:r>
      <w:r w:rsidRPr="00662E51">
        <w:rPr>
          <w:szCs w:val="24"/>
        </w:rPr>
        <w:fldChar w:fldCharType="begin"/>
      </w:r>
      <w:r w:rsidR="001B2CAA">
        <w:rPr>
          <w:szCs w:val="24"/>
        </w:rPr>
        <w:instrText xml:space="preserve"> ADDIN ZOTERO_ITEM CSL_CITATION {"citationID":"CneGdEOO","properties":{"formattedCitation":"(Cockburn 1980; Gilbert 2023; J. Scott and Wills 2017; B. Ward 2022)","plainCitation":"(Cockburn 1980; Gilbert 2023; J. Scott and Wills 2017; B. Ward 2022)","noteIndex":0},"citationItems":[{"id":5811,"uris":["http://zotero.org/users/8977980/items/U5ZYVUT5"],"itemData":{"id":5811,"type":"book","edition":"Repr","ISBN":"978-0-904383-48-5","language":"eng","number-of-pages":"207","publisher":"Pluto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n0Saldgp/SMymUFlz","uris":["http://zotero.org/users/8977980/items/L74AUTZ7"],"itemData":{"id":"kHToI8xs/1Oi58UAm","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party","volume":"60","author":[{"family":"Scott","given":"James"},{"family":"Wills","given":"Jane"}],"issued":{"date-parts":[["2017",9,1]]}}},{"id":5841,"uris":["http://zotero.org/users/8977980/items/ALM77PTV"],"itemData":{"id":5841,"type":"article-journal","abstract":"During the early years of Jeremy Corbyn’s tenure as Labour leader, promises of wide sweeping party reform, in particular members-led democratisation, were central to fortifying his support within the extra-parliamentary party. However, by the time Corbyn’s leadership came to a close, very few reforms had been achieved. This article argues that whilst the Corbyn leadership was initially drawn towards a more grassroots vision of rank-and-file democracy, this came into tension with the demands facing the leadership in the context of intense intra-party factionalism. In a Brexit-dominated political landscape, both the normative and actual constraints facing internal party democracy meant that major party reforms were increasingly sidelined. Going forward, this has renewed important questions surrounding if, and how, a more direct vision of democracy is possible within a deeply institutionalised centre-left party.","container-title":"British Politics","DOI":"10.1057/s41293-021-00158-8","ISSN":"1746-9198","issue":"3","journalAbbreviation":"Br Polit","language":"en","page":"353-365","source":"Springer Link","title":"Managing democracy in Corbyn’s Labour Party: faction-fighting or movement-building?","title-short":"Managing democracy in Corbyn’s Labour Party","volume":"17","author":[{"family":"Ward","given":"Bradley"}],"issued":{"date-parts":[["2022",9,1]]}}}],"schema":"https://github.com/citation-style-language/schema/raw/master/csl-citation.json"} </w:instrText>
      </w:r>
      <w:r w:rsidRPr="00662E51">
        <w:rPr>
          <w:szCs w:val="24"/>
        </w:rPr>
        <w:fldChar w:fldCharType="separate"/>
      </w:r>
      <w:r w:rsidR="00213B80" w:rsidRPr="00213B80">
        <w:t>(Cockburn 1980; Gilbert 2023; J. Scott and Wills 2017; B. Ward 2022)</w:t>
      </w:r>
      <w:r w:rsidRPr="00662E51">
        <w:rPr>
          <w:szCs w:val="24"/>
        </w:rPr>
        <w:fldChar w:fldCharType="end"/>
      </w:r>
      <w:r w:rsidRPr="00662E51">
        <w:rPr>
          <w:szCs w:val="24"/>
        </w:rPr>
        <w:t xml:space="preserve">. </w:t>
      </w:r>
      <w:r w:rsidR="005661F8" w:rsidRPr="00662E51">
        <w:rPr>
          <w:szCs w:val="24"/>
        </w:rPr>
        <w:t>Consequently,</w:t>
      </w:r>
      <w:r w:rsidRPr="00662E51">
        <w:rPr>
          <w:szCs w:val="24"/>
        </w:rPr>
        <w:t xml:space="preserve"> Labour-run councils are depicted as cliquish, closed, and unrepresentative of either their nominal constituents or even other members of the party. </w:t>
      </w:r>
      <w:r w:rsidR="00506E08" w:rsidRPr="00662E51">
        <w:rPr>
          <w:szCs w:val="24"/>
        </w:rPr>
        <w:t>Such depictions reflect Miliband’s</w:t>
      </w:r>
      <w:r w:rsidR="00E509D9" w:rsidRPr="00662E51">
        <w:rPr>
          <w:szCs w:val="24"/>
        </w:rPr>
        <w:t xml:space="preserve"> </w:t>
      </w:r>
      <w:r w:rsidR="00E509D9" w:rsidRPr="00662E51">
        <w:rPr>
          <w:szCs w:val="24"/>
        </w:rPr>
        <w:fldChar w:fldCharType="begin"/>
      </w:r>
      <w:r w:rsidR="008835AB" w:rsidRPr="00662E51">
        <w:rPr>
          <w:szCs w:val="24"/>
        </w:rPr>
        <w:instrText xml:space="preserve"> ADDIN ZOTERO_ITEM CSL_CITATION {"citationID":"tMtGYoxj","properties":{"formattedCitation":"(1973)","plainCitation":"(1973)","noteIndex":0},"citationItems":[{"id":6775,"uris":["http://zotero.org/users/8977980/items/WA9H2UEI"],"itemData":{"id":6775,"type":"book","call-number":"324.24107 MIL","edition":"2d ed.","ISBN":"978-0-85036-135-3","language":"eng","number-of-pages":"384","publisher":"Merlin Press","publisher-place":"London","source":"discover.durham.ac.uk","title":"Parliamentary socialism: a study in the politics of Labour","title-short":"Parliamentary socialism","author":[{"family":"Miliband","given":"Ralph"}],"issued":{"date-parts":[["1973"]]}},"label":"page","suppress-author":true}],"schema":"https://github.com/citation-style-language/schema/raw/master/csl-citation.json"} </w:instrText>
      </w:r>
      <w:r w:rsidR="00E509D9" w:rsidRPr="00662E51">
        <w:rPr>
          <w:szCs w:val="24"/>
        </w:rPr>
        <w:fldChar w:fldCharType="separate"/>
      </w:r>
      <w:r w:rsidR="00E509D9" w:rsidRPr="00662E51">
        <w:t>(1973)</w:t>
      </w:r>
      <w:r w:rsidR="00E509D9" w:rsidRPr="00662E51">
        <w:rPr>
          <w:szCs w:val="24"/>
        </w:rPr>
        <w:fldChar w:fldCharType="end"/>
      </w:r>
      <w:r w:rsidR="00506E08" w:rsidRPr="00662E51">
        <w:rPr>
          <w:szCs w:val="24"/>
        </w:rPr>
        <w:t xml:space="preserve"> view that the </w:t>
      </w:r>
      <w:r w:rsidR="00506E08" w:rsidRPr="00662E51">
        <w:rPr>
          <w:szCs w:val="24"/>
        </w:rPr>
        <w:lastRenderedPageBreak/>
        <w:t xml:space="preserve">Labour Party is </w:t>
      </w:r>
      <w:r w:rsidR="009544F0" w:rsidRPr="00662E51">
        <w:rPr>
          <w:szCs w:val="24"/>
        </w:rPr>
        <w:t xml:space="preserve">primarily a parliamentary one, focused mostly on narrow politics within parliament. </w:t>
      </w:r>
      <w:r w:rsidR="00E509D9" w:rsidRPr="00662E51">
        <w:rPr>
          <w:szCs w:val="24"/>
        </w:rPr>
        <w:t>L</w:t>
      </w:r>
      <w:r w:rsidR="00E33676" w:rsidRPr="00662E51">
        <w:rPr>
          <w:szCs w:val="24"/>
        </w:rPr>
        <w:t>ocal parties thus seem to be</w:t>
      </w:r>
      <w:r w:rsidRPr="00662E51">
        <w:rPr>
          <w:szCs w:val="24"/>
        </w:rPr>
        <w:t xml:space="preserve"> intended to legitimise electoral processes as the only way to achieve political change—thereby narrowing spaces for disagreement. Importantly, Cockburn </w:t>
      </w:r>
      <w:r w:rsidRPr="00662E51">
        <w:rPr>
          <w:szCs w:val="24"/>
        </w:rPr>
        <w:fldChar w:fldCharType="begin"/>
      </w:r>
      <w:r w:rsidR="008835AB" w:rsidRPr="00662E51">
        <w:rPr>
          <w:szCs w:val="24"/>
        </w:rPr>
        <w:instrText xml:space="preserve"> ADDIN ZOTERO_ITEM CSL_CITATION {"citationID":"MF4gl5m8","properties":{"formattedCitation":"(1980)","plainCitation":"(1980)","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state","author":[{"family":"Cockburn","given":"Cynthia"}],"issued":{"date-parts":[["1980"]]}},"label":"page","suppress-author":true}],"schema":"https://github.com/citation-style-language/schema/raw/master/csl-citation.json"} </w:instrText>
      </w:r>
      <w:r w:rsidRPr="00662E51">
        <w:rPr>
          <w:szCs w:val="24"/>
        </w:rPr>
        <w:fldChar w:fldCharType="separate"/>
      </w:r>
      <w:r w:rsidR="0095662D" w:rsidRPr="00662E51">
        <w:t>(1980)</w:t>
      </w:r>
      <w:r w:rsidRPr="00662E51">
        <w:rPr>
          <w:szCs w:val="24"/>
        </w:rPr>
        <w:fldChar w:fldCharType="end"/>
      </w:r>
      <w:r w:rsidRPr="00662E51">
        <w:rPr>
          <w:szCs w:val="24"/>
        </w:rPr>
        <w:t xml:space="preserve"> stresses the importance of party </w:t>
      </w:r>
      <w:r w:rsidRPr="00662E51">
        <w:rPr>
          <w:i/>
          <w:iCs/>
          <w:szCs w:val="24"/>
        </w:rPr>
        <w:t>structure</w:t>
      </w:r>
      <w:r w:rsidRPr="00662E51">
        <w:rPr>
          <w:szCs w:val="24"/>
        </w:rPr>
        <w:t xml:space="preserve"> as one of those narrowing mechanisms as it is beholden to a small subset of the wider electorate (i.e., its party members). This thinking therefore positions local parliamentary socialism as a structural problem. However, Copus </w:t>
      </w:r>
      <w:r w:rsidRPr="00662E51">
        <w:rPr>
          <w:szCs w:val="24"/>
        </w:rPr>
        <w:fldChar w:fldCharType="begin"/>
      </w:r>
      <w:r w:rsidR="008835AB" w:rsidRPr="00662E51">
        <w:rPr>
          <w:szCs w:val="24"/>
        </w:rPr>
        <w:instrText xml:space="preserve"> ADDIN ZOTERO_ITEM CSL_CITATION {"citationID":"uu1KgKG7","properties":{"formattedCitation":"(2004)","plainCitation":"(2004)","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Government","author":[{"family":"Copus","given":"Colin"}],"issued":{"date-parts":[["2004"]]}},"label":"page","suppress-author":true}],"schema":"https://github.com/citation-style-language/schema/raw/master/csl-citation.json"} </w:instrText>
      </w:r>
      <w:r w:rsidRPr="00662E51">
        <w:rPr>
          <w:szCs w:val="24"/>
        </w:rPr>
        <w:fldChar w:fldCharType="separate"/>
      </w:r>
      <w:r w:rsidR="0095662D" w:rsidRPr="00662E51">
        <w:t>(2004)</w:t>
      </w:r>
      <w:r w:rsidRPr="00662E51">
        <w:rPr>
          <w:szCs w:val="24"/>
        </w:rPr>
        <w:fldChar w:fldCharType="end"/>
      </w:r>
      <w:r w:rsidRPr="00662E51">
        <w:rPr>
          <w:szCs w:val="24"/>
        </w:rPr>
        <w:t xml:space="preserve"> draws attention to a subtle difference: the structure and rules of a party are a space through which membership engagement is formalised—but it is not the determining factor. Rather, the undetermined nature of membership (its interests, needs, focuses, and so on) mean that these structures can be used against the party as will be later explored below </w:t>
      </w:r>
      <w:r w:rsidRPr="00662E51">
        <w:rPr>
          <w:szCs w:val="24"/>
        </w:rPr>
        <w:fldChar w:fldCharType="begin"/>
      </w:r>
      <w:r w:rsidR="008835AB" w:rsidRPr="00662E51">
        <w:rPr>
          <w:szCs w:val="24"/>
        </w:rPr>
        <w:instrText xml:space="preserve"> ADDIN ZOTERO_ITEM CSL_CITATION {"citationID":"TdyVwQJD","properties":{"formattedCitation":"(LEWRG, [1980] 2021)","plainCitation":"(LEWRG, [1980] 2021)","noteIndex":0},"citationItems":[{"id":5812,"uris":["http://zotero.org/users/8977980/items/UXF4CXWN"],"itemData":{"id":5812,"type":"book","abstract":"Originally published as a pamphlet in 1979 and again by Pluto in 1980, In and Against the State brought together questions of working class struggle and state power, exploring how revolutionary socialists might reconcile working in the public sector with their radical politics. Informed by autonomist political ideas and practices that were central to the protests of 1968, the book's authors spoke to a generation of activists wrestling with where to place their energies. Forty years have passed, yet the questions it posed are still to be answered. Socialist activists continue to face a wave of Tory-led austerity measures involving hospital closures, a deepening housing crisis and attacks on social welfare provision. However, a new form of politics is emerging in the shadow of the neoliberal assault, one that may yet provide solutions. This edition includes a new introduction by Seth Wheeler and an interview with John McDonnell that reflect on the continuing relevance of In and Against the State and the questions it raises","edition":"New edition","ISBN":"978-0-7453-4181-1","language":"eng","number-of-pages":"154","publisher":"Pluto Press","publisher-place":"London","source":"K10plus ISBN","title":"In and against the state: discussion notes for socialists","title-short":"In and against the state","author":[{"literal":"London Edinburgh Weekend Return Group"}],"editor":[{"family":"Wheeler","given":"Seth"}],"issued":{"date-parts":[["2021"]]},"original-date":{"date-parts":[["1980"]]}},"label":"page","suppress-author":true,"prefix":"LEWRG,"}],"schema":"https://github.com/citation-style-language/schema/raw/master/csl-citation.json"} </w:instrText>
      </w:r>
      <w:r w:rsidRPr="00662E51">
        <w:rPr>
          <w:szCs w:val="24"/>
        </w:rPr>
        <w:fldChar w:fldCharType="separate"/>
      </w:r>
      <w:r w:rsidR="0095662D" w:rsidRPr="00662E51">
        <w:t>(LEWRG, [1980] 2021)</w:t>
      </w:r>
      <w:r w:rsidRPr="00662E51">
        <w:rPr>
          <w:szCs w:val="24"/>
        </w:rPr>
        <w:fldChar w:fldCharType="end"/>
      </w:r>
      <w:r w:rsidRPr="00662E51">
        <w:rPr>
          <w:szCs w:val="24"/>
        </w:rPr>
        <w:t>. As such, while the party and the state are intertwined—and function to shrink space for dissent—it should not be assumed that this is always the case.</w:t>
      </w:r>
    </w:p>
    <w:p w14:paraId="4BD4E255" w14:textId="77777777" w:rsidR="00A1577B" w:rsidRPr="00662E51" w:rsidRDefault="00A1577B" w:rsidP="00F56305">
      <w:pPr>
        <w:spacing w:line="360" w:lineRule="auto"/>
        <w:ind w:left="0"/>
        <w:rPr>
          <w:szCs w:val="24"/>
        </w:rPr>
      </w:pPr>
    </w:p>
    <w:p w14:paraId="40FBB969" w14:textId="54331750" w:rsidR="00A1577B" w:rsidRPr="00662E51" w:rsidRDefault="00A1577B" w:rsidP="00F56305">
      <w:pPr>
        <w:pStyle w:val="Heading3"/>
      </w:pPr>
      <w:bookmarkStart w:id="398" w:name="_Toc213173973"/>
      <w:bookmarkStart w:id="399" w:name="_Toc221184362"/>
      <w:bookmarkStart w:id="400" w:name="_Toc231215280"/>
      <w:r w:rsidRPr="00662E51">
        <w:t>Badiou’s State Revolutionary and the Event</w:t>
      </w:r>
      <w:bookmarkEnd w:id="398"/>
      <w:bookmarkEnd w:id="399"/>
      <w:r w:rsidR="00836748">
        <w:t>:</w:t>
      </w:r>
      <w:bookmarkEnd w:id="400"/>
    </w:p>
    <w:p w14:paraId="1404C584" w14:textId="0175C790" w:rsidR="00A1577B" w:rsidRPr="00662E51" w:rsidRDefault="00551A8A" w:rsidP="00F56305">
      <w:pPr>
        <w:spacing w:line="360" w:lineRule="auto"/>
        <w:ind w:left="0" w:firstLine="720"/>
        <w:rPr>
          <w:szCs w:val="24"/>
        </w:rPr>
      </w:pPr>
      <w:r>
        <w:rPr>
          <w:szCs w:val="24"/>
        </w:rPr>
        <w:t xml:space="preserve">To help </w:t>
      </w:r>
      <w:r w:rsidRPr="00551A8A">
        <w:rPr>
          <w:szCs w:val="24"/>
        </w:rPr>
        <w:t>analyse the HDV</w:t>
      </w:r>
      <w:r>
        <w:rPr>
          <w:szCs w:val="24"/>
        </w:rPr>
        <w:t xml:space="preserve">, </w:t>
      </w:r>
      <w:r w:rsidR="00A1577B" w:rsidRPr="00662E51">
        <w:rPr>
          <w:szCs w:val="24"/>
        </w:rPr>
        <w:t xml:space="preserve">I chiefly use two concepts from Alain Badiou’s body of work: the event of the political subject and the state revolutionary. I begin with the event, which Badiou defines as “a rupture of an undecidable, general situation by a unique and singularizing intervention” </w:t>
      </w:r>
      <w:r w:rsidR="00A1577B" w:rsidRPr="00662E51">
        <w:rPr>
          <w:szCs w:val="24"/>
        </w:rPr>
        <w:fldChar w:fldCharType="begin"/>
      </w:r>
      <w:r w:rsidR="00557CA9" w:rsidRPr="00662E51">
        <w:rPr>
          <w:szCs w:val="24"/>
        </w:rPr>
        <w:instrText xml:space="preserve"> ADDIN ZOTERO_ITEM CSL_CITATION {"citationID":"3Ra4nUQB","properties":{"formattedCitation":"(Calcagno 2008, 1054)","plainCitation":"(Calcagno 2008, 1054)","noteIndex":0},"citationItems":[{"id":5586,"uris":["http://zotero.org/users/8977980/items/QF64XFNU"],"itemData":{"id":5586,"type":"article-journal","abstract":"One of the more poignant claims Badiou makes is that the subject develops an understanding of itself as a political subject only by executing decisive political actions or making decisive political interventions. In this article I will argue that in order to have a fuller philosophical conception of political subjectivity, and therefore political agency, one must also hold that, first, political interventions do not necessarily lead to a definition or a further way of referring to and understanding the subject. In fact, political events and interventions may consciously aim at and result in the de-politicizing, de-subjectivating or dehumanizing of the subject. Second, political agency need not result in an event or an intervention in order to be political. In other words, failed or non-interventions may still be considered political. Third, despite Badiou's call for an ethics rooted in truth and fidelity, his political philosophy results in a relativism that can easily lapse into violence and injustice.","container-title":"Philosophy &amp; Social Criticism","DOI":"10.1177/0191453708098537","ISSN":"0191-4537, 1461-734X","issue":"9","journalAbbreviation":"Philosophy &amp; Social Criticism","language":"en","page":"1051-1070","source":"DOI.org (Crossref)","title":"Alain Badiou: the event of becoming a political subject","title-short":"Alain Badiou","volume":"34","author":[{"family":"Calcagno","given":"Antonio"}],"issued":{"date-parts":[["2008",11]]}},"locator":"1054","label":"page"}],"schema":"https://github.com/citation-style-language/schema/raw/master/csl-citation.json"} </w:instrText>
      </w:r>
      <w:r w:rsidR="00A1577B" w:rsidRPr="00662E51">
        <w:rPr>
          <w:szCs w:val="24"/>
        </w:rPr>
        <w:fldChar w:fldCharType="separate"/>
      </w:r>
      <w:r w:rsidR="0095662D" w:rsidRPr="00662E51">
        <w:t>(Calcagno 2008, 1054)</w:t>
      </w:r>
      <w:r w:rsidR="00A1577B" w:rsidRPr="00662E51">
        <w:rPr>
          <w:szCs w:val="24"/>
        </w:rPr>
        <w:fldChar w:fldCharType="end"/>
      </w:r>
      <w:r w:rsidR="00A1577B" w:rsidRPr="00662E51">
        <w:rPr>
          <w:szCs w:val="24"/>
        </w:rPr>
        <w:t xml:space="preserve">. As instances of sudden change, events are a diverse but formal category. They have “no assignable cause” and cannot be “inferred from the situation within which they erupt” </w:t>
      </w:r>
      <w:r w:rsidR="00A1577B" w:rsidRPr="00662E51">
        <w:rPr>
          <w:szCs w:val="24"/>
        </w:rPr>
        <w:fldChar w:fldCharType="begin"/>
      </w:r>
      <w:r w:rsidR="008835AB" w:rsidRPr="00662E51">
        <w:rPr>
          <w:szCs w:val="24"/>
        </w:rPr>
        <w:instrText xml:space="preserve"> ADDIN ZOTERO_ITEM CSL_CITATION {"citationID":"a2agv4a9mj1","properties":{"formattedCitation":"(Bassett 2008, 897\\uc0\\u8211{}98)","plainCitation":"(Bassett 2008, 897–98)","noteIndex":0},"citationItems":[{"id":5594,"uris":["http://zotero.org/users/8977980/items/VQPENM7J"],"itemData":{"id":5594,"type":"article-journal","abstract":"The problem of theorising the ‘event’ as a moment of major time–space transformation has become a focus of enquiry in philosophy, history, and the social sciences. In this paper I explore the theory of the event to be found in the recent work of Alain Badiou, relating his ideas to the particular case of the 1871 Paris Commune. I focus on particular problems with his approach, using an alternative formulation of the event found in the work of William Sewell Jr, which for purposes of comparison and critical debate I also relate to the event of the Paris Commune. I conclude by raising and discussing a range of wider issues that arise from the comparison.","container-title":"Environment and Planning D: Society and Space","DOI":"10.1068/d5707","ISSN":"0263-7758","issue":"5","journalAbbreviation":"Environ Plan D","language":"en","page":"895-910","publisher":"SAGE Publications Ltd STM","source":"SAGE Journals","title":"Thinking the Event: Badiou's Philosophy of the Event and the Example of the Paris Commune","title-short":"Thinking the Event","volume":"26","author":[{"family":"Bassett","given":"Keith"}],"issued":{"date-parts":[["2008",10,1]]}},"locator":"897-8","label":"page"}],"schema":"https://github.com/citation-style-language/schema/raw/master/csl-citation.json"} </w:instrText>
      </w:r>
      <w:r w:rsidR="00A1577B" w:rsidRPr="00662E51">
        <w:rPr>
          <w:szCs w:val="24"/>
        </w:rPr>
        <w:fldChar w:fldCharType="separate"/>
      </w:r>
      <w:r w:rsidR="0095662D" w:rsidRPr="00662E51">
        <w:rPr>
          <w:rFonts w:cs="Times New Roman"/>
          <w:kern w:val="0"/>
        </w:rPr>
        <w:t>(Bassett 2008, 897–98)</w:t>
      </w:r>
      <w:r w:rsidR="00A1577B" w:rsidRPr="00662E51">
        <w:rPr>
          <w:szCs w:val="24"/>
        </w:rPr>
        <w:fldChar w:fldCharType="end"/>
      </w:r>
      <w:r w:rsidR="00A1577B" w:rsidRPr="00662E51">
        <w:rPr>
          <w:szCs w:val="24"/>
        </w:rPr>
        <w:t xml:space="preserve">. Events matter because they invert the structure of a situation, making what is missing maximally present </w:t>
      </w:r>
      <w:r w:rsidR="00A1577B" w:rsidRPr="00662E51">
        <w:rPr>
          <w:szCs w:val="24"/>
        </w:rPr>
        <w:fldChar w:fldCharType="begin"/>
      </w:r>
      <w:r w:rsidR="008835AB" w:rsidRPr="00662E51">
        <w:rPr>
          <w:szCs w:val="24"/>
        </w:rPr>
        <w:instrText xml:space="preserve"> ADDIN ZOTERO_ITEM CSL_CITATION {"citationID":"8ywvSwMn","properties":{"formattedCitation":"(Badiou 2018)","plainCitation":"(Badiou 2018)","noteIndex":0},"citationItems":[{"id":5820,"uris":["http://zotero.org/users/8977980/items/3SIEJR4S"],"itemData":{"id":5820,"type":"book","abstract":"Logics of Worlds is the sequel to Alain Badiou's masterpiece, Being and Event. Tackling the questions that had been left open by Being and Event, and answering many of his critics in the process, Badiou supplements his pioneering treatment of multiple being with a daring and complex theory of the worlds in which truths and subjects make their mark - what he calls a materialist dialectic. Drawing on his most ambitious philosophical predecessors - Leibniz, Kant, Hegel, Kierkegaard, Lacan, Deleuze – Badiou ends this important later work with an impassioned call to'live for an Idea'.","collection-title":"Being and Event","ISBN":"978-1-350-04301-5","language":"English","note":"issue: II","publisher":"Bloomsbury Academic","publisher-place":"London","source":"EBSCOhost","title":"Logics of Worlds : Being and Event II","title-short":"Logics of Worlds","author":[{"family":"Badiou","given":"Alain"}],"accessed":{"date-parts":[["2024",9,4]]},"issued":{"date-parts":[["2018"]]}}}],"schema":"https://github.com/citation-style-language/schema/raw/master/csl-citation.json"} </w:instrText>
      </w:r>
      <w:r w:rsidR="00A1577B" w:rsidRPr="00662E51">
        <w:rPr>
          <w:szCs w:val="24"/>
        </w:rPr>
        <w:fldChar w:fldCharType="separate"/>
      </w:r>
      <w:r w:rsidR="0095662D" w:rsidRPr="00662E51">
        <w:t>(Badiou 2018)</w:t>
      </w:r>
      <w:r w:rsidR="00A1577B" w:rsidRPr="00662E51">
        <w:rPr>
          <w:szCs w:val="24"/>
        </w:rPr>
        <w:fldChar w:fldCharType="end"/>
      </w:r>
      <w:r w:rsidR="00A1577B" w:rsidRPr="00662E51">
        <w:rPr>
          <w:szCs w:val="24"/>
        </w:rPr>
        <w:t xml:space="preserve">. Paccoud </w:t>
      </w:r>
      <w:r w:rsidR="00A1577B" w:rsidRPr="00662E51">
        <w:rPr>
          <w:szCs w:val="24"/>
        </w:rPr>
        <w:fldChar w:fldCharType="begin"/>
      </w:r>
      <w:r w:rsidR="008835AB" w:rsidRPr="00662E51">
        <w:rPr>
          <w:szCs w:val="24"/>
        </w:rPr>
        <w:instrText xml:space="preserve"> ADDIN ZOTERO_ITEM CSL_CITATION {"citationID":"dnKOCZxz","properties":{"formattedCitation":"(2019, 353)","plainCitation":"(2019, 353)","noteIndex":0},"citationItems":[{"id":5584,"uris":["http://zotero.org/users/8977980/items/ASA2TBJM"],"itemData":{"id":5584,"type":"article-journal","abstract":"The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Saint-Simon","volume":"18","author":[{"family":"Paccoud","given":"Antoine"}],"issued":{"date-parts":[["2019",8,1]]}},"locator":"353","label":"page","suppress-author":true}],"schema":"https://github.com/citation-style-language/schema/raw/master/csl-citation.json"} </w:instrText>
      </w:r>
      <w:r w:rsidR="00A1577B" w:rsidRPr="00662E51">
        <w:rPr>
          <w:szCs w:val="24"/>
        </w:rPr>
        <w:fldChar w:fldCharType="separate"/>
      </w:r>
      <w:r w:rsidR="0095662D" w:rsidRPr="00662E51">
        <w:t>(2019, 353)</w:t>
      </w:r>
      <w:r w:rsidR="00A1577B" w:rsidRPr="00662E51">
        <w:rPr>
          <w:szCs w:val="24"/>
        </w:rPr>
        <w:fldChar w:fldCharType="end"/>
      </w:r>
      <w:r w:rsidR="00A1577B" w:rsidRPr="00662E51">
        <w:rPr>
          <w:szCs w:val="24"/>
        </w:rPr>
        <w:t xml:space="preserve"> identifies an event is an “invers[ing of] the hierarchy of voices,” also known as the structure of appearances. Calcagno </w:t>
      </w:r>
      <w:r w:rsidR="00A1577B" w:rsidRPr="00662E51">
        <w:rPr>
          <w:szCs w:val="24"/>
        </w:rPr>
        <w:fldChar w:fldCharType="begin"/>
      </w:r>
      <w:r w:rsidR="00557CA9" w:rsidRPr="00662E51">
        <w:rPr>
          <w:szCs w:val="24"/>
        </w:rPr>
        <w:instrText xml:space="preserve"> ADDIN ZOTERO_ITEM CSL_CITATION {"citationID":"cecosenA","properties":{"formattedCitation":"(2008, 1055)","plainCitation":"(2008, 1055)","noteIndex":0},"citationItems":[{"id":5586,"uris":["http://zotero.org/users/8977980/items/QF64XFNU"],"itemData":{"id":5586,"type":"article-journal","abstract":"One of the more poignant claims Badiou makes is that the subject develops an understanding of itself as a political subject only by executing decisive political actions or making decisive political interventions. In this article I will argue that in order to have a fuller philosophical conception of political subjectivity, and therefore political agency, one must also hold that, first, political interventions do not necessarily lead to a definition or a further way of referring to and understanding the subject. In fact, political events and interventions may consciously aim at and result in the de-politicizing, de-subjectivating or dehumanizing of the subject. Second, political agency need not result in an event or an intervention in order to be political. In other words, failed or non-interventions may still be considered political. Third, despite Badiou's call for an ethics rooted in truth and fidelity, his political philosophy results in a relativism that can easily lapse into violence and injustice.","container-title":"Philosophy &amp; Social Criticism","DOI":"10.1177/0191453708098537","ISSN":"0191-4537, 1461-734X","issue":"9","journalAbbreviation":"Philosophy &amp; Social Criticism","language":"en","page":"1051-1070","source":"DOI.org (Crossref)","title":"Alain Badiou: the event of becoming a political subject","title-short":"Alain Badiou","volume":"34","author":[{"family":"Calcagno","given":"Antonio"}],"issued":{"date-parts":[["2008",11]]}},"locator":"1055","label":"page","suppress-author":true}],"schema":"https://github.com/citation-style-language/schema/raw/master/csl-citation.json"} </w:instrText>
      </w:r>
      <w:r w:rsidR="00A1577B" w:rsidRPr="00662E51">
        <w:rPr>
          <w:szCs w:val="24"/>
        </w:rPr>
        <w:fldChar w:fldCharType="separate"/>
      </w:r>
      <w:r w:rsidR="0095662D" w:rsidRPr="00662E51">
        <w:t>(2008, 1055)</w:t>
      </w:r>
      <w:r w:rsidR="00A1577B" w:rsidRPr="00662E51">
        <w:rPr>
          <w:szCs w:val="24"/>
        </w:rPr>
        <w:fldChar w:fldCharType="end"/>
      </w:r>
      <w:r w:rsidR="00A1577B" w:rsidRPr="00662E51">
        <w:rPr>
          <w:szCs w:val="24"/>
        </w:rPr>
        <w:t xml:space="preserve"> elaborates on what happens after an event: as each event “contains within itself a simultaneous decidability and undecidability of meaning,” the longer term outcomes of the event are unclear. They are dependent on the sub-elements of the event and their meanings. Events are caused by subjects, which do not pre-exist the event. The subject is formal category, meaning that it can include</w:t>
      </w:r>
      <w:r w:rsidR="00886E88">
        <w:rPr>
          <w:szCs w:val="24"/>
        </w:rPr>
        <w:t xml:space="preserve"> a range of</w:t>
      </w:r>
      <w:r w:rsidR="00A1577B" w:rsidRPr="00662E51">
        <w:rPr>
          <w:szCs w:val="24"/>
        </w:rPr>
        <w:t xml:space="preserve"> individuals and institutions: what matters is the subject’s position on reconfiguring power </w:t>
      </w:r>
      <w:r w:rsidR="00A1577B" w:rsidRPr="00662E51">
        <w:rPr>
          <w:szCs w:val="24"/>
        </w:rPr>
        <w:lastRenderedPageBreak/>
        <w:t xml:space="preserve">relations </w:t>
      </w:r>
      <w:r w:rsidR="00A1577B" w:rsidRPr="00662E51">
        <w:rPr>
          <w:szCs w:val="24"/>
        </w:rPr>
        <w:fldChar w:fldCharType="begin"/>
      </w:r>
      <w:r w:rsidR="008835AB" w:rsidRPr="00662E51">
        <w:rPr>
          <w:szCs w:val="24"/>
        </w:rPr>
        <w:instrText xml:space="preserve"> ADDIN ZOTERO_ITEM CSL_CITATION {"citationID":"eB9h8ppX","properties":{"formattedCitation":"(Bassett 2008)","plainCitation":"(Bassett 2008)","noteIndex":0},"citationItems":[{"id":5594,"uris":["http://zotero.org/users/8977980/items/VQPENM7J"],"itemData":{"id":5594,"type":"article-journal","abstract":"The problem of theorising the ‘event’ as a moment of major time–space transformation has become a focus of enquiry in philosophy, history, and the social sciences. In this paper I explore the theory of the event to be found in the recent work of Alain Badiou, relating his ideas to the particular case of the 1871 Paris Commune. I focus on particular problems with his approach, using an alternative formulation of the event found in the work of William Sewell Jr, which for purposes of comparison and critical debate I also relate to the event of the Paris Commune. I conclude by raising and discussing a range of wider issues that arise from the comparison.","container-title":"Environment and Planning D: Society and Space","DOI":"10.1068/d5707","ISSN":"0263-7758","issue":"5","journalAbbreviation":"Environ Plan D","language":"en","page":"895-910","publisher":"SAGE Publications Ltd STM","source":"SAGE Journals","title":"Thinking the Event: Badiou's Philosophy of the Event and the Example of the Paris Commune","title-short":"Thinking the Event","volume":"26","author":[{"family":"Bassett","given":"Keith"}],"issued":{"date-parts":[["2008",10,1]]}}}],"schema":"https://github.com/citation-style-language/schema/raw/master/csl-citation.json"} </w:instrText>
      </w:r>
      <w:r w:rsidR="00A1577B" w:rsidRPr="00662E51">
        <w:rPr>
          <w:szCs w:val="24"/>
        </w:rPr>
        <w:fldChar w:fldCharType="separate"/>
      </w:r>
      <w:r w:rsidR="0095662D" w:rsidRPr="00662E51">
        <w:t>(Bassett 2008)</w:t>
      </w:r>
      <w:r w:rsidR="00A1577B" w:rsidRPr="00662E51">
        <w:rPr>
          <w:szCs w:val="24"/>
        </w:rPr>
        <w:fldChar w:fldCharType="end"/>
      </w:r>
      <w:r w:rsidR="00A1577B" w:rsidRPr="00662E51">
        <w:rPr>
          <w:szCs w:val="24"/>
        </w:rPr>
        <w:t xml:space="preserve">. Consequently, an event is also a “process of ‘subjectivisation’ whereby the human animal,” is transformed into a “real subject” </w:t>
      </w:r>
      <w:r w:rsidR="00A1577B" w:rsidRPr="00662E51">
        <w:rPr>
          <w:szCs w:val="24"/>
        </w:rPr>
        <w:fldChar w:fldCharType="begin"/>
      </w:r>
      <w:r w:rsidR="008835AB" w:rsidRPr="00662E51">
        <w:rPr>
          <w:szCs w:val="24"/>
        </w:rPr>
        <w:instrText xml:space="preserve"> ADDIN ZOTERO_ITEM CSL_CITATION {"citationID":"neAKoCMJ","properties":{"formattedCitation":"(Bassett 2008, 899)","plainCitation":"(Bassett 2008, 899)","noteIndex":0},"citationItems":[{"id":5594,"uris":["http://zotero.org/users/8977980/items/VQPENM7J"],"itemData":{"id":5594,"type":"article-journal","abstract":"The problem of theorising the ‘event’ as a moment of major time–space transformation has become a focus of enquiry in philosophy, history, and the social sciences. In this paper I explore the theory of the event to be found in the recent work of Alain Badiou, relating his ideas to the particular case of the 1871 Paris Commune. I focus on particular problems with his approach, using an alternative formulation of the event found in the work of William Sewell Jr, which for purposes of comparison and critical debate I also relate to the event of the Paris Commune. I conclude by raising and discussing a range of wider issues that arise from the comparison.","container-title":"Environment and Planning D: Society and Space","DOI":"10.1068/d5707","ISSN":"0263-7758","issue":"5","journalAbbreviation":"Environ Plan D","language":"en","page":"895-910","publisher":"SAGE Publications Ltd STM","source":"SAGE Journals","title":"Thinking the Event: Badiou's Philosophy of the Event and the Example of the Paris Commune","title-short":"Thinking the Event","volume":"26","author":[{"family":"Bassett","given":"Keith"}],"issued":{"date-parts":[["2008",10,1]]}},"locator":"899","label":"page"}],"schema":"https://github.com/citation-style-language/schema/raw/master/csl-citation.json"} </w:instrText>
      </w:r>
      <w:r w:rsidR="00A1577B" w:rsidRPr="00662E51">
        <w:rPr>
          <w:szCs w:val="24"/>
        </w:rPr>
        <w:fldChar w:fldCharType="separate"/>
      </w:r>
      <w:r w:rsidR="0095662D" w:rsidRPr="00662E51">
        <w:t>(Bassett 2008, 899)</w:t>
      </w:r>
      <w:r w:rsidR="00A1577B" w:rsidRPr="00662E51">
        <w:rPr>
          <w:szCs w:val="24"/>
        </w:rPr>
        <w:fldChar w:fldCharType="end"/>
      </w:r>
      <w:r w:rsidR="00A1577B" w:rsidRPr="00662E51">
        <w:rPr>
          <w:szCs w:val="24"/>
        </w:rPr>
        <w:t xml:space="preserve">. Badiou offers a dual notion of politics: one of management (post-politics), and one of contestation over a philosophical truth (the political) </w:t>
      </w:r>
      <w:r w:rsidR="00A1577B" w:rsidRPr="00662E51">
        <w:rPr>
          <w:szCs w:val="24"/>
        </w:rPr>
        <w:fldChar w:fldCharType="begin"/>
      </w:r>
      <w:r w:rsidR="00557CA9" w:rsidRPr="00662E51">
        <w:rPr>
          <w:szCs w:val="24"/>
        </w:rPr>
        <w:instrText xml:space="preserve"> ADDIN ZOTERO_ITEM CSL_CITATION {"citationID":"yGNA8Fyv","properties":{"formattedCitation":"(Calcagno 2008)","plainCitation":"(Calcagno 2008)","noteIndex":0},"citationItems":[{"id":5586,"uris":["http://zotero.org/users/8977980/items/QF64XFNU"],"itemData":{"id":5586,"type":"article-journal","abstract":"One of the more poignant claims Badiou makes is that the subject develops an understanding of itself as a political subject only by executing decisive political actions or making decisive political interventions. In this article I will argue that in order to have a fuller philosophical conception of political subjectivity, and therefore political agency, one must also hold that, first, political interventions do not necessarily lead to a definition or a further way of referring to and understanding the subject. In fact, political events and interventions may consciously aim at and result in the de-politicizing, de-subjectivating or dehumanizing of the subject. Second, political agency need not result in an event or an intervention in order to be political. In other words, failed or non-interventions may still be considered political. Third, despite Badiou's call for an ethics rooted in truth and fidelity, his political philosophy results in a relativism that can easily lapse into violence and injustice.","container-title":"Philosophy &amp; Social Criticism","DOI":"10.1177/0191453708098537","ISSN":"0191-4537, 1461-734X","issue":"9","journalAbbreviation":"Philosophy &amp; Social Criticism","language":"en","page":"1051-1070","source":"DOI.org (Crossref)","title":"Alain Badiou: the event of becoming a political subject","title-short":"Alain Badiou","volume":"34","author":[{"family":"Calcagno","given":"Antonio"}],"issued":{"date-parts":[["2008",11]]}},"label":"page"}],"schema":"https://github.com/citation-style-language/schema/raw/master/csl-citation.json"} </w:instrText>
      </w:r>
      <w:r w:rsidR="00A1577B" w:rsidRPr="00662E51">
        <w:rPr>
          <w:szCs w:val="24"/>
        </w:rPr>
        <w:fldChar w:fldCharType="separate"/>
      </w:r>
      <w:r w:rsidR="0095662D" w:rsidRPr="00662E51">
        <w:t>(Calcagno 2008)</w:t>
      </w:r>
      <w:r w:rsidR="00A1577B" w:rsidRPr="00662E51">
        <w:rPr>
          <w:szCs w:val="24"/>
        </w:rPr>
        <w:fldChar w:fldCharType="end"/>
      </w:r>
      <w:r w:rsidR="00A1577B" w:rsidRPr="00662E51">
        <w:rPr>
          <w:szCs w:val="24"/>
        </w:rPr>
        <w:t xml:space="preserve">. Badiou demonstrates how “political agency, understood as interventions, results in political subjectivity” </w:t>
      </w:r>
      <w:r w:rsidR="00A1577B" w:rsidRPr="00662E51">
        <w:rPr>
          <w:szCs w:val="24"/>
        </w:rPr>
        <w:fldChar w:fldCharType="begin"/>
      </w:r>
      <w:r w:rsidR="00557CA9" w:rsidRPr="00662E51">
        <w:rPr>
          <w:szCs w:val="24"/>
        </w:rPr>
        <w:instrText xml:space="preserve"> ADDIN ZOTERO_ITEM CSL_CITATION {"citationID":"HjPfcgkv","properties":{"formattedCitation":"(Calcagno 2008, 1061)","plainCitation":"(Calcagno 2008, 1061)","noteIndex":0},"citationItems":[{"id":5586,"uris":["http://zotero.org/users/8977980/items/QF64XFNU"],"itemData":{"id":5586,"type":"article-journal","abstract":"One of the more poignant claims Badiou makes is that the subject develops an understanding of itself as a political subject only by executing decisive political actions or making decisive political interventions. In this article I will argue that in order to have a fuller philosophical conception of political subjectivity, and therefore political agency, one must also hold that, first, political interventions do not necessarily lead to a definition or a further way of referring to and understanding the subject. In fact, political events and interventions may consciously aim at and result in the de-politicizing, de-subjectivating or dehumanizing of the subject. Second, political agency need not result in an event or an intervention in order to be political. In other words, failed or non-interventions may still be considered political. Third, despite Badiou's call for an ethics rooted in truth and fidelity, his political philosophy results in a relativism that can easily lapse into violence and injustice.","container-title":"Philosophy &amp; Social Criticism","DOI":"10.1177/0191453708098537","ISSN":"0191-4537, 1461-734X","issue":"9","journalAbbreviation":"Philosophy &amp; Social Criticism","language":"en","page":"1051-1070","source":"DOI.org (Crossref)","title":"Alain Badiou: the event of becoming a political subject","title-short":"Alain Badiou","volume":"34","author":[{"family":"Calcagno","given":"Antonio"}],"issued":{"date-parts":[["2008",11]]}},"locator":"1061","label":"page"}],"schema":"https://github.com/citation-style-language/schema/raw/master/csl-citation.json"} </w:instrText>
      </w:r>
      <w:r w:rsidR="00A1577B" w:rsidRPr="00662E51">
        <w:rPr>
          <w:szCs w:val="24"/>
        </w:rPr>
        <w:fldChar w:fldCharType="separate"/>
      </w:r>
      <w:r w:rsidR="0095662D" w:rsidRPr="00662E51">
        <w:t>(Calcagno 2008, 1061)</w:t>
      </w:r>
      <w:r w:rsidR="00A1577B" w:rsidRPr="00662E51">
        <w:rPr>
          <w:szCs w:val="24"/>
        </w:rPr>
        <w:fldChar w:fldCharType="end"/>
      </w:r>
      <w:r w:rsidR="00A1577B" w:rsidRPr="00662E51">
        <w:rPr>
          <w:szCs w:val="24"/>
        </w:rPr>
        <w:t xml:space="preserve">. Although Badiou </w:t>
      </w:r>
      <w:r w:rsidR="00A1577B" w:rsidRPr="00662E51">
        <w:rPr>
          <w:szCs w:val="24"/>
        </w:rPr>
        <w:fldChar w:fldCharType="begin"/>
      </w:r>
      <w:r w:rsidR="008835AB" w:rsidRPr="00662E51">
        <w:rPr>
          <w:szCs w:val="24"/>
        </w:rPr>
        <w:instrText xml:space="preserve"> ADDIN ZOTERO_ITEM CSL_CITATION {"citationID":"RqqU9Z7o","properties":{"formattedCitation":"(2018)","plainCitation":"(2018)","noteIndex":0},"citationItems":[{"id":5820,"uris":["http://zotero.org/users/8977980/items/3SIEJR4S"],"itemData":{"id":5820,"type":"book","abstract":"Logics of Worlds is the sequel to Alain Badiou's masterpiece, Being and Event. Tackling the questions that had been left open by Being and Event, and answering many of his critics in the process, Badiou supplements his pioneering treatment of multiple being with a daring and complex theory of the worlds in which truths and subjects make their mark - what he calls a materialist dialectic. Drawing on his most ambitious philosophical predecessors - Leibniz, Kant, Hegel, Kierkegaard, Lacan, Deleuze – Badiou ends this important later work with an impassioned call to'live for an Idea'.","collection-title":"Being and Event","ISBN":"978-1-350-04301-5","language":"English","note":"issue: II","publisher":"Bloomsbury Academic","publisher-place":"London","source":"EBSCOhost","title":"Logics of Worlds : Being and Event II","title-short":"Logics of Worlds","author":[{"family":"Badiou","given":"Alain"}],"accessed":{"date-parts":[["2024",9,4]]},"issued":{"date-parts":[["2018"]]}},"label":"page","suppress-author":true}],"schema":"https://github.com/citation-style-language/schema/raw/master/csl-citation.json"} </w:instrText>
      </w:r>
      <w:r w:rsidR="00A1577B" w:rsidRPr="00662E51">
        <w:rPr>
          <w:szCs w:val="24"/>
        </w:rPr>
        <w:fldChar w:fldCharType="separate"/>
      </w:r>
      <w:r w:rsidR="0095662D" w:rsidRPr="00662E51">
        <w:t>(2018)</w:t>
      </w:r>
      <w:r w:rsidR="00A1577B" w:rsidRPr="00662E51">
        <w:rPr>
          <w:szCs w:val="24"/>
        </w:rPr>
        <w:fldChar w:fldCharType="end"/>
      </w:r>
      <w:r w:rsidR="00A1577B" w:rsidRPr="00662E51">
        <w:rPr>
          <w:szCs w:val="24"/>
        </w:rPr>
        <w:t xml:space="preserve"> tends to focus on monumental revolutions, Calcagno </w:t>
      </w:r>
      <w:r w:rsidR="00A1577B" w:rsidRPr="00662E51">
        <w:rPr>
          <w:szCs w:val="24"/>
        </w:rPr>
        <w:fldChar w:fldCharType="begin"/>
      </w:r>
      <w:r w:rsidR="00A1577B" w:rsidRPr="00662E51">
        <w:rPr>
          <w:szCs w:val="24"/>
        </w:rPr>
        <w:instrText xml:space="preserve"> ADDIN ZOTERO_ITEM CSL_CITATION {"citationID":"1SQl307t","properties":{"formattedCitation":"(2008)","plainCitation":"(2008)","noteIndex":0},"citationItems":[{"id":5586,"uris":["http://zotero.org/users/8977980/items/QF64XFNU"],"itemData":{"id":5586,"type":"article-journal","abstract":"One of the more poignant claims Badiou makes is that the subject develops an understanding of itself as a political subject only by executing decisive political actions or making decisive political interventions. In this article I will argue that in order to have a fuller philosophical conception of political subjectivity, and therefore political agency, one must also hold that, first, political interventions do not necessarily lead to a definition or a further way of referring to and understanding the subject. In fact, political events and interventions may consciously aim at and result in the de-politicizing, de-subjectivating or dehumanizing of the subject. Second, political agency need not result in an event or an intervention in order to be political. In other words, failed or non-interventions may still be considered political. Third, despite Badiou's call for an ethics rooted in truth and fidelity, his political philosophy results in a relativism that can easily lapse into violence and injustice.","container-title":"Philosophy &amp; Social Criticism","DOI":"10.1177/0191453708098537","ISSN":"0191-4537, 1461-734X","issue":"9","journalAbbreviation":"Philosophy &amp; Social Criticism","language":"en","page":"1051-1070","source":"DOI.org (Crossref)","title":"Alain Badiou: the event of becoming a political subject","title-short":"Alain Badiou","volume":"34","author":[{"family":"Calcagno","given":"Antonio"}],"issued":{"date-parts":[["2008",11]]}},"label":"page","suppress-author":true}],"schema":"https://github.com/citation-style-language/schema/raw/master/csl-citation.json"} </w:instrText>
      </w:r>
      <w:r w:rsidR="00A1577B" w:rsidRPr="00662E51">
        <w:rPr>
          <w:szCs w:val="24"/>
        </w:rPr>
        <w:fldChar w:fldCharType="separate"/>
      </w:r>
      <w:r w:rsidR="0095662D" w:rsidRPr="00662E51">
        <w:t>(2008)</w:t>
      </w:r>
      <w:r w:rsidR="00A1577B" w:rsidRPr="00662E51">
        <w:rPr>
          <w:szCs w:val="24"/>
        </w:rPr>
        <w:fldChar w:fldCharType="end"/>
      </w:r>
      <w:r w:rsidR="00A1577B" w:rsidRPr="00662E51">
        <w:rPr>
          <w:szCs w:val="24"/>
        </w:rPr>
        <w:t xml:space="preserve"> argues that smaller or failed interventions can achieve similar outcomes, whether through micro-changes or by setting the stage for a more powerful intervention. This new subjectivity is political, in that it is centred on dissensus, conflict, and a radical break from the past. Badiou’s conception of the event gives some important insights. First, that an indeterminate and post-political situation can be made determinate and political through the subject’s decisive acts. Second, the subject is a broad but embodied actor who is often the “mass rebel” like Spartacus—but need not be, as considered below </w:t>
      </w:r>
      <w:r w:rsidR="00A1577B" w:rsidRPr="00662E51">
        <w:rPr>
          <w:szCs w:val="24"/>
        </w:rPr>
        <w:fldChar w:fldCharType="begin"/>
      </w:r>
      <w:r w:rsidR="008835AB" w:rsidRPr="00662E51">
        <w:rPr>
          <w:szCs w:val="24"/>
        </w:rPr>
        <w:instrText xml:space="preserve"> ADDIN ZOTERO_ITEM CSL_CITATION {"citationID":"ZYRjPjqs","properties":{"formattedCitation":"(Badiou 2018, xliii)","plainCitation":"(Badiou 2018, xliii)","noteIndex":0},"citationItems":[{"id":5820,"uris":["http://zotero.org/users/8977980/items/3SIEJR4S"],"itemData":{"id":5820,"type":"book","abstract":"Logics of Worlds is the sequel to Alain Badiou's masterpiece, Being and Event. Tackling the questions that had been left open by Being and Event, and answering many of his critics in the process, Badiou supplements his pioneering treatment of multiple being with a daring and complex theory of the worlds in which truths and subjects make their mark - what he calls a materialist dialectic. Drawing on his most ambitious philosophical predecessors - Leibniz, Kant, Hegel, Kierkegaard, Lacan, Deleuze – Badiou ends this important later work with an impassioned call to'live for an Idea'.","collection-title":"Being and Event","ISBN":"978-1-350-04301-5","language":"English","note":"issue: II","publisher":"Bloomsbury Academic","publisher-place":"London","source":"EBSCOhost","title":"Logics of Worlds : Being and Event II","title-short":"Logics of Worlds","author":[{"family":"Badiou","given":"Alain"}],"accessed":{"date-parts":[["2024",9,4]]},"issued":{"date-parts":[["2018"]]}},"locator":"xliii","label":"page"}],"schema":"https://github.com/citation-style-language/schema/raw/master/csl-citation.json"} </w:instrText>
      </w:r>
      <w:r w:rsidR="00A1577B" w:rsidRPr="00662E51">
        <w:rPr>
          <w:szCs w:val="24"/>
        </w:rPr>
        <w:fldChar w:fldCharType="separate"/>
      </w:r>
      <w:r w:rsidR="0095662D" w:rsidRPr="00662E51">
        <w:t>(Badiou 2018, xliii)</w:t>
      </w:r>
      <w:r w:rsidR="00A1577B" w:rsidRPr="00662E51">
        <w:rPr>
          <w:szCs w:val="24"/>
        </w:rPr>
        <w:fldChar w:fldCharType="end"/>
      </w:r>
      <w:r w:rsidR="00A1577B" w:rsidRPr="00662E51">
        <w:rPr>
          <w:szCs w:val="24"/>
        </w:rPr>
        <w:t>.</w:t>
      </w:r>
    </w:p>
    <w:p w14:paraId="161A20AA" w14:textId="365C795C" w:rsidR="00A1577B" w:rsidRPr="00662E51" w:rsidRDefault="00A1577B" w:rsidP="00F56305">
      <w:pPr>
        <w:spacing w:line="360" w:lineRule="auto"/>
        <w:ind w:left="0" w:firstLine="720"/>
        <w:rPr>
          <w:szCs w:val="24"/>
        </w:rPr>
      </w:pPr>
      <w:r w:rsidRPr="00662E51">
        <w:rPr>
          <w:szCs w:val="24"/>
        </w:rPr>
        <w:t xml:space="preserve">The second key concept is the state revolutionary, itself a subject. They are briefly defined as an “‘evental’ figure” who is “working from within the state” to reconfigure existing “inequitable power relations” </w:t>
      </w:r>
      <w:r w:rsidRPr="00662E51">
        <w:rPr>
          <w:szCs w:val="24"/>
        </w:rPr>
        <w:fldChar w:fldCharType="begin"/>
      </w:r>
      <w:r w:rsidR="008835AB" w:rsidRPr="00662E51">
        <w:rPr>
          <w:szCs w:val="24"/>
        </w:rPr>
        <w:instrText xml:space="preserve"> ADDIN ZOTERO_ITEM CSL_CITATION {"citationID":"gZNktIMl","properties":{"formattedCitation":"(Paccoud 2019, 340)","plainCitation":"(Paccoud 2019, 340)","noteIndex":0},"citationItems":[{"id":5584,"uris":["http://zotero.org/users/8977980/items/ASA2TBJM"],"itemData":{"id":5584,"type":"article-journal","abstract":"The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Saint-Simon","volume":"18","author":[{"family":"Paccoud","given":"Antoine"}],"issued":{"date-parts":[["2019",8,1]]}},"locator":"340"}],"schema":"https://github.com/citation-style-language/schema/raw/master/csl-citation.json"} </w:instrText>
      </w:r>
      <w:r w:rsidRPr="00662E51">
        <w:rPr>
          <w:szCs w:val="24"/>
        </w:rPr>
        <w:fldChar w:fldCharType="separate"/>
      </w:r>
      <w:r w:rsidR="0095662D" w:rsidRPr="00662E51">
        <w:t>(Paccoud 2019, 340)</w:t>
      </w:r>
      <w:r w:rsidRPr="00662E51">
        <w:rPr>
          <w:szCs w:val="24"/>
        </w:rPr>
        <w:fldChar w:fldCharType="end"/>
      </w:r>
      <w:r w:rsidRPr="00662E51">
        <w:rPr>
          <w:szCs w:val="24"/>
        </w:rPr>
        <w:t xml:space="preserve">. The state revolutionary sees “the state neither as its objective nor as a norm” but instead as “a means to effect the reversal” of an existing power arrangement—that is, to cause an event </w:t>
      </w:r>
      <w:r w:rsidRPr="00662E51">
        <w:rPr>
          <w:szCs w:val="24"/>
        </w:rPr>
        <w:fldChar w:fldCharType="begin"/>
      </w:r>
      <w:r w:rsidR="008835AB" w:rsidRPr="00662E51">
        <w:rPr>
          <w:szCs w:val="24"/>
        </w:rPr>
        <w:instrText xml:space="preserve"> ADDIN ZOTERO_ITEM CSL_CITATION {"citationID":"Tv2mWqrn","properties":{"formattedCitation":"(Paccoud 2019, 343)","plainCitation":"(Paccoud 2019, 343)","noteIndex":0},"citationItems":[{"id":5584,"uris":["http://zotero.org/users/8977980/items/ASA2TBJM"],"itemData":{"id":5584,"type":"article-journal","abstract":"The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Saint-Simon","volume":"18","author":[{"family":"Paccoud","given":"Antoine"}],"issued":{"date-parts":[["2019",8,1]]}},"locator":"343"}],"schema":"https://github.com/citation-style-language/schema/raw/master/csl-citation.json"} </w:instrText>
      </w:r>
      <w:r w:rsidRPr="00662E51">
        <w:rPr>
          <w:szCs w:val="24"/>
        </w:rPr>
        <w:fldChar w:fldCharType="separate"/>
      </w:r>
      <w:r w:rsidR="0095662D" w:rsidRPr="00662E51">
        <w:t>(Paccoud 2019, 343)</w:t>
      </w:r>
      <w:r w:rsidRPr="00662E51">
        <w:rPr>
          <w:szCs w:val="24"/>
        </w:rPr>
        <w:fldChar w:fldCharType="end"/>
      </w:r>
      <w:r w:rsidRPr="00662E51">
        <w:rPr>
          <w:szCs w:val="24"/>
        </w:rPr>
        <w:t xml:space="preserve">. This reversal or event can also be at any scale, with Badiou </w:t>
      </w:r>
      <w:r w:rsidRPr="00662E51">
        <w:rPr>
          <w:szCs w:val="24"/>
        </w:rPr>
        <w:fldChar w:fldCharType="begin"/>
      </w:r>
      <w:r w:rsidR="008835AB" w:rsidRPr="00662E51">
        <w:rPr>
          <w:szCs w:val="24"/>
        </w:rPr>
        <w:instrText xml:space="preserve"> ADDIN ZOTERO_ITEM CSL_CITATION {"citationID":"UuLrjkGw","properties":{"formattedCitation":"(2018)","plainCitation":"(2018)","noteIndex":0},"citationItems":[{"id":5820,"uris":["http://zotero.org/users/8977980/items/3SIEJR4S"],"itemData":{"id":5820,"type":"book","abstract":"Logics of Worlds is the sequel to Alain Badiou's masterpiece, Being and Event. Tackling the questions that had been left open by Being and Event, and answering many of his critics in the process, Badiou supplements his pioneering treatment of multiple being with a daring and complex theory of the worlds in which truths and subjects make their mark - what he calls a materialist dialectic. Drawing on his most ambitious philosophical predecessors - Leibniz, Kant, Hegel, Kierkegaard, Lacan, Deleuze – Badiou ends this important later work with an impassioned call to'live for an Idea'.","collection-title":"Being and Event","ISBN":"978-1-350-04301-5","language":"English","note":"issue: II","publisher":"Bloomsbury Academic","publisher-place":"London","source":"EBSCOhost","title":"Logics of Worlds : Being and Event II","title-short":"Logics of Worlds","author":[{"family":"Badiou","given":"Alain"}],"accessed":{"date-parts":[["2024",9,4]]},"issued":{"date-parts":[["2018"]]}},"label":"page","suppress-author":true}],"schema":"https://github.com/citation-style-language/schema/raw/master/csl-citation.json"} </w:instrText>
      </w:r>
      <w:r w:rsidRPr="00662E51">
        <w:rPr>
          <w:szCs w:val="24"/>
        </w:rPr>
        <w:fldChar w:fldCharType="separate"/>
      </w:r>
      <w:r w:rsidR="0095662D" w:rsidRPr="00662E51">
        <w:t>(2018)</w:t>
      </w:r>
      <w:r w:rsidRPr="00662E51">
        <w:rPr>
          <w:szCs w:val="24"/>
        </w:rPr>
        <w:fldChar w:fldCharType="end"/>
      </w:r>
      <w:r w:rsidRPr="00662E51">
        <w:rPr>
          <w:szCs w:val="24"/>
        </w:rPr>
        <w:t xml:space="preserve"> providing the Paris Commune or Serialist music as examples. Paccoud </w:t>
      </w:r>
      <w:r w:rsidRPr="00662E51">
        <w:rPr>
          <w:szCs w:val="24"/>
        </w:rPr>
        <w:fldChar w:fldCharType="begin"/>
      </w:r>
      <w:r w:rsidR="008835AB" w:rsidRPr="00662E51">
        <w:rPr>
          <w:szCs w:val="24"/>
        </w:rPr>
        <w:instrText xml:space="preserve"> ADDIN ZOTERO_ITEM CSL_CITATION {"citationID":"Wq7ECS2W","properties":{"formattedCitation":"(2019, 344)","plainCitation":"(2019, 344)","noteIndex":0},"citationItems":[{"id":5584,"uris":["http://zotero.org/users/8977980/items/ASA2TBJM"],"itemData":{"id":5584,"type":"article-journal","abstract":"The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Saint-Simon","volume":"18","author":[{"family":"Paccoud","given":"Antoine"}],"issued":{"date-parts":[["2019",8,1]]}},"locator":"344","label":"page","suppress-author":true}],"schema":"https://github.com/citation-style-language/schema/raw/master/csl-citation.json"} </w:instrText>
      </w:r>
      <w:r w:rsidRPr="00662E51">
        <w:rPr>
          <w:szCs w:val="24"/>
        </w:rPr>
        <w:fldChar w:fldCharType="separate"/>
      </w:r>
      <w:r w:rsidR="0095662D" w:rsidRPr="00662E51">
        <w:t>(2019, 344)</w:t>
      </w:r>
      <w:r w:rsidRPr="00662E51">
        <w:rPr>
          <w:szCs w:val="24"/>
        </w:rPr>
        <w:fldChar w:fldCharType="end"/>
      </w:r>
      <w:r w:rsidRPr="00662E51">
        <w:rPr>
          <w:szCs w:val="24"/>
        </w:rPr>
        <w:t xml:space="preserve"> justifies connecting Badiou’s philosophy and planning theory along similar lines. He writes that the planning domain “pursues goals that are at times antithetical to demands of the market and in which actions usually originate from within the state apparatus.” The broad nature of the subject likewise means Badiousian theory can “accommodate features of contemporary planning situations” like “issues of governance, diffuse responsibility for change, [and] hybrid governance arrangements” like public-private partnerships </w:t>
      </w:r>
      <w:r w:rsidRPr="00662E51">
        <w:rPr>
          <w:szCs w:val="24"/>
        </w:rPr>
        <w:fldChar w:fldCharType="begin"/>
      </w:r>
      <w:r w:rsidR="008835AB" w:rsidRPr="00662E51">
        <w:rPr>
          <w:szCs w:val="24"/>
        </w:rPr>
        <w:instrText xml:space="preserve"> ADDIN ZOTERO_ITEM CSL_CITATION {"citationID":"rN0DGCVM","properties":{"formattedCitation":"(Paccoud 2019, 345)","plainCitation":"(Paccoud 2019, 345)","noteIndex":0},"citationItems":[{"id":5584,"uris":["http://zotero.org/users/8977980/items/ASA2TBJM"],"itemData":{"id":5584,"type":"article-journal","abstract":"The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Saint-Simon","volume":"18","author":[{"family":"Paccoud","given":"Antoine"}],"issued":{"date-parts":[["2019",8,1]]}},"locator":"345"}],"schema":"https://github.com/citation-style-language/schema/raw/master/csl-citation.json"} </w:instrText>
      </w:r>
      <w:r w:rsidRPr="00662E51">
        <w:rPr>
          <w:szCs w:val="24"/>
        </w:rPr>
        <w:fldChar w:fldCharType="separate"/>
      </w:r>
      <w:r w:rsidR="0095662D" w:rsidRPr="00662E51">
        <w:t>(Paccoud 2019, 345)</w:t>
      </w:r>
      <w:r w:rsidRPr="00662E51">
        <w:rPr>
          <w:szCs w:val="24"/>
        </w:rPr>
        <w:fldChar w:fldCharType="end"/>
      </w:r>
      <w:r w:rsidRPr="00662E51">
        <w:rPr>
          <w:szCs w:val="24"/>
        </w:rPr>
        <w:t xml:space="preserve">. In sum, the state revolutionary is a subject who uses the state in pursuit of equality by inverting an existing power arrangement. While events are fleeting and always engender a response that seeks to drive the hierarchy of voices back </w:t>
      </w:r>
      <w:r w:rsidRPr="00662E51">
        <w:rPr>
          <w:szCs w:val="24"/>
        </w:rPr>
        <w:lastRenderedPageBreak/>
        <w:t xml:space="preserve">to inequality, this “historical to and fro” and “materialist dialectic” is made possible through the use of the state </w:t>
      </w:r>
      <w:r w:rsidRPr="00662E51">
        <w:rPr>
          <w:szCs w:val="24"/>
        </w:rPr>
        <w:fldChar w:fldCharType="begin"/>
      </w:r>
      <w:r w:rsidR="008835AB" w:rsidRPr="00662E51">
        <w:rPr>
          <w:szCs w:val="24"/>
        </w:rPr>
        <w:instrText xml:space="preserve"> ADDIN ZOTERO_ITEM CSL_CITATION {"citationID":"a1dk66aq220","properties":{"formattedCitation":"(Paccoud 2019, 355)","plainCitation":"(Paccoud 2019, 355)","noteIndex":0},"citationItems":[{"id":5584,"uris":["http://zotero.org/users/8977980/items/ASA2TBJM"],"itemData":{"id":5584,"type":"article-journal","abstract":"The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Saint-Simon","volume":"18","author":[{"family":"Paccoud","given":"Antoine"}],"issued":{"date-parts":[["2019",8,1]]}},"locator":"355","label":"page"}],"schema":"https://github.com/citation-style-language/schema/raw/master/csl-citation.json"} </w:instrText>
      </w:r>
      <w:r w:rsidRPr="00662E51">
        <w:rPr>
          <w:szCs w:val="24"/>
        </w:rPr>
        <w:fldChar w:fldCharType="separate"/>
      </w:r>
      <w:r w:rsidR="0095662D" w:rsidRPr="00662E51">
        <w:t>(Paccoud 2019, 355)</w:t>
      </w:r>
      <w:r w:rsidRPr="00662E51">
        <w:rPr>
          <w:szCs w:val="24"/>
        </w:rPr>
        <w:fldChar w:fldCharType="end"/>
      </w:r>
      <w:r w:rsidRPr="00662E51">
        <w:rPr>
          <w:szCs w:val="24"/>
        </w:rPr>
        <w:t xml:space="preserve">. This subject recognises that the state is a tool and not the goal, and works to “bracket out structural constraints through actions that carry an affirmation of equality” </w:t>
      </w:r>
      <w:r w:rsidRPr="00662E51">
        <w:rPr>
          <w:szCs w:val="24"/>
        </w:rPr>
        <w:fldChar w:fldCharType="begin"/>
      </w:r>
      <w:r w:rsidR="008835AB" w:rsidRPr="00662E51">
        <w:rPr>
          <w:szCs w:val="24"/>
        </w:rPr>
        <w:instrText xml:space="preserve"> ADDIN ZOTERO_ITEM CSL_CITATION {"citationID":"fn27Gpru","properties":{"formattedCitation":"(Paccoud 2019, 344)","plainCitation":"(Paccoud 2019, 344)","noteIndex":0},"citationItems":[{"id":5584,"uris":["http://zotero.org/users/8977980/items/ASA2TBJM"],"itemData":{"id":5584,"type":"article-journal","abstract":"The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Saint-Simon","volume":"18","author":[{"family":"Paccoud","given":"Antoine"}],"issued":{"date-parts":[["2019",8,1]]}},"locator":"344"}],"schema":"https://github.com/citation-style-language/schema/raw/master/csl-citation.json"} </w:instrText>
      </w:r>
      <w:r w:rsidRPr="00662E51">
        <w:rPr>
          <w:szCs w:val="24"/>
        </w:rPr>
        <w:fldChar w:fldCharType="separate"/>
      </w:r>
      <w:r w:rsidR="0095662D" w:rsidRPr="00662E51">
        <w:t>(Paccoud 2019, 344)</w:t>
      </w:r>
      <w:r w:rsidRPr="00662E51">
        <w:rPr>
          <w:szCs w:val="24"/>
        </w:rPr>
        <w:fldChar w:fldCharType="end"/>
      </w:r>
      <w:r w:rsidRPr="00662E51">
        <w:rPr>
          <w:szCs w:val="24"/>
        </w:rPr>
        <w:t xml:space="preserve">. The aim of using Paccoud’s </w:t>
      </w:r>
      <w:r w:rsidRPr="00662E51">
        <w:rPr>
          <w:szCs w:val="24"/>
        </w:rPr>
        <w:fldChar w:fldCharType="begin"/>
      </w:r>
      <w:r w:rsidR="008835AB" w:rsidRPr="00662E51">
        <w:rPr>
          <w:szCs w:val="24"/>
        </w:rPr>
        <w:instrText xml:space="preserve"> ADDIN ZOTERO_ITEM CSL_CITATION {"citationID":"9uvZiAMV","properties":{"formattedCitation":"(2019)","plainCitation":"(2019)","noteIndex":0},"citationItems":[{"id":5584,"uris":["http://zotero.org/users/8977980/items/ASA2TBJM"],"itemData":{"id":5584,"type":"article-journal","abstract":"The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Saint-Simon","volume":"18","author":[{"family":"Paccoud","given":"Antoine"}],"issued":{"date-parts":[["2019",8,1]]}},"label":"page","suppress-author":true}],"schema":"https://github.com/citation-style-language/schema/raw/master/csl-citation.json"} </w:instrText>
      </w:r>
      <w:r w:rsidRPr="00662E51">
        <w:rPr>
          <w:szCs w:val="24"/>
        </w:rPr>
        <w:fldChar w:fldCharType="separate"/>
      </w:r>
      <w:r w:rsidR="0095662D" w:rsidRPr="00662E51">
        <w:t>(2019)</w:t>
      </w:r>
      <w:r w:rsidRPr="00662E51">
        <w:rPr>
          <w:szCs w:val="24"/>
        </w:rPr>
        <w:fldChar w:fldCharType="end"/>
      </w:r>
      <w:r w:rsidRPr="00662E51">
        <w:rPr>
          <w:szCs w:val="24"/>
        </w:rPr>
        <w:t xml:space="preserve"> interpretation of Badiou is not meant to be prescriptive. Rather, I am more interested in the figure of the state revolutionary who seeks to use the state as a means to the ends of inverting a hierarchy of voices in lieu of “including all possible voices” that are jostling to clarify a pre-existing indeterminate situation </w:t>
      </w:r>
      <w:r w:rsidRPr="00662E51">
        <w:rPr>
          <w:szCs w:val="24"/>
        </w:rPr>
        <w:fldChar w:fldCharType="begin"/>
      </w:r>
      <w:r w:rsidR="008835AB" w:rsidRPr="00662E51">
        <w:rPr>
          <w:szCs w:val="24"/>
        </w:rPr>
        <w:instrText xml:space="preserve"> ADDIN ZOTERO_ITEM CSL_CITATION {"citationID":"E18y0hVE","properties":{"formattedCitation":"(Paccoud 2019, 353)","plainCitation":"(Paccoud 2019, 353)","noteIndex":0},"citationItems":[{"id":5584,"uris":["http://zotero.org/users/8977980/items/ASA2TBJM"],"itemData":{"id":5584,"type":"article-journal","abstract":"The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Saint-Simon","volume":"18","author":[{"family":"Paccoud","given":"Antoine"}],"issued":{"date-parts":[["2019",8,1]]}},"locator":"353","label":"page"}],"schema":"https://github.com/citation-style-language/schema/raw/master/csl-citation.json"} </w:instrText>
      </w:r>
      <w:r w:rsidRPr="00662E51">
        <w:rPr>
          <w:szCs w:val="24"/>
        </w:rPr>
        <w:fldChar w:fldCharType="separate"/>
      </w:r>
      <w:r w:rsidR="0095662D" w:rsidRPr="00662E51">
        <w:t>(Paccoud 2019, 353)</w:t>
      </w:r>
      <w:r w:rsidRPr="00662E51">
        <w:rPr>
          <w:szCs w:val="24"/>
        </w:rPr>
        <w:fldChar w:fldCharType="end"/>
      </w:r>
      <w:r w:rsidRPr="00662E51">
        <w:rPr>
          <w:szCs w:val="24"/>
        </w:rPr>
        <w:t>.</w:t>
      </w:r>
    </w:p>
    <w:p w14:paraId="0363C6B8" w14:textId="55C83624" w:rsidR="00A1577B" w:rsidRPr="00662E51" w:rsidRDefault="00A1577B" w:rsidP="00F56305">
      <w:pPr>
        <w:spacing w:line="360" w:lineRule="auto"/>
        <w:ind w:left="0" w:firstLine="720"/>
        <w:rPr>
          <w:szCs w:val="24"/>
        </w:rPr>
      </w:pPr>
      <w:r w:rsidRPr="00662E51">
        <w:rPr>
          <w:szCs w:val="24"/>
        </w:rPr>
        <w:t xml:space="preserve">Taken together, such </w:t>
      </w:r>
      <w:r w:rsidR="002D6415">
        <w:rPr>
          <w:szCs w:val="24"/>
        </w:rPr>
        <w:t>frames</w:t>
      </w:r>
      <w:r w:rsidRPr="00662E51">
        <w:rPr>
          <w:szCs w:val="24"/>
        </w:rPr>
        <w:t xml:space="preserve"> can help think through some of the critical threads that run through the case of the HDV and its halting due to its opponents’ campaign (under the name of StopHDV). This </w:t>
      </w:r>
      <w:r w:rsidR="00855B9A" w:rsidRPr="00662E51">
        <w:rPr>
          <w:szCs w:val="24"/>
        </w:rPr>
        <w:t>chapter</w:t>
      </w:r>
      <w:r w:rsidRPr="00662E51">
        <w:rPr>
          <w:szCs w:val="24"/>
        </w:rPr>
        <w:t xml:space="preserve"> identifies the hierarchy of voices present in the Labour Party before the StopHDV campaign;</w:t>
      </w:r>
      <w:r w:rsidR="00F2362E">
        <w:rPr>
          <w:szCs w:val="24"/>
        </w:rPr>
        <w:t xml:space="preserve"> the</w:t>
      </w:r>
      <w:r w:rsidRPr="00662E51">
        <w:rPr>
          <w:szCs w:val="24"/>
        </w:rPr>
        <w:t xml:space="preserve"> council that cancelled the scheme as the state revolutionary and a subject; and, lastly, the cancellation of the scheme itself as the event. As Paccoud </w:t>
      </w:r>
      <w:r w:rsidRPr="00662E51">
        <w:rPr>
          <w:szCs w:val="24"/>
        </w:rPr>
        <w:fldChar w:fldCharType="begin"/>
      </w:r>
      <w:r w:rsidR="008835AB" w:rsidRPr="00662E51">
        <w:rPr>
          <w:szCs w:val="24"/>
        </w:rPr>
        <w:instrText xml:space="preserve"> ADDIN ZOTERO_ITEM CSL_CITATION {"citationID":"4hxdJxN4","properties":{"formattedCitation":"(2019, 340)","plainCitation":"(2019, 340)","noteIndex":0},"citationItems":[{"id":5584,"uris":["http://zotero.org/users/8977980/items/ASA2TBJM"],"itemData":{"id":5584,"type":"article-journal","abstract":"The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Saint-Simon","volume":"18","author":[{"family":"Paccoud","given":"Antoine"}],"issued":{"date-parts":[["2019",8,1]]}},"locator":"340","label":"page","suppress-author":true}],"schema":"https://github.com/citation-style-language/schema/raw/master/csl-citation.json"} </w:instrText>
      </w:r>
      <w:r w:rsidRPr="00662E51">
        <w:rPr>
          <w:szCs w:val="24"/>
        </w:rPr>
        <w:fldChar w:fldCharType="separate"/>
      </w:r>
      <w:r w:rsidR="0095662D" w:rsidRPr="00662E51">
        <w:t>(2019, 340)</w:t>
      </w:r>
      <w:r w:rsidRPr="00662E51">
        <w:rPr>
          <w:szCs w:val="24"/>
        </w:rPr>
        <w:fldChar w:fldCharType="end"/>
      </w:r>
      <w:r w:rsidRPr="00662E51">
        <w:rPr>
          <w:szCs w:val="24"/>
        </w:rPr>
        <w:t xml:space="preserve"> writes, “the state revolutionary complicates the consensus/conflict dichotomy” that abounds within works on the state and politics. Here, the state itself becomes a site of conflict instead of remaining</w:t>
      </w:r>
      <w:r w:rsidR="00F2362E">
        <w:rPr>
          <w:szCs w:val="24"/>
        </w:rPr>
        <w:t xml:space="preserve"> an opponent to be overcome</w:t>
      </w:r>
      <w:r w:rsidRPr="00662E51">
        <w:rPr>
          <w:szCs w:val="24"/>
        </w:rPr>
        <w:t xml:space="preserve">. The state revolutionary also complicates typical views of the state—as “unified, controlling, coercive”—allowing us to appreciate the diverse actors, orientations, and relationships that constitute ‘the state’ </w:t>
      </w:r>
      <w:r w:rsidRPr="00662E51">
        <w:rPr>
          <w:szCs w:val="24"/>
        </w:rPr>
        <w:fldChar w:fldCharType="begin"/>
      </w:r>
      <w:r w:rsidR="00557CA9" w:rsidRPr="00662E51">
        <w:rPr>
          <w:szCs w:val="24"/>
        </w:rPr>
        <w:instrText xml:space="preserve"> ADDIN ZOTERO_ITEM CSL_CITATION {"citationID":"JKKwBObb","properties":{"formattedCitation":"(Ormerod 2021, 2)","plainCitation":"(Ormerod 2021, 2)","noteIndex":0},"citationItems":[{"id":3295,"uris":["http://zotero.org/users/8977980/items/UP7CRFTK"],"itemData":{"id":3295,"type":"article-journal","abstract":"This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ocator":"2","label":"page"}],"schema":"https://github.com/citation-style-language/schema/raw/master/csl-citation.json"} </w:instrText>
      </w:r>
      <w:r w:rsidRPr="00662E51">
        <w:rPr>
          <w:szCs w:val="24"/>
        </w:rPr>
        <w:fldChar w:fldCharType="separate"/>
      </w:r>
      <w:r w:rsidR="0095662D" w:rsidRPr="00662E51">
        <w:t>(Ormerod 2021, 2)</w:t>
      </w:r>
      <w:r w:rsidRPr="00662E51">
        <w:rPr>
          <w:szCs w:val="24"/>
        </w:rPr>
        <w:fldChar w:fldCharType="end"/>
      </w:r>
      <w:r w:rsidRPr="00662E51">
        <w:rPr>
          <w:szCs w:val="24"/>
        </w:rPr>
        <w:t xml:space="preserve">. Although the state revolutionary may be able to force an inversion, it is done with “the added tension that it tries to do so from within state power.” </w:t>
      </w:r>
      <w:r w:rsidRPr="00662E51">
        <w:rPr>
          <w:szCs w:val="24"/>
        </w:rPr>
        <w:fldChar w:fldCharType="begin"/>
      </w:r>
      <w:r w:rsidR="008835AB" w:rsidRPr="00662E51">
        <w:rPr>
          <w:szCs w:val="24"/>
        </w:rPr>
        <w:instrText xml:space="preserve"> ADDIN ZOTERO_ITEM CSL_CITATION {"citationID":"mXxOjha6","properties":{"formattedCitation":"(Badiou 2018, 521)","plainCitation":"(Badiou 2018, 521)","noteIndex":0},"citationItems":[{"id":5820,"uris":["http://zotero.org/users/8977980/items/3SIEJR4S"],"itemData":{"id":5820,"type":"book","abstract":"Logics of Worlds is the sequel to Alain Badiou's masterpiece, Being and Event. Tackling the questions that had been left open by Being and Event, and answering many of his critics in the process, Badiou supplements his pioneering treatment of multiple being with a daring and complex theory of the worlds in which truths and subjects make their mark - what he calls a materialist dialectic. Drawing on his most ambitious philosophical predecessors - Leibniz, Kant, Hegel, Kierkegaard, Lacan, Deleuze – Badiou ends this important later work with an impassioned call to'live for an Idea'.","collection-title":"Being and Event","ISBN":"978-1-350-04301-5","language":"English","note":"issue: II","publisher":"Bloomsbury Academic","publisher-place":"London","source":"EBSCOhost","title":"Logics of Worlds : Being and Event II","title-short":"Logics of Worlds","author":[{"family":"Badiou","given":"Alain"}],"accessed":{"date-parts":[["2024",9,4]]},"issued":{"date-parts":[["2018"]]}},"locator":"521"}],"schema":"https://github.com/citation-style-language/schema/raw/master/csl-citation.json"} </w:instrText>
      </w:r>
      <w:r w:rsidRPr="00662E51">
        <w:rPr>
          <w:szCs w:val="24"/>
        </w:rPr>
        <w:fldChar w:fldCharType="separate"/>
      </w:r>
      <w:r w:rsidR="0095662D" w:rsidRPr="00662E51">
        <w:t>(Badiou 2018, 521)</w:t>
      </w:r>
      <w:r w:rsidRPr="00662E51">
        <w:rPr>
          <w:szCs w:val="24"/>
        </w:rPr>
        <w:fldChar w:fldCharType="end"/>
      </w:r>
      <w:r w:rsidRPr="00662E51">
        <w:rPr>
          <w:szCs w:val="24"/>
        </w:rPr>
        <w:t>. As demonstrated here, a local state ‘takeover’ brings new tensions, complexities, and achievements. These are just some of the tensions that the concept of the state revolutionary can help scholars understand more richly.</w:t>
      </w:r>
    </w:p>
    <w:p w14:paraId="25CB33B9" w14:textId="77777777" w:rsidR="00A1577B" w:rsidRPr="00662E51" w:rsidRDefault="00A1577B" w:rsidP="00F56305">
      <w:pPr>
        <w:spacing w:line="360" w:lineRule="auto"/>
        <w:ind w:left="0" w:firstLine="720"/>
        <w:rPr>
          <w:szCs w:val="24"/>
        </w:rPr>
      </w:pPr>
      <w:r w:rsidRPr="00662E51">
        <w:rPr>
          <w:szCs w:val="24"/>
        </w:rPr>
        <w:t xml:space="preserve"> </w:t>
      </w:r>
    </w:p>
    <w:p w14:paraId="7F8C007E" w14:textId="239CF7BB" w:rsidR="00A1577B" w:rsidRPr="00662E51" w:rsidRDefault="00A1577B" w:rsidP="00F56305">
      <w:pPr>
        <w:pStyle w:val="Heading2"/>
      </w:pPr>
      <w:bookmarkStart w:id="401" w:name="_Toc213173974"/>
      <w:bookmarkStart w:id="402" w:name="_Toc216096175"/>
      <w:bookmarkStart w:id="403" w:name="_Toc221184363"/>
      <w:bookmarkStart w:id="404" w:name="_Toc231215281"/>
      <w:r w:rsidRPr="00662E51">
        <w:t>Data and Methods</w:t>
      </w:r>
      <w:bookmarkEnd w:id="401"/>
      <w:bookmarkEnd w:id="402"/>
      <w:bookmarkEnd w:id="403"/>
      <w:r w:rsidR="00836748">
        <w:t>:</w:t>
      </w:r>
      <w:bookmarkEnd w:id="404"/>
    </w:p>
    <w:p w14:paraId="38FBDC22" w14:textId="5635F8E1" w:rsidR="00A1577B" w:rsidRPr="00662E51" w:rsidRDefault="00A1577B" w:rsidP="00F56305">
      <w:pPr>
        <w:spacing w:line="360" w:lineRule="auto"/>
        <w:ind w:left="0"/>
        <w:rPr>
          <w:szCs w:val="24"/>
        </w:rPr>
      </w:pPr>
      <w:r w:rsidRPr="00662E51">
        <w:rPr>
          <w:szCs w:val="24"/>
        </w:rPr>
        <w:t xml:space="preserve">This </w:t>
      </w:r>
      <w:r w:rsidR="00855B9A" w:rsidRPr="00662E51">
        <w:rPr>
          <w:szCs w:val="24"/>
        </w:rPr>
        <w:t>chapter</w:t>
      </w:r>
      <w:r w:rsidRPr="00662E51">
        <w:rPr>
          <w:szCs w:val="24"/>
        </w:rPr>
        <w:t xml:space="preserve"> considers the interconnections between the local state and local political parties in Haringey, London. It draws on </w:t>
      </w:r>
      <w:r w:rsidR="00FC2607" w:rsidRPr="00662E51">
        <w:rPr>
          <w:szCs w:val="24"/>
        </w:rPr>
        <w:t>fourteen</w:t>
      </w:r>
      <w:r w:rsidRPr="00662E51">
        <w:rPr>
          <w:szCs w:val="24"/>
        </w:rPr>
        <w:t xml:space="preserve"> in-depth, semi-structured interviews and </w:t>
      </w:r>
      <w:r w:rsidR="00857E63">
        <w:rPr>
          <w:szCs w:val="24"/>
        </w:rPr>
        <w:t xml:space="preserve">document analysis </w:t>
      </w:r>
      <w:r w:rsidR="00904BD0" w:rsidRPr="00662E51">
        <w:rPr>
          <w:szCs w:val="24"/>
        </w:rPr>
        <w:t>(Table 2)</w:t>
      </w:r>
      <w:r w:rsidR="009C2F54" w:rsidRPr="00662E51">
        <w:rPr>
          <w:szCs w:val="24"/>
        </w:rPr>
        <w:t>, a subset of my overall data collection</w:t>
      </w:r>
      <w:r w:rsidR="00904BD0" w:rsidRPr="00662E51">
        <w:rPr>
          <w:szCs w:val="24"/>
        </w:rPr>
        <w:t xml:space="preserve"> (Section 4.1</w:t>
      </w:r>
      <w:r w:rsidR="00C2506A">
        <w:rPr>
          <w:szCs w:val="24"/>
        </w:rPr>
        <w:t>.</w:t>
      </w:r>
      <w:r w:rsidR="00904BD0" w:rsidRPr="00662E51">
        <w:rPr>
          <w:szCs w:val="24"/>
        </w:rPr>
        <w:t>4)</w:t>
      </w:r>
      <w:r w:rsidRPr="00662E51">
        <w:rPr>
          <w:szCs w:val="24"/>
        </w:rPr>
        <w:t xml:space="preserve">. Interviewees are current and former councillors from </w:t>
      </w:r>
      <w:r w:rsidRPr="00662E51">
        <w:rPr>
          <w:szCs w:val="24"/>
        </w:rPr>
        <w:lastRenderedPageBreak/>
        <w:t>both the Labour Party and the Liberal Democrats</w:t>
      </w:r>
      <w:r w:rsidR="004A3DD4" w:rsidRPr="00662E51">
        <w:rPr>
          <w:szCs w:val="24"/>
        </w:rPr>
        <w:t>.</w:t>
      </w:r>
      <w:r w:rsidRPr="00662E51">
        <w:rPr>
          <w:szCs w:val="24"/>
        </w:rPr>
        <w:t xml:space="preserve"> Although my interviewees are anonymised (see below), individuals mentioned in archival sources are named because such data is publicly accessible. Coding was done inductively and deductively, beginning with codes on the HDV, activism, and the Labour Party. New codes were subsequently developed for other significant threads. Overall, this combination of sources allows me to tell the story of the HDV from the perspectives of the Labour Party and the local state, and examine this relationship through the lenses of the state revolutionary and evental politics.</w:t>
      </w:r>
    </w:p>
    <w:p w14:paraId="3138CFA8" w14:textId="58B3E123" w:rsidR="00A1577B" w:rsidRPr="00662E51" w:rsidRDefault="008E3620" w:rsidP="00F56305">
      <w:pPr>
        <w:spacing w:line="360" w:lineRule="auto"/>
        <w:ind w:left="0" w:firstLine="720"/>
        <w:rPr>
          <w:szCs w:val="24"/>
        </w:rPr>
      </w:pPr>
      <w:r w:rsidRPr="00662E51">
        <w:rPr>
          <w:szCs w:val="24"/>
        </w:rPr>
        <w:t>As mentioned in Chapter 4</w:t>
      </w:r>
      <w:r w:rsidR="00A1577B" w:rsidRPr="00662E51">
        <w:rPr>
          <w:szCs w:val="24"/>
        </w:rPr>
        <w:t xml:space="preserve">, I have made use of composite characters </w:t>
      </w:r>
      <w:r w:rsidR="006C4E24">
        <w:rPr>
          <w:szCs w:val="24"/>
        </w:rPr>
        <w:t xml:space="preserve">to </w:t>
      </w:r>
      <w:r w:rsidRPr="00662E51">
        <w:rPr>
          <w:szCs w:val="24"/>
        </w:rPr>
        <w:t>preserve anonymity</w:t>
      </w:r>
      <w:r w:rsidR="006C4E24">
        <w:rPr>
          <w:szCs w:val="24"/>
        </w:rPr>
        <w:t xml:space="preserve">, </w:t>
      </w:r>
      <w:r w:rsidRPr="00662E51">
        <w:rPr>
          <w:szCs w:val="24"/>
        </w:rPr>
        <w:t xml:space="preserve">given the politically sensitive nature of this project </w:t>
      </w:r>
      <w:r w:rsidR="00A1577B" w:rsidRPr="00662E51">
        <w:rPr>
          <w:szCs w:val="24"/>
        </w:rPr>
        <w:fldChar w:fldCharType="begin"/>
      </w:r>
      <w:r w:rsidR="008835AB" w:rsidRPr="00662E51">
        <w:rPr>
          <w:szCs w:val="24"/>
        </w:rPr>
        <w:instrText xml:space="preserve"> ADDIN ZOTERO_ITEM CSL_CITATION {"citationID":"mgaofCaC","properties":{"formattedCitation":"(Willis 2019)","plainCitation":"(Willis 2019)","noteIndex":0},"citationItems":[{"id":5823,"uris":["http://zotero.org/users/8977980/items/HTG2NIT4"],"itemData":{"id":5823,"type":"article-journal","abstract":"This research note describes the use of composite narratives to present interview data. A composite narrative uses data from several individual interviews to tell a single story. In the research discussed here, investigating how politicians consider climate change, four composites were created from fourteen interviews with Members of the UK Parliament. A method for creating composite narratives is described. Three, linked, benefits of the technique are discussed. First, they allow researchers to present complex, situated accounts from individuals, rather than breaking data down into categories. Second, they confer anonymity, vital when reporting on private deliberations, particularly if interviewees are public figures. Third, they can contribute to ‘future-forming’ research, by presenting findings in ways that are useful and accessible to those outside academia. The main limitation of composite narratives is the burden of responsibility upon the researcher, to convey accurate, yet anonymized, portrayals of the accounts of a group of individuals.","container-title":"Qualitative Research","DOI":"10.1177/1468794118787711","ISSN":"1468-7941","issue":"4","language":"en","page":"471-480","publisher":"SAGE Publications","source":"SAGE Journals","title":"The use of composite narratives to present interview findings","volume":"19","author":[{"family":"Willis","given":"Rebecca"}],"issued":{"date-parts":[["2019",8,1]]}}}],"schema":"https://github.com/citation-style-language/schema/raw/master/csl-citation.json"} </w:instrText>
      </w:r>
      <w:r w:rsidR="00A1577B" w:rsidRPr="00662E51">
        <w:rPr>
          <w:szCs w:val="24"/>
        </w:rPr>
        <w:fldChar w:fldCharType="separate"/>
      </w:r>
      <w:r w:rsidR="0095662D" w:rsidRPr="00662E51">
        <w:t>(Willis 2019)</w:t>
      </w:r>
      <w:r w:rsidR="00A1577B" w:rsidRPr="00662E51">
        <w:rPr>
          <w:szCs w:val="24"/>
        </w:rPr>
        <w:fldChar w:fldCharType="end"/>
      </w:r>
      <w:r w:rsidR="00A1577B" w:rsidRPr="00662E51">
        <w:rPr>
          <w:szCs w:val="24"/>
        </w:rPr>
        <w:t xml:space="preserve">. In the spirit of accountability, I </w:t>
      </w:r>
      <w:r w:rsidR="006C4E24">
        <w:rPr>
          <w:szCs w:val="24"/>
        </w:rPr>
        <w:t xml:space="preserve">now describe my approach in forming the composites. </w:t>
      </w:r>
      <w:r w:rsidR="00A1577B" w:rsidRPr="00662E51">
        <w:rPr>
          <w:szCs w:val="24"/>
        </w:rPr>
        <w:t xml:space="preserve">First, following Willis’s </w:t>
      </w:r>
      <w:r w:rsidR="00A1577B" w:rsidRPr="00662E51">
        <w:rPr>
          <w:szCs w:val="24"/>
        </w:rPr>
        <w:fldChar w:fldCharType="begin"/>
      </w:r>
      <w:r w:rsidR="008835AB" w:rsidRPr="00662E51">
        <w:rPr>
          <w:szCs w:val="24"/>
        </w:rPr>
        <w:instrText xml:space="preserve"> ADDIN ZOTERO_ITEM CSL_CITATION {"citationID":"0SuFDvJ6","properties":{"formattedCitation":"(2019)","plainCitation":"(2019)","noteIndex":0},"citationItems":[{"id":5823,"uris":["http://zotero.org/users/8977980/items/HTG2NIT4"],"itemData":{"id":5823,"type":"article-journal","abstract":"This research note describes the use of composite narratives to present interview data. A composite narrative uses data from several individual interviews to tell a single story. In the research discussed here, investigating how politicians consider climate change, four composites were created from fourteen interviews with Members of the UK Parliament. A method for creating composite narratives is described. Three, linked, benefits of the technique are discussed. First, they allow researchers to present complex, situated accounts from individuals, rather than breaking data down into categories. Second, they confer anonymity, vital when reporting on private deliberations, particularly if interviewees are public figures. Third, they can contribute to ‘future-forming’ research, by presenting findings in ways that are useful and accessible to those outside academia. The main limitation of composite narratives is the burden of responsibility upon the researcher, to convey accurate, yet anonymized, portrayals of the accounts of a group of individuals.","container-title":"Qualitative Research","DOI":"10.1177/1468794118787711","ISSN":"1468-7941","issue":"4","language":"en","page":"471-480","publisher":"SAGE Publications","source":"SAGE Journals","title":"The use of composite narratives to present interview findings","volume":"19","author":[{"family":"Willis","given":"Rebecca"}],"issued":{"date-parts":[["2019",8,1]]}},"label":"page","suppress-author":true}],"schema":"https://github.com/citation-style-language/schema/raw/master/csl-citation.json"} </w:instrText>
      </w:r>
      <w:r w:rsidR="00A1577B" w:rsidRPr="00662E51">
        <w:rPr>
          <w:szCs w:val="24"/>
        </w:rPr>
        <w:fldChar w:fldCharType="separate"/>
      </w:r>
      <w:r w:rsidR="0095662D" w:rsidRPr="00662E51">
        <w:t>(2019)</w:t>
      </w:r>
      <w:r w:rsidR="00A1577B" w:rsidRPr="00662E51">
        <w:rPr>
          <w:szCs w:val="24"/>
        </w:rPr>
        <w:fldChar w:fldCharType="end"/>
      </w:r>
      <w:r w:rsidR="00A1577B" w:rsidRPr="00662E51">
        <w:rPr>
          <w:szCs w:val="24"/>
        </w:rPr>
        <w:t xml:space="preserve"> example, I condensed my </w:t>
      </w:r>
      <w:r w:rsidR="0057694C" w:rsidRPr="00662E51">
        <w:rPr>
          <w:szCs w:val="24"/>
        </w:rPr>
        <w:t xml:space="preserve">fourteen </w:t>
      </w:r>
      <w:r w:rsidR="00A1577B" w:rsidRPr="00662E51">
        <w:rPr>
          <w:szCs w:val="24"/>
        </w:rPr>
        <w:t>interviews into four composites along relevant categories (</w:t>
      </w:r>
      <w:r w:rsidR="00B20806" w:rsidRPr="00662E51">
        <w:rPr>
          <w:szCs w:val="24"/>
        </w:rPr>
        <w:t xml:space="preserve">Appendix </w:t>
      </w:r>
      <w:r w:rsidR="00670135" w:rsidRPr="00662E51">
        <w:rPr>
          <w:szCs w:val="24"/>
        </w:rPr>
        <w:t>C</w:t>
      </w:r>
      <w:r w:rsidR="00A1577B" w:rsidRPr="00662E51">
        <w:rPr>
          <w:szCs w:val="24"/>
        </w:rPr>
        <w:t xml:space="preserve">). Being clear about these assumptions promotes accountability. The composites are likewise internally logically consistent. Second, I quote directly from transcripts and try to avoid reading too far into an interviewee’s opinions, judgements, and motivations. While each composite includes individuals from different backgrounds and identities, their stories are presented as if each is one individual’s story. A gender is consequently assigned to each composite for ease. Lastly, where possible, I cross-referenced my interviewee’s claims with publicly accessible archival data. Readers can thus ‘check my work’ without uncovering the relevant identities. </w:t>
      </w:r>
    </w:p>
    <w:p w14:paraId="4E80DA06" w14:textId="77777777" w:rsidR="0057694C" w:rsidRPr="00662E51" w:rsidRDefault="0057694C" w:rsidP="00F56305">
      <w:pPr>
        <w:spacing w:line="360" w:lineRule="auto"/>
        <w:ind w:left="0" w:firstLine="720"/>
        <w:rPr>
          <w:szCs w:val="24"/>
        </w:rPr>
      </w:pPr>
    </w:p>
    <w:p w14:paraId="4694ECF9" w14:textId="4D61C8C7" w:rsidR="00AE3C6E" w:rsidRPr="00662E51" w:rsidRDefault="00AE3C6E" w:rsidP="00AE3C6E">
      <w:pPr>
        <w:pStyle w:val="Caption"/>
        <w:keepNext/>
        <w:rPr>
          <w:color w:val="auto"/>
        </w:rPr>
      </w:pPr>
      <w:r w:rsidRPr="00662E51">
        <w:rPr>
          <w:color w:val="auto"/>
        </w:rPr>
        <w:t xml:space="preserve">Table </w:t>
      </w:r>
      <w:r w:rsidR="001A544B" w:rsidRPr="00662E51">
        <w:rPr>
          <w:color w:val="auto"/>
        </w:rPr>
        <w:fldChar w:fldCharType="begin"/>
      </w:r>
      <w:r w:rsidR="001A544B" w:rsidRPr="00662E51">
        <w:rPr>
          <w:color w:val="auto"/>
        </w:rPr>
        <w:instrText xml:space="preserve"> SEQ Table \* ARABIC </w:instrText>
      </w:r>
      <w:r w:rsidR="001A544B" w:rsidRPr="00662E51">
        <w:rPr>
          <w:color w:val="auto"/>
        </w:rPr>
        <w:fldChar w:fldCharType="separate"/>
      </w:r>
      <w:r w:rsidR="001A544B" w:rsidRPr="00662E51">
        <w:rPr>
          <w:color w:val="auto"/>
        </w:rPr>
        <w:t>2</w:t>
      </w:r>
      <w:r w:rsidR="001A544B" w:rsidRPr="00662E51">
        <w:rPr>
          <w:color w:val="auto"/>
        </w:rPr>
        <w:fldChar w:fldCharType="end"/>
      </w:r>
      <w:r w:rsidRPr="00662E51">
        <w:rPr>
          <w:color w:val="auto"/>
        </w:rPr>
        <w:t xml:space="preserve"> - Interviewees’ background and experience.</w:t>
      </w:r>
    </w:p>
    <w:p w14:paraId="66A50480" w14:textId="77777777" w:rsidR="00AE3C6E" w:rsidRPr="00662E51" w:rsidRDefault="00AE3C6E" w:rsidP="00AE3C6E"/>
    <w:tbl>
      <w:tblPr>
        <w:tblStyle w:val="TableGrid"/>
        <w:tblpPr w:leftFromText="180" w:rightFromText="180" w:vertAnchor="text" w:horzAnchor="margin" w:tblpXSpec="center" w:tblpY="45"/>
        <w:tblW w:w="10774" w:type="dxa"/>
        <w:tblLook w:val="04A0" w:firstRow="1" w:lastRow="0" w:firstColumn="1" w:lastColumn="0" w:noHBand="0" w:noVBand="1"/>
      </w:tblPr>
      <w:tblGrid>
        <w:gridCol w:w="3539"/>
        <w:gridCol w:w="7235"/>
      </w:tblGrid>
      <w:tr w:rsidR="00F27AB7" w:rsidRPr="00662E51" w14:paraId="7F42D0E6" w14:textId="77777777" w:rsidTr="00887D32">
        <w:tc>
          <w:tcPr>
            <w:tcW w:w="3539" w:type="dxa"/>
          </w:tcPr>
          <w:p w14:paraId="693F0C86" w14:textId="77777777" w:rsidR="00AE3C6E" w:rsidRPr="00662E51" w:rsidRDefault="00AE3C6E" w:rsidP="00AE3C6E">
            <w:pPr>
              <w:spacing w:line="360" w:lineRule="auto"/>
              <w:ind w:left="0"/>
              <w:jc w:val="left"/>
              <w:rPr>
                <w:b/>
                <w:bCs/>
                <w:szCs w:val="24"/>
              </w:rPr>
            </w:pPr>
            <w:r w:rsidRPr="00662E51">
              <w:rPr>
                <w:b/>
                <w:bCs/>
                <w:szCs w:val="24"/>
              </w:rPr>
              <w:t>Gender</w:t>
            </w:r>
          </w:p>
        </w:tc>
        <w:tc>
          <w:tcPr>
            <w:tcW w:w="7235" w:type="dxa"/>
          </w:tcPr>
          <w:p w14:paraId="32D061C0" w14:textId="77777777" w:rsidR="00AE3C6E" w:rsidRPr="00662E51" w:rsidRDefault="00AE3C6E" w:rsidP="00AE3C6E">
            <w:pPr>
              <w:spacing w:line="360" w:lineRule="auto"/>
              <w:ind w:left="0"/>
              <w:jc w:val="left"/>
              <w:rPr>
                <w:szCs w:val="24"/>
              </w:rPr>
            </w:pPr>
            <w:r w:rsidRPr="00662E51">
              <w:rPr>
                <w:szCs w:val="24"/>
              </w:rPr>
              <w:t>8 men, 6 women</w:t>
            </w:r>
          </w:p>
        </w:tc>
      </w:tr>
      <w:tr w:rsidR="00F27AB7" w:rsidRPr="00662E51" w14:paraId="70CB62A8" w14:textId="77777777" w:rsidTr="00887D32">
        <w:tc>
          <w:tcPr>
            <w:tcW w:w="3539" w:type="dxa"/>
          </w:tcPr>
          <w:p w14:paraId="4154F2B4" w14:textId="77777777" w:rsidR="00AE3C6E" w:rsidRPr="00662E51" w:rsidRDefault="00AE3C6E" w:rsidP="00AE3C6E">
            <w:pPr>
              <w:spacing w:line="360" w:lineRule="auto"/>
              <w:ind w:left="0"/>
              <w:jc w:val="left"/>
              <w:rPr>
                <w:b/>
                <w:bCs/>
                <w:szCs w:val="24"/>
              </w:rPr>
            </w:pPr>
            <w:r w:rsidRPr="00662E51">
              <w:rPr>
                <w:b/>
                <w:bCs/>
                <w:szCs w:val="24"/>
              </w:rPr>
              <w:t>Party Affiliation</w:t>
            </w:r>
          </w:p>
        </w:tc>
        <w:tc>
          <w:tcPr>
            <w:tcW w:w="7235" w:type="dxa"/>
          </w:tcPr>
          <w:p w14:paraId="72EFB3A3" w14:textId="77777777" w:rsidR="00AE3C6E" w:rsidRPr="00662E51" w:rsidRDefault="00AE3C6E" w:rsidP="00AE3C6E">
            <w:pPr>
              <w:spacing w:line="360" w:lineRule="auto"/>
              <w:ind w:left="0"/>
              <w:jc w:val="left"/>
              <w:rPr>
                <w:szCs w:val="24"/>
              </w:rPr>
            </w:pPr>
            <w:r w:rsidRPr="00662E51">
              <w:rPr>
                <w:szCs w:val="24"/>
              </w:rPr>
              <w:t>12 Labour, 2 Liberal Democrat</w:t>
            </w:r>
          </w:p>
        </w:tc>
      </w:tr>
      <w:tr w:rsidR="00F27AB7" w:rsidRPr="00662E51" w14:paraId="44348D49" w14:textId="77777777" w:rsidTr="00887D32">
        <w:tc>
          <w:tcPr>
            <w:tcW w:w="3539" w:type="dxa"/>
          </w:tcPr>
          <w:p w14:paraId="4594BD58" w14:textId="77777777" w:rsidR="00AE3C6E" w:rsidRPr="00662E51" w:rsidRDefault="00AE3C6E" w:rsidP="00AE3C6E">
            <w:pPr>
              <w:spacing w:line="360" w:lineRule="auto"/>
              <w:ind w:left="0"/>
              <w:jc w:val="left"/>
              <w:rPr>
                <w:b/>
                <w:bCs/>
                <w:szCs w:val="24"/>
              </w:rPr>
            </w:pPr>
            <w:r w:rsidRPr="00662E51">
              <w:rPr>
                <w:b/>
                <w:bCs/>
                <w:szCs w:val="24"/>
              </w:rPr>
              <w:t xml:space="preserve">Time served as Councillor </w:t>
            </w:r>
          </w:p>
        </w:tc>
        <w:tc>
          <w:tcPr>
            <w:tcW w:w="7235" w:type="dxa"/>
          </w:tcPr>
          <w:p w14:paraId="7630AB9D" w14:textId="77777777" w:rsidR="00AE3C6E" w:rsidRPr="00662E51" w:rsidRDefault="00AE3C6E" w:rsidP="00AE3C6E">
            <w:pPr>
              <w:spacing w:line="360" w:lineRule="auto"/>
              <w:ind w:left="0"/>
              <w:jc w:val="left"/>
              <w:rPr>
                <w:szCs w:val="24"/>
              </w:rPr>
            </w:pPr>
            <w:r w:rsidRPr="00662E51">
              <w:rPr>
                <w:szCs w:val="24"/>
              </w:rPr>
              <w:t>Generally, between 2 and 10 years</w:t>
            </w:r>
            <w:r w:rsidRPr="00BD17AF">
              <w:rPr>
                <w:rStyle w:val="FootnoteReference"/>
              </w:rPr>
              <w:footnoteReference w:id="52"/>
            </w:r>
          </w:p>
        </w:tc>
      </w:tr>
      <w:tr w:rsidR="00F27AB7" w:rsidRPr="00662E51" w14:paraId="3FA3A30D" w14:textId="77777777" w:rsidTr="00887D32">
        <w:tc>
          <w:tcPr>
            <w:tcW w:w="3539" w:type="dxa"/>
          </w:tcPr>
          <w:p w14:paraId="2F1D0F0C" w14:textId="77777777" w:rsidR="00AE3C6E" w:rsidRPr="00662E51" w:rsidRDefault="00AE3C6E" w:rsidP="00AE3C6E">
            <w:pPr>
              <w:spacing w:line="360" w:lineRule="auto"/>
              <w:ind w:left="0"/>
              <w:jc w:val="left"/>
              <w:rPr>
                <w:b/>
                <w:bCs/>
                <w:szCs w:val="24"/>
              </w:rPr>
            </w:pPr>
            <w:r w:rsidRPr="00662E51">
              <w:rPr>
                <w:b/>
                <w:bCs/>
                <w:szCs w:val="24"/>
              </w:rPr>
              <w:t>Current Status</w:t>
            </w:r>
          </w:p>
        </w:tc>
        <w:tc>
          <w:tcPr>
            <w:tcW w:w="7235" w:type="dxa"/>
          </w:tcPr>
          <w:p w14:paraId="08D71DEC" w14:textId="77777777" w:rsidR="00AE3C6E" w:rsidRPr="00662E51" w:rsidRDefault="00AE3C6E" w:rsidP="00AE3C6E">
            <w:pPr>
              <w:spacing w:line="360" w:lineRule="auto"/>
              <w:ind w:left="0"/>
              <w:jc w:val="left"/>
              <w:rPr>
                <w:szCs w:val="24"/>
              </w:rPr>
            </w:pPr>
            <w:r w:rsidRPr="00662E51">
              <w:rPr>
                <w:szCs w:val="24"/>
              </w:rPr>
              <w:t>6 former councillors and 8 current councillors</w:t>
            </w:r>
          </w:p>
        </w:tc>
      </w:tr>
      <w:tr w:rsidR="00F27AB7" w:rsidRPr="00662E51" w14:paraId="0C886696" w14:textId="77777777" w:rsidTr="00887D32">
        <w:tc>
          <w:tcPr>
            <w:tcW w:w="3539" w:type="dxa"/>
          </w:tcPr>
          <w:p w14:paraId="03B30C08" w14:textId="77777777" w:rsidR="00AE3C6E" w:rsidRPr="00662E51" w:rsidRDefault="00AE3C6E" w:rsidP="00AE3C6E">
            <w:pPr>
              <w:spacing w:line="360" w:lineRule="auto"/>
              <w:ind w:left="0"/>
              <w:jc w:val="left"/>
              <w:rPr>
                <w:b/>
                <w:bCs/>
                <w:szCs w:val="24"/>
              </w:rPr>
            </w:pPr>
            <w:r w:rsidRPr="00662E51">
              <w:rPr>
                <w:b/>
                <w:bCs/>
                <w:szCs w:val="24"/>
              </w:rPr>
              <w:t>Seniority</w:t>
            </w:r>
          </w:p>
        </w:tc>
        <w:tc>
          <w:tcPr>
            <w:tcW w:w="7235" w:type="dxa"/>
          </w:tcPr>
          <w:p w14:paraId="06E14E60" w14:textId="77777777" w:rsidR="00AE3C6E" w:rsidRPr="00662E51" w:rsidRDefault="00AE3C6E" w:rsidP="00AE3C6E">
            <w:pPr>
              <w:spacing w:line="360" w:lineRule="auto"/>
              <w:ind w:left="0"/>
              <w:jc w:val="left"/>
              <w:rPr>
                <w:szCs w:val="24"/>
              </w:rPr>
            </w:pPr>
            <w:r w:rsidRPr="00662E51">
              <w:rPr>
                <w:szCs w:val="24"/>
              </w:rPr>
              <w:t>6 have served as chairs of committees or similar roles; all are committee members</w:t>
            </w:r>
          </w:p>
        </w:tc>
      </w:tr>
    </w:tbl>
    <w:p w14:paraId="14580A05" w14:textId="7085CA83" w:rsidR="00A1577B" w:rsidRPr="00662E51" w:rsidRDefault="00A1577B" w:rsidP="00B20806">
      <w:pPr>
        <w:pStyle w:val="Caption"/>
        <w:ind w:left="0"/>
        <w:rPr>
          <w:i w:val="0"/>
          <w:iCs w:val="0"/>
          <w:color w:val="auto"/>
        </w:rPr>
      </w:pPr>
    </w:p>
    <w:p w14:paraId="108515F8" w14:textId="47124D7A" w:rsidR="00A1577B" w:rsidRPr="00662E51" w:rsidRDefault="00A1577B" w:rsidP="00F56305">
      <w:pPr>
        <w:pStyle w:val="Heading2"/>
      </w:pPr>
      <w:bookmarkStart w:id="405" w:name="_Toc213173975"/>
      <w:bookmarkStart w:id="406" w:name="_Toc216096176"/>
      <w:bookmarkStart w:id="407" w:name="_Toc221184364"/>
      <w:bookmarkStart w:id="408" w:name="_Toc231215282"/>
      <w:r w:rsidRPr="00662E51">
        <w:t>The Hierarchy of Voices and the Party</w:t>
      </w:r>
      <w:bookmarkEnd w:id="405"/>
      <w:bookmarkEnd w:id="406"/>
      <w:bookmarkEnd w:id="407"/>
      <w:r w:rsidR="00836748">
        <w:t>:</w:t>
      </w:r>
      <w:bookmarkEnd w:id="408"/>
    </w:p>
    <w:p w14:paraId="366BC9B3" w14:textId="51836677" w:rsidR="00DC679A" w:rsidRDefault="00A1577B" w:rsidP="00292E4F">
      <w:pPr>
        <w:spacing w:line="360" w:lineRule="auto"/>
        <w:ind w:left="0"/>
        <w:rPr>
          <w:szCs w:val="24"/>
        </w:rPr>
      </w:pPr>
      <w:r w:rsidRPr="00662E51">
        <w:rPr>
          <w:szCs w:val="24"/>
        </w:rPr>
        <w:t xml:space="preserve">Political parties must be understood as multi-scalar organisations whose success is contingent on a shifting power-geometry between central organs and grassroots members </w:t>
      </w:r>
      <w:r w:rsidRPr="00662E51">
        <w:rPr>
          <w:szCs w:val="24"/>
        </w:rPr>
        <w:fldChar w:fldCharType="begin"/>
      </w:r>
      <w:r w:rsidR="001B2CAA">
        <w:rPr>
          <w:szCs w:val="24"/>
        </w:rPr>
        <w:instrText xml:space="preserve"> ADDIN ZOTERO_ITEM CSL_CITATION {"citationID":"GTWIAuIV","properties":{"formattedCitation":"(Copus 2004; J. Scott and Wills 2017)","plainCitation":"(Copus 2004; J. Scott and Wills 2017)","noteIndex":0},"citationItems":[{"id":6766,"uris":["http://zotero.org/users/8977980/items/22FQIFRM"],"itemData":{"id":6766,"type":"book","ISBN":"978-0-7190-6635-1","language":"eng","number-of-pages":"313","publisher":"Manchester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Government","author":[{"family":"Copus","given":"Colin"}],"issued":{"date-parts":[["2004"]]}}},{"id":"n0Saldgp/SMymUFlz","uris":["http://zotero.org/users/8977980/items/L74AUTZ7"],"itemData":{"id":"jliyuaB1/RjbQS3XU","type":"article-journal","abstract":"This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Pr="00662E51">
        <w:rPr>
          <w:szCs w:val="24"/>
        </w:rPr>
        <w:fldChar w:fldCharType="separate"/>
      </w:r>
      <w:r w:rsidR="00213B80" w:rsidRPr="00213B80">
        <w:t>(Copus 2004; J. Scott and Wills 2017)</w:t>
      </w:r>
      <w:r w:rsidRPr="00662E51">
        <w:rPr>
          <w:szCs w:val="24"/>
        </w:rPr>
        <w:fldChar w:fldCharType="end"/>
      </w:r>
      <w:r w:rsidRPr="00662E51">
        <w:rPr>
          <w:szCs w:val="24"/>
        </w:rPr>
        <w:t xml:space="preserve">. The history of the relation between the local and the national Labour Party during the StopHDV campaign reflect this power-geometry. At the beginning, most resistance to the scheme occurred at Labour’s grassroots level. StopHDV started at a local Momentum meeting in 2016 </w:t>
      </w:r>
      <w:r w:rsidRPr="00662E51">
        <w:rPr>
          <w:szCs w:val="24"/>
        </w:rPr>
        <w:fldChar w:fldCharType="begin"/>
      </w:r>
      <w:r w:rsidR="008835AB" w:rsidRPr="00662E51">
        <w:rPr>
          <w:szCs w:val="24"/>
        </w:rPr>
        <w:instrText xml:space="preserve"> ADDIN ZOTERO_ITEM CSL_CITATION {"citationID":"GMQ0IHvP","properties":{"formattedCitation":"(Horton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w:t>
      </w:r>
      <w:r w:rsidR="00603EE7">
        <w:rPr>
          <w:szCs w:val="24"/>
        </w:rPr>
        <w:t xml:space="preserve">Momentum was </w:t>
      </w:r>
      <w:r w:rsidR="00653A63">
        <w:rPr>
          <w:szCs w:val="24"/>
        </w:rPr>
        <w:t xml:space="preserve">founded by Jeremy Corbyn and his allies after he became Labour Party Leader in 2015, and functioned as a left-wing </w:t>
      </w:r>
      <w:r w:rsidR="00603EE7">
        <w:rPr>
          <w:szCs w:val="24"/>
        </w:rPr>
        <w:t>pressure group</w:t>
      </w:r>
      <w:r w:rsidR="00653A63">
        <w:rPr>
          <w:szCs w:val="24"/>
        </w:rPr>
        <w:t xml:space="preserve"> </w:t>
      </w:r>
      <w:r w:rsidRPr="00662E51">
        <w:rPr>
          <w:szCs w:val="24"/>
        </w:rPr>
        <w:fldChar w:fldCharType="begin"/>
      </w:r>
      <w:r w:rsidR="00213B80">
        <w:rPr>
          <w:szCs w:val="24"/>
        </w:rPr>
        <w:instrText xml:space="preserve"> ADDIN ZOTERO_ITEM CSL_CITATION {"citationID":"Vwm3D2tV","properties":{"formattedCitation":"(B. Ward 2022)","plainCitation":"(B. Ward 2022)","noteIndex":0},"citationItems":[{"id":5841,"uris":["http://zotero.org/users/8977980/items/ALM77PTV"],"itemData":{"id":5841,"type":"article-journal","abstract":"During the early years of Jeremy Corbyn’s tenure as Labour leader, promises of wide sweeping party reform, in particular members-led democratisation, were central to fortifying his support within the extra-parliamentary party. However, by the time Corbyn’s leadership came to a close, very few reforms had been achieved. This article argues that whilst the Corbyn leadership was initially drawn towards a more grassroots vision of rank-and-file democracy, this came into tension with the demands facing the leadership in the context of intense intra-party factionalism. In a Brexit-dominated political landscape, both the normative and actual constraints facing internal party democracy meant that major party reforms were increasingly sidelined. Going forward, this has renewed important questions surrounding if, and how, a more direct vision of democracy is possible within a deeply institutionalised centre-left party.","container-title":"British Politics","DOI":"10.1057/s41293-021-00158-8","ISSN":"1746-9198","issue":"3","journalAbbreviation":"Br Polit","language":"en","page":"353-365","source":"Springer Link","title":"Managing democracy in Corbyn’s Labour Party: faction-fighting or movement-building?","title-short":"Managing democracy in Corbyn’s Labour Party","volume":"17","author":[{"family":"Ward","given":"Bradley"}],"issued":{"date-parts":[["2022",9,1]]}}}],"schema":"https://github.com/citation-style-language/schema/raw/master/csl-citation.json"} </w:instrText>
      </w:r>
      <w:r w:rsidRPr="00662E51">
        <w:rPr>
          <w:szCs w:val="24"/>
        </w:rPr>
        <w:fldChar w:fldCharType="separate"/>
      </w:r>
      <w:r w:rsidR="00213B80" w:rsidRPr="00213B80">
        <w:t>(B. Ward 2022)</w:t>
      </w:r>
      <w:r w:rsidRPr="00662E51">
        <w:rPr>
          <w:szCs w:val="24"/>
        </w:rPr>
        <w:fldChar w:fldCharType="end"/>
      </w:r>
      <w:r w:rsidRPr="00662E51">
        <w:rPr>
          <w:szCs w:val="24"/>
        </w:rPr>
        <w:t xml:space="preserve">. Corbyn represented the Labour left’s vision for a return to an avowedly anti-neoliberal party. However, there was resistance from within the party’s staff and elected politicians due to the perceived radicality of Corbyn and Momentum </w:t>
      </w:r>
      <w:r w:rsidRPr="00662E51">
        <w:rPr>
          <w:szCs w:val="24"/>
        </w:rPr>
        <w:fldChar w:fldCharType="begin"/>
      </w:r>
      <w:r w:rsidR="000918D7">
        <w:rPr>
          <w:szCs w:val="24"/>
        </w:rPr>
        <w:instrText xml:space="preserve"> ADDIN ZOTERO_ITEM CSL_CITATION {"citationID":"Kc73q5Uu","properties":{"formattedCitation":"(Dignan 2021; Gilbert 2023; Holden 2025)","plainCitation":"(Dignan 2021; Gilbert 2023; Holden 2025)","noteIndex":0},"citationItems":[{"id":2039,"uris":["http://zotero.org/groups/4816685/items/FHF7UGFX"],"itemData":{"id":2039,"type":"article-magazine","abstract":"The party needs to pull together to take on the challenges facing the borough.","container-title":"New Statesman","language":"en-US","title":"Local people stopped the Haringey Development Vehicle - now it’s time for unity","URL":"https://www.newstatesman.com/politics/2018/01/local-people-stopped-haringey-development-vehicle-now-its-time-unity","author":[{"family":"Dignan","given":"Celia"}],"accessed":{"date-parts":[["2022",8,1]]},"issued":{"date-parts":[["2021",6,9]]}}},{"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7179,"uris":["http://zotero.org/users/8977980/items/KXFN8SZS"],"itemData":{"id":7179,"type":"book","abstract":"Based on Labour Party files, including some never before publicly seen, this explosive investigation lays bare the intrigues, stratagems and deceits that helped deliver Sir Keir Starmer to Downing Street. Paul Holden shows how Starmer has been the frontman for a ruthless, right-wing political project headed by Morgan McSweeney, now chief of staff in Number 10 and arguably the most powerful man in Britain. Having conquered the party on false pretences, McSweeney and his allies set about purging opponents, marginalising the membership and dragging party policy to the right. These machinations were made possible by financial donations that McSweeney did not disclose - a violation of the law that arguably subverted Britain's democratic system","ISBN":"978-1-68219-598-7","language":"eng","note":"OCLC: 1547942173","publisher":"OR Books","publisher-place":"New York","source":"Open WorldCat","title":"The Fraud: Keir Starmer, Morgan McSweeney, and the crisis of British democracy","title-short":"The fraud","author":[{"family":"Holden","given":"Paul"}],"issued":{"date-parts":[["2025"]]}}}],"schema":"https://github.com/citation-style-language/schema/raw/master/csl-citation.json"} </w:instrText>
      </w:r>
      <w:r w:rsidRPr="00662E51">
        <w:rPr>
          <w:szCs w:val="24"/>
        </w:rPr>
        <w:fldChar w:fldCharType="separate"/>
      </w:r>
      <w:r w:rsidR="000918D7" w:rsidRPr="000918D7">
        <w:t>(Dignan 2021; Gilbert 2023; Holden 2025)</w:t>
      </w:r>
      <w:r w:rsidRPr="00662E51">
        <w:rPr>
          <w:szCs w:val="24"/>
        </w:rPr>
        <w:fldChar w:fldCharType="end"/>
      </w:r>
      <w:r w:rsidRPr="00662E51">
        <w:rPr>
          <w:szCs w:val="24"/>
        </w:rPr>
        <w:t xml:space="preserve">. </w:t>
      </w:r>
      <w:r w:rsidR="00E76154" w:rsidRPr="00662E51">
        <w:rPr>
          <w:szCs w:val="24"/>
        </w:rPr>
        <w:t>Nonetheless</w:t>
      </w:r>
      <w:r w:rsidRPr="00662E51">
        <w:rPr>
          <w:szCs w:val="24"/>
        </w:rPr>
        <w:t>, as John says, this radicality attracted newer members to the party: Corbyn’s rise was linked to a “surge in membership” at the local level and even stated he joined the party “when Corbyn was standing” for leader. John noted that for much of the time before the StopHDV movement and Corbyn’s ascension, monthly ward meetings for party members</w:t>
      </w:r>
      <w:r w:rsidR="00DC679A" w:rsidRPr="00662E51">
        <w:rPr>
          <w:szCs w:val="24"/>
        </w:rPr>
        <w:t xml:space="preserve"> </w:t>
      </w:r>
      <w:r w:rsidRPr="00662E51">
        <w:rPr>
          <w:szCs w:val="24"/>
        </w:rPr>
        <w:t xml:space="preserve">“never reached double figures… </w:t>
      </w:r>
      <w:r w:rsidR="000D0C71" w:rsidRPr="00662E51">
        <w:rPr>
          <w:szCs w:val="24"/>
        </w:rPr>
        <w:t xml:space="preserve">Officers were elected in meetings where there were six people and three or four of them became officers.” </w:t>
      </w:r>
      <w:r w:rsidR="00056BAF" w:rsidRPr="00662E51">
        <w:rPr>
          <w:szCs w:val="24"/>
        </w:rPr>
        <w:t>For</w:t>
      </w:r>
      <w:r w:rsidR="00E76154">
        <w:rPr>
          <w:szCs w:val="24"/>
        </w:rPr>
        <w:t xml:space="preserve"> his</w:t>
      </w:r>
      <w:r w:rsidR="00056BAF" w:rsidRPr="00662E51">
        <w:rPr>
          <w:szCs w:val="24"/>
        </w:rPr>
        <w:t xml:space="preserve"> </w:t>
      </w:r>
      <w:r w:rsidR="000D0C71" w:rsidRPr="00662E51">
        <w:rPr>
          <w:szCs w:val="24"/>
        </w:rPr>
        <w:t>own ward</w:t>
      </w:r>
      <w:r w:rsidR="00056BAF" w:rsidRPr="00662E51">
        <w:rPr>
          <w:szCs w:val="24"/>
        </w:rPr>
        <w:t>’s office election</w:t>
      </w:r>
      <w:r w:rsidR="000D0C71" w:rsidRPr="00662E51">
        <w:rPr>
          <w:szCs w:val="24"/>
        </w:rPr>
        <w:t>, John not</w:t>
      </w:r>
      <w:r w:rsidR="00056BAF" w:rsidRPr="00662E51">
        <w:rPr>
          <w:szCs w:val="24"/>
        </w:rPr>
        <w:t>ed</w:t>
      </w:r>
      <w:r w:rsidR="000D0C71" w:rsidRPr="00662E51">
        <w:rPr>
          <w:szCs w:val="24"/>
        </w:rPr>
        <w:t xml:space="preserve"> that </w:t>
      </w:r>
    </w:p>
    <w:p w14:paraId="70E89B64" w14:textId="77777777" w:rsidR="00D30C70" w:rsidRPr="00662E51" w:rsidRDefault="00D30C70" w:rsidP="00D30C70">
      <w:pPr>
        <w:ind w:left="0"/>
        <w:rPr>
          <w:szCs w:val="24"/>
        </w:rPr>
      </w:pPr>
    </w:p>
    <w:p w14:paraId="77029219" w14:textId="3A088E7C" w:rsidR="00056BAF" w:rsidRDefault="00056BAF" w:rsidP="00D30C70">
      <w:pPr>
        <w:ind w:left="720"/>
        <w:rPr>
          <w:szCs w:val="24"/>
        </w:rPr>
      </w:pPr>
      <w:r w:rsidRPr="00662E51">
        <w:rPr>
          <w:szCs w:val="24"/>
        </w:rPr>
        <w:t>There were only six people at the meeting. Half of them belong to one family, which is the family of the long-standing councillor, whose two other family members became officers. That was a bit extreme, but that was</w:t>
      </w:r>
      <w:r w:rsidR="00064BA7" w:rsidRPr="00662E51">
        <w:rPr>
          <w:szCs w:val="24"/>
        </w:rPr>
        <w:t xml:space="preserve"> not</w:t>
      </w:r>
      <w:r w:rsidRPr="00662E51">
        <w:rPr>
          <w:szCs w:val="24"/>
        </w:rPr>
        <w:t xml:space="preserve"> </w:t>
      </w:r>
      <w:r w:rsidR="00064BA7" w:rsidRPr="00662E51">
        <w:rPr>
          <w:szCs w:val="24"/>
        </w:rPr>
        <w:t>un</w:t>
      </w:r>
      <w:r w:rsidRPr="00662E51">
        <w:rPr>
          <w:szCs w:val="24"/>
        </w:rPr>
        <w:t>typical of what was happening in a lot of the wards and so it was a very limited environment.</w:t>
      </w:r>
    </w:p>
    <w:p w14:paraId="1FAAEA44" w14:textId="77777777" w:rsidR="00D30C70" w:rsidRPr="00662E51" w:rsidRDefault="00D30C70" w:rsidP="00D30C70">
      <w:pPr>
        <w:ind w:left="720"/>
        <w:rPr>
          <w:szCs w:val="24"/>
        </w:rPr>
      </w:pPr>
    </w:p>
    <w:p w14:paraId="7997043E" w14:textId="27563745" w:rsidR="00553378" w:rsidRDefault="004F5ECB" w:rsidP="00AA00F1">
      <w:pPr>
        <w:spacing w:line="360" w:lineRule="auto"/>
        <w:ind w:left="0"/>
        <w:rPr>
          <w:szCs w:val="24"/>
        </w:rPr>
      </w:pPr>
      <w:r>
        <w:rPr>
          <w:szCs w:val="24"/>
        </w:rPr>
        <w:t>These members tended to be more radical than their counterparts, as noted by John, Asif, and Melissa</w:t>
      </w:r>
      <w:r w:rsidR="005C5635">
        <w:rPr>
          <w:szCs w:val="24"/>
        </w:rPr>
        <w:t xml:space="preserve">. More </w:t>
      </w:r>
      <w:r w:rsidR="00CA264F">
        <w:rPr>
          <w:szCs w:val="24"/>
        </w:rPr>
        <w:t>importantly</w:t>
      </w:r>
      <w:r w:rsidR="005C5635">
        <w:rPr>
          <w:szCs w:val="24"/>
        </w:rPr>
        <w:t xml:space="preserve">, these members </w:t>
      </w:r>
      <w:r w:rsidR="00CA264F">
        <w:rPr>
          <w:szCs w:val="24"/>
        </w:rPr>
        <w:t xml:space="preserve">were broadly opposed to the type of neoliberal logic(s) embedded within the HDV and the council leadership at that time </w:t>
      </w:r>
      <w:r w:rsidR="00CA264F">
        <w:rPr>
          <w:szCs w:val="24"/>
        </w:rPr>
        <w:fldChar w:fldCharType="begin"/>
      </w:r>
      <w:r w:rsidR="00CA264F">
        <w:rPr>
          <w:szCs w:val="24"/>
        </w:rPr>
        <w:instrText xml:space="preserve"> ADDIN ZOTERO_ITEM CSL_CITATION {"citationID":"afGsTrm6","properties":{"formattedCitation":"(Horton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00CA264F">
        <w:rPr>
          <w:szCs w:val="24"/>
        </w:rPr>
        <w:fldChar w:fldCharType="separate"/>
      </w:r>
      <w:r w:rsidR="00CA264F" w:rsidRPr="00CA264F">
        <w:t>(Horton and Penny 2024)</w:t>
      </w:r>
      <w:r w:rsidR="00CA264F">
        <w:rPr>
          <w:szCs w:val="24"/>
        </w:rPr>
        <w:fldChar w:fldCharType="end"/>
      </w:r>
      <w:r w:rsidR="00CA264F">
        <w:rPr>
          <w:szCs w:val="24"/>
        </w:rPr>
        <w:t xml:space="preserve">. </w:t>
      </w:r>
      <w:r w:rsidRPr="004F5ECB">
        <w:rPr>
          <w:szCs w:val="24"/>
        </w:rPr>
        <w:t>A change in quantity and makeup of a ward’s membership</w:t>
      </w:r>
      <w:r>
        <w:rPr>
          <w:szCs w:val="24"/>
        </w:rPr>
        <w:t xml:space="preserve"> can have </w:t>
      </w:r>
      <w:r w:rsidR="00133BA1" w:rsidRPr="00662E51">
        <w:rPr>
          <w:szCs w:val="24"/>
        </w:rPr>
        <w:t>knock-on impacts on the councillor and their choices</w:t>
      </w:r>
      <w:r w:rsidR="00582113">
        <w:rPr>
          <w:szCs w:val="24"/>
        </w:rPr>
        <w:t xml:space="preserve">: </w:t>
      </w:r>
      <w:r w:rsidR="00133BA1">
        <w:rPr>
          <w:szCs w:val="24"/>
        </w:rPr>
        <w:t>l</w:t>
      </w:r>
      <w:r w:rsidR="00A1577B" w:rsidRPr="00662E51">
        <w:rPr>
          <w:szCs w:val="24"/>
        </w:rPr>
        <w:t xml:space="preserve">ay party members are </w:t>
      </w:r>
      <w:r w:rsidR="00582113">
        <w:rPr>
          <w:szCs w:val="24"/>
        </w:rPr>
        <w:t>important</w:t>
      </w:r>
      <w:r w:rsidR="00133BA1">
        <w:rPr>
          <w:szCs w:val="24"/>
        </w:rPr>
        <w:t xml:space="preserve"> as “</w:t>
      </w:r>
      <w:r w:rsidR="00A1577B" w:rsidRPr="00662E51">
        <w:rPr>
          <w:szCs w:val="24"/>
        </w:rPr>
        <w:t>the eyes and ears in the local community</w:t>
      </w:r>
      <w:r w:rsidR="00133BA1">
        <w:rPr>
          <w:szCs w:val="24"/>
        </w:rPr>
        <w:t>.</w:t>
      </w:r>
      <w:r w:rsidR="00A1577B" w:rsidRPr="00662E51">
        <w:rPr>
          <w:szCs w:val="24"/>
        </w:rPr>
        <w:t>”</w:t>
      </w:r>
      <w:r w:rsidR="00133BA1">
        <w:rPr>
          <w:szCs w:val="24"/>
        </w:rPr>
        <w:t xml:space="preserve"> </w:t>
      </w:r>
      <w:r w:rsidR="00A1577B" w:rsidRPr="00662E51">
        <w:rPr>
          <w:szCs w:val="24"/>
        </w:rPr>
        <w:t xml:space="preserve">This is why John says that Corbyn’s celebrity “gave legs to </w:t>
      </w:r>
      <w:r>
        <w:rPr>
          <w:szCs w:val="24"/>
        </w:rPr>
        <w:t xml:space="preserve">[the </w:t>
      </w:r>
      <w:r>
        <w:rPr>
          <w:szCs w:val="24"/>
        </w:rPr>
        <w:lastRenderedPageBreak/>
        <w:t>StopHDV]</w:t>
      </w:r>
      <w:r w:rsidR="00A1577B" w:rsidRPr="00662E51">
        <w:rPr>
          <w:szCs w:val="24"/>
        </w:rPr>
        <w:t xml:space="preserve"> campaign that otherwise would have been a small community opposition, that probably wouldn't have gone very far.” Melissa too explicitly linked the StopHDV campaign</w:t>
      </w:r>
      <w:r w:rsidR="00582113">
        <w:rPr>
          <w:szCs w:val="24"/>
        </w:rPr>
        <w:t xml:space="preserve"> </w:t>
      </w:r>
      <w:r w:rsidR="00A1577B" w:rsidRPr="00662E51">
        <w:rPr>
          <w:szCs w:val="24"/>
        </w:rPr>
        <w:t xml:space="preserve">to a Corbyn-surge: “it represented the only real shift in politics at local level.” However, this did not directly translate into widespread opposition to the HDV among </w:t>
      </w:r>
      <w:r w:rsidR="00582113">
        <w:rPr>
          <w:szCs w:val="24"/>
        </w:rPr>
        <w:t xml:space="preserve">the Labour </w:t>
      </w:r>
      <w:r w:rsidR="00D10369">
        <w:rPr>
          <w:szCs w:val="24"/>
        </w:rPr>
        <w:t>g</w:t>
      </w:r>
      <w:r w:rsidR="00582113">
        <w:rPr>
          <w:szCs w:val="24"/>
        </w:rPr>
        <w:t xml:space="preserve">roup </w:t>
      </w:r>
      <w:r w:rsidR="00D10369">
        <w:rPr>
          <w:szCs w:val="24"/>
        </w:rPr>
        <w:t>of councillors</w:t>
      </w:r>
      <w:r w:rsidR="00A1577B" w:rsidRPr="00662E51">
        <w:rPr>
          <w:szCs w:val="24"/>
        </w:rPr>
        <w:t xml:space="preserve">. Indeed, the council still comprised various councillors loyal to the then-Council Leader Claire Kober between 2016 and 2018, and so were seen as being pro-HDV </w:t>
      </w:r>
      <w:r w:rsidR="00A1577B" w:rsidRPr="00662E51">
        <w:rPr>
          <w:szCs w:val="24"/>
        </w:rPr>
        <w:fldChar w:fldCharType="begin"/>
      </w:r>
      <w:r w:rsidR="004C034F">
        <w:rPr>
          <w:szCs w:val="24"/>
        </w:rPr>
        <w:instrText xml:space="preserve"> ADDIN ZOTERO_ITEM CSL_CITATION {"citationID":"zHPcDNrl","properties":{"formattedCitation":"(Barratt 2018b)","plainCitation":"(Barratt 2018b)","noteIndex":0},"citationItems":[{"id":6349,"uris":["http://zotero.org/users/8977980/items/YD9PFWJ2"],"itemData":{"id":6349,"type":"article-newspaper","abstract":"A trusted source of up-to-date news for social housing professionals – the only place to get comprehensive coverage of all the big topics.","container-title":"Inside Housing","language":"En","publisher-place":"London (UK), United Kingdom","section":"News","title":"Haringey councillors vote to continue with development vehicle","URL":"https://www.insidehousing.co.uk/news/haringey-councillors-vote-to-continue-with-development-vehicle-54032","author":[{"family":"Barratt","given":"Luke"}],"accessed":{"date-parts":[["2025",3,3]]},"issued":{"date-parts":[["2018",1,16]]}}}],"schema":"https://github.com/citation-style-language/schema/raw/master/csl-citation.json"} </w:instrText>
      </w:r>
      <w:r w:rsidR="00A1577B" w:rsidRPr="00662E51">
        <w:rPr>
          <w:szCs w:val="24"/>
        </w:rPr>
        <w:fldChar w:fldCharType="separate"/>
      </w:r>
      <w:r w:rsidR="004C034F" w:rsidRPr="004C034F">
        <w:t>(Barratt 2018b)</w:t>
      </w:r>
      <w:r w:rsidR="00A1577B" w:rsidRPr="00662E51">
        <w:rPr>
          <w:szCs w:val="24"/>
        </w:rPr>
        <w:fldChar w:fldCharType="end"/>
      </w:r>
      <w:r w:rsidR="00A1577B" w:rsidRPr="00662E51">
        <w:rPr>
          <w:szCs w:val="24"/>
        </w:rPr>
        <w:t xml:space="preserve">. Such differences were even legible to outsiders like Liliana who noticed geographic variation when she was standing as a Liberal Democrat candidate in 2018. Asif likewise contrasted party members in the western part of Haringey who “tend to be sort of like middle class homeowners” who understand social issues differently than their counterparts in the eastern part of Haringey—which has a long history of radical politics </w:t>
      </w:r>
      <w:r w:rsidR="00A1577B" w:rsidRPr="00662E51">
        <w:rPr>
          <w:szCs w:val="24"/>
        </w:rPr>
        <w:fldChar w:fldCharType="begin"/>
      </w:r>
      <w:r w:rsidR="008835AB" w:rsidRPr="00662E51">
        <w:rPr>
          <w:szCs w:val="24"/>
        </w:rPr>
        <w:instrText xml:space="preserve"> ADDIN ZOTERO_ITEM CSL_CITATION {"citationID":"HrDdJmuU","properties":{"formattedCitation":"(Dillon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00A1577B" w:rsidRPr="00662E51">
        <w:rPr>
          <w:szCs w:val="24"/>
        </w:rPr>
        <w:fldChar w:fldCharType="separate"/>
      </w:r>
      <w:r w:rsidR="0095662D" w:rsidRPr="00662E51">
        <w:t>(Dillon and Fanning 2011)</w:t>
      </w:r>
      <w:r w:rsidR="00A1577B" w:rsidRPr="00662E51">
        <w:rPr>
          <w:szCs w:val="24"/>
        </w:rPr>
        <w:fldChar w:fldCharType="end"/>
      </w:r>
      <w:r w:rsidR="00A1577B" w:rsidRPr="00662E51">
        <w:rPr>
          <w:szCs w:val="24"/>
        </w:rPr>
        <w:t xml:space="preserve">. These new members were </w:t>
      </w:r>
      <w:r w:rsidR="00AA00F1">
        <w:rPr>
          <w:szCs w:val="24"/>
        </w:rPr>
        <w:t xml:space="preserve">likewise </w:t>
      </w:r>
      <w:r w:rsidR="00A1577B" w:rsidRPr="00662E51">
        <w:rPr>
          <w:szCs w:val="24"/>
        </w:rPr>
        <w:t xml:space="preserve">not compliant with the existing Council leadership at the time: Asif told me that Corbyn’s rise “mobilised loads and loads” of members to express their opinions in all aspects of the grassroots party’s machinery—including the all-important councillor selection process. As John mentioned, Corbyn’s ascension </w:t>
      </w:r>
    </w:p>
    <w:p w14:paraId="20E2583E" w14:textId="77777777" w:rsidR="008813EF" w:rsidRPr="00662E51" w:rsidRDefault="008813EF" w:rsidP="008813EF">
      <w:pPr>
        <w:ind w:left="0" w:firstLine="720"/>
        <w:rPr>
          <w:szCs w:val="24"/>
        </w:rPr>
      </w:pPr>
    </w:p>
    <w:p w14:paraId="46185120" w14:textId="301936FC" w:rsidR="002461CD" w:rsidRDefault="00890FE0" w:rsidP="008813EF">
      <w:pPr>
        <w:ind w:left="720"/>
        <w:rPr>
          <w:szCs w:val="24"/>
        </w:rPr>
      </w:pPr>
      <w:r w:rsidRPr="00662E51">
        <w:rPr>
          <w:szCs w:val="24"/>
        </w:rPr>
        <w:t xml:space="preserve">seemed to demonstrate that actually it was possible to change things and it was possible to do things differently, and to effectively challenge the kind of whole austerity agenda. And so </w:t>
      </w:r>
      <w:r w:rsidR="00EB20AC" w:rsidRPr="00662E51">
        <w:rPr>
          <w:szCs w:val="24"/>
        </w:rPr>
        <w:t xml:space="preserve">[it mattered] </w:t>
      </w:r>
      <w:r w:rsidRPr="00662E51">
        <w:rPr>
          <w:szCs w:val="24"/>
        </w:rPr>
        <w:t>in a place like Haringey, where the politics for better or worse has been and continues to be completely dominated by the Labour Party</w:t>
      </w:r>
      <w:r w:rsidR="0011709E" w:rsidRPr="00662E51">
        <w:rPr>
          <w:szCs w:val="24"/>
        </w:rPr>
        <w:t>.</w:t>
      </w:r>
    </w:p>
    <w:p w14:paraId="4CA09653" w14:textId="77777777" w:rsidR="008813EF" w:rsidRPr="00662E51" w:rsidRDefault="008813EF" w:rsidP="008813EF">
      <w:pPr>
        <w:ind w:left="720"/>
        <w:rPr>
          <w:szCs w:val="24"/>
        </w:rPr>
      </w:pPr>
    </w:p>
    <w:p w14:paraId="59C67E11" w14:textId="76433141" w:rsidR="00AA00F1" w:rsidRDefault="00AC52B1" w:rsidP="00C86EC0">
      <w:pPr>
        <w:spacing w:line="360" w:lineRule="auto"/>
        <w:ind w:left="0"/>
        <w:rPr>
          <w:szCs w:val="24"/>
        </w:rPr>
      </w:pPr>
      <w:r>
        <w:rPr>
          <w:szCs w:val="24"/>
        </w:rPr>
        <w:t xml:space="preserve">Consequently, the direction of lay membership tended to be more radical </w:t>
      </w:r>
      <w:r w:rsidR="000D5143">
        <w:rPr>
          <w:szCs w:val="24"/>
        </w:rPr>
        <w:t xml:space="preserve">than </w:t>
      </w:r>
      <w:r>
        <w:rPr>
          <w:szCs w:val="24"/>
        </w:rPr>
        <w:t xml:space="preserve">elected </w:t>
      </w:r>
      <w:r w:rsidR="000D5143">
        <w:rPr>
          <w:szCs w:val="24"/>
        </w:rPr>
        <w:t xml:space="preserve">Labour </w:t>
      </w:r>
      <w:r>
        <w:rPr>
          <w:szCs w:val="24"/>
        </w:rPr>
        <w:t>politicians (and political leadership)</w:t>
      </w:r>
      <w:r w:rsidR="000D5143">
        <w:rPr>
          <w:szCs w:val="24"/>
        </w:rPr>
        <w:t xml:space="preserve">. </w:t>
      </w:r>
      <w:r w:rsidR="001B6614">
        <w:rPr>
          <w:szCs w:val="24"/>
        </w:rPr>
        <w:t xml:space="preserve">As new, </w:t>
      </w:r>
      <w:r w:rsidR="00C86EC0">
        <w:rPr>
          <w:szCs w:val="24"/>
        </w:rPr>
        <w:t>more radical</w:t>
      </w:r>
      <w:r w:rsidR="001B6614">
        <w:rPr>
          <w:szCs w:val="24"/>
        </w:rPr>
        <w:t xml:space="preserve"> members became more vocal in the party structure, </w:t>
      </w:r>
      <w:r w:rsidR="00452E8F">
        <w:rPr>
          <w:szCs w:val="24"/>
        </w:rPr>
        <w:t>the overall direction of the party became unstable</w:t>
      </w:r>
      <w:r w:rsidR="00425111">
        <w:rPr>
          <w:szCs w:val="24"/>
        </w:rPr>
        <w:t xml:space="preserve">: </w:t>
      </w:r>
      <w:r w:rsidR="00C86EC0">
        <w:rPr>
          <w:szCs w:val="24"/>
        </w:rPr>
        <w:t xml:space="preserve">the </w:t>
      </w:r>
      <w:r w:rsidR="00425111">
        <w:rPr>
          <w:szCs w:val="24"/>
        </w:rPr>
        <w:t xml:space="preserve">power-geometry </w:t>
      </w:r>
      <w:r w:rsidR="00425111">
        <w:rPr>
          <w:szCs w:val="24"/>
        </w:rPr>
        <w:fldChar w:fldCharType="begin"/>
      </w:r>
      <w:r w:rsidR="001B2CAA">
        <w:rPr>
          <w:szCs w:val="24"/>
        </w:rPr>
        <w:instrText xml:space="preserve"> ADDIN ZOTERO_ITEM CSL_CITATION {"citationID":"sou0Mhtb","properties":{"formattedCitation":"(J. Scott and Wills 2017)","plainCitation":"(J. Scott and Wills 2017)","noteIndex":0},"citationItems":[{"id":"n0Saldgp/SMymUFlz","uris":["http://zotero.org/users/8977980/items/L74AUTZ7"],"itemData":{"id":"IWMNjQeL/VQGbYThz","type":"article-journal","abstract":"This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00425111">
        <w:rPr>
          <w:szCs w:val="24"/>
        </w:rPr>
        <w:fldChar w:fldCharType="separate"/>
      </w:r>
      <w:r w:rsidR="00213B80" w:rsidRPr="00213B80">
        <w:t>(J. Scott and Wills 2017)</w:t>
      </w:r>
      <w:r w:rsidR="00425111">
        <w:rPr>
          <w:szCs w:val="24"/>
        </w:rPr>
        <w:fldChar w:fldCharType="end"/>
      </w:r>
      <w:r w:rsidR="00C86EC0">
        <w:rPr>
          <w:szCs w:val="24"/>
        </w:rPr>
        <w:t xml:space="preserve"> between local members and local leadership began tugging in opposite directions. That is, the future of the HDV </w:t>
      </w:r>
      <w:r w:rsidR="00AA00F1" w:rsidRPr="00AA00F1">
        <w:rPr>
          <w:szCs w:val="24"/>
        </w:rPr>
        <w:t>became a question of who and which faction would win control over the Council.</w:t>
      </w:r>
      <w:r w:rsidR="00AA00F1">
        <w:rPr>
          <w:szCs w:val="24"/>
        </w:rPr>
        <w:t xml:space="preserve"> </w:t>
      </w:r>
    </w:p>
    <w:p w14:paraId="49795CC7" w14:textId="4A576922" w:rsidR="00A1577B" w:rsidRPr="00662E51" w:rsidRDefault="00A1577B" w:rsidP="00C86EC0">
      <w:pPr>
        <w:spacing w:line="360" w:lineRule="auto"/>
        <w:ind w:left="0" w:firstLine="720"/>
        <w:rPr>
          <w:szCs w:val="24"/>
        </w:rPr>
      </w:pPr>
      <w:r w:rsidRPr="00662E51">
        <w:rPr>
          <w:szCs w:val="24"/>
        </w:rPr>
        <w:t>Such changes evince a noticeable break from the atmosphere of worry</w:t>
      </w:r>
      <w:r w:rsidR="00AA00F1">
        <w:rPr>
          <w:szCs w:val="24"/>
        </w:rPr>
        <w:t xml:space="preserve"> among activists</w:t>
      </w:r>
      <w:r w:rsidRPr="00662E51">
        <w:rPr>
          <w:szCs w:val="24"/>
        </w:rPr>
        <w:t xml:space="preserve"> caused by the HDV’s announcement that marked the period from 2011 to the cancelling of the policy in 2018 </w:t>
      </w:r>
      <w:r w:rsidRPr="00662E51">
        <w:rPr>
          <w:szCs w:val="24"/>
        </w:rPr>
        <w:fldChar w:fldCharType="begin"/>
      </w:r>
      <w:r w:rsidR="008835AB" w:rsidRPr="00662E51">
        <w:rPr>
          <w:szCs w:val="24"/>
        </w:rPr>
        <w:instrText xml:space="preserve"> ADDIN ZOTERO_ITEM CSL_CITATION {"citationID":"VDdzpcB0","properties":{"formattedCitation":"(Horton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This general </w:t>
      </w:r>
      <w:r w:rsidRPr="00662E51">
        <w:rPr>
          <w:szCs w:val="24"/>
        </w:rPr>
        <w:lastRenderedPageBreak/>
        <w:t xml:space="preserve">uptick in leftism in the party signals the start of a clarifying of the indeterminate situation that started with the 2011 uprising and the subsequent announcement of the HDV. It also represents </w:t>
      </w:r>
      <w:r w:rsidR="00B75688">
        <w:rPr>
          <w:szCs w:val="24"/>
        </w:rPr>
        <w:t xml:space="preserve">a </w:t>
      </w:r>
      <w:r w:rsidRPr="00662E51">
        <w:rPr>
          <w:szCs w:val="24"/>
        </w:rPr>
        <w:t>laying of the ground</w:t>
      </w:r>
      <w:r w:rsidR="00B75688">
        <w:rPr>
          <w:szCs w:val="24"/>
        </w:rPr>
        <w:t xml:space="preserve">s </w:t>
      </w:r>
      <w:r w:rsidRPr="00662E51">
        <w:rPr>
          <w:szCs w:val="24"/>
        </w:rPr>
        <w:t xml:space="preserve">for the state revolutionary to reverse the existing order. That is, Corbynism amplified the anti-privatisation message of the StopHDV campaign throughout the </w:t>
      </w:r>
      <w:r w:rsidR="00B75688">
        <w:rPr>
          <w:szCs w:val="24"/>
        </w:rPr>
        <w:t xml:space="preserve">Haringey </w:t>
      </w:r>
      <w:r w:rsidRPr="00662E51">
        <w:rPr>
          <w:szCs w:val="24"/>
        </w:rPr>
        <w:t>Labour Party</w:t>
      </w:r>
      <w:r w:rsidR="00B75688">
        <w:rPr>
          <w:szCs w:val="24"/>
        </w:rPr>
        <w:t>.</w:t>
      </w:r>
      <w:r w:rsidRPr="00662E51">
        <w:rPr>
          <w:szCs w:val="24"/>
        </w:rPr>
        <w:t xml:space="preserve"> </w:t>
      </w:r>
    </w:p>
    <w:p w14:paraId="4FE90FE4" w14:textId="21CD0F0A" w:rsidR="00A1577B" w:rsidRPr="00662E51" w:rsidRDefault="00A1577B" w:rsidP="00F56305">
      <w:pPr>
        <w:spacing w:line="360" w:lineRule="auto"/>
        <w:ind w:left="0" w:firstLine="720"/>
        <w:rPr>
          <w:szCs w:val="24"/>
        </w:rPr>
      </w:pPr>
      <w:r w:rsidRPr="00662E51">
        <w:rPr>
          <w:szCs w:val="24"/>
        </w:rPr>
        <w:t>The geographic and scaled diversity persisted throughout the anti-HDV campaign. An example of scaling is when</w:t>
      </w:r>
      <w:r w:rsidR="000C24AF" w:rsidRPr="00662E51">
        <w:rPr>
          <w:szCs w:val="24"/>
        </w:rPr>
        <w:t xml:space="preserve"> Labour’s National Executive Committee (NEC</w:t>
      </w:r>
      <w:r w:rsidR="00777E8D">
        <w:rPr>
          <w:szCs w:val="24"/>
        </w:rPr>
        <w:t>)</w:t>
      </w:r>
      <w:r w:rsidRPr="00662E51">
        <w:rPr>
          <w:szCs w:val="24"/>
        </w:rPr>
        <w:t xml:space="preserve"> came out against the HDV in 2018, after 22 Haringey Labour councillors asked it to intervene</w:t>
      </w:r>
      <w:r w:rsidR="00777E8D">
        <w:rPr>
          <w:szCs w:val="24"/>
        </w:rPr>
        <w:t xml:space="preserve"> (s</w:t>
      </w:r>
      <w:r w:rsidR="00777E8D" w:rsidRPr="00777E8D">
        <w:rPr>
          <w:szCs w:val="24"/>
        </w:rPr>
        <w:t>ee Section 3.2.3 for more detail on the party’s structure</w:t>
      </w:r>
      <w:r w:rsidR="00777E8D">
        <w:rPr>
          <w:szCs w:val="24"/>
        </w:rPr>
        <w:t>)</w:t>
      </w:r>
      <w:r w:rsidRPr="00662E51">
        <w:rPr>
          <w:szCs w:val="24"/>
        </w:rPr>
        <w:t xml:space="preserve">. The Committee demanded Kober pause the project in the absence of mediation </w:t>
      </w:r>
      <w:r w:rsidRPr="00662E51">
        <w:rPr>
          <w:szCs w:val="24"/>
        </w:rPr>
        <w:fldChar w:fldCharType="begin"/>
      </w:r>
      <w:r w:rsidR="00213B80">
        <w:rPr>
          <w:szCs w:val="24"/>
        </w:rPr>
        <w:instrText xml:space="preserve"> ADDIN ZOTERO_ITEM CSL_CITATION {"citationID":"KT1QXJb7","properties":{"formattedCitation":"(R. Mason 2018)","plainCitation":"(R. Mason 2018)","noteIndex":0},"citationItems":[{"id":6841,"uris":["http://zotero.org/users/8977980/items/XMJRGMTG"],"itemData":{"id":6841,"type":"article-newspaper","abstract":"National executive committee asks Haringey to rethink scheme","container-title":"The Guardian","ISSN":"0261-3077","language":"en-GB","section":"UK news","source":"The Guardian","title":"Labour intervenes in council housing plan dispute","URL":"https://www.theguardian.com/uk-news/2018/jan/23/labour-intervenes-in-council-housing-plan-dispute","author":[{"family":"Mason","given":"Rowena"}],"accessed":{"date-parts":[["2025",9,1]]},"issued":{"date-parts":[["2018",1,23]]}}}],"schema":"https://github.com/citation-style-language/schema/raw/master/csl-citation.json"} </w:instrText>
      </w:r>
      <w:r w:rsidRPr="00662E51">
        <w:rPr>
          <w:szCs w:val="24"/>
        </w:rPr>
        <w:fldChar w:fldCharType="separate"/>
      </w:r>
      <w:r w:rsidR="00213B80" w:rsidRPr="00213B80">
        <w:t>(R. Mason 2018)</w:t>
      </w:r>
      <w:r w:rsidRPr="00662E51">
        <w:rPr>
          <w:szCs w:val="24"/>
        </w:rPr>
        <w:fldChar w:fldCharType="end"/>
      </w:r>
      <w:r w:rsidRPr="00662E51">
        <w:rPr>
          <w:szCs w:val="24"/>
        </w:rPr>
        <w:t xml:space="preserve">. As John notes, this led to a crisis point, in which councillors “were trying to work out how they could vote against” the HDV and not receive retaliation. The threat of an inevitable infighting scandal combined with the fact that, at the time, “the NEC was supportive of what the left was doing,” which led Kober to “gave up the ghost” and resign. As such, this is a clear case of the national scale intervening at the local level. The HDV was defeated with the election of a new council in 2018, who subsequently voted in Joe Ejiofor as leader. This new council was dubbed the ‘Corbyn council’ for its leftist focus. His tenure only lasted three years, stepping down in 2021 </w:t>
      </w:r>
      <w:r w:rsidRPr="00662E51">
        <w:rPr>
          <w:szCs w:val="24"/>
        </w:rPr>
        <w:fldChar w:fldCharType="begin"/>
      </w:r>
      <w:r w:rsidR="00557CA9" w:rsidRPr="00662E51">
        <w:rPr>
          <w:szCs w:val="24"/>
        </w:rPr>
        <w:instrText xml:space="preserve"> ADDIN ZOTERO_ITEM CSL_CITATION {"citationID":"yCpnJZKh","properties":{"formattedCitation":"(Weir 2023)","plainCitation":"(Weir 2023)","noteIndex":0},"citationItems":[{"id":4558,"uris":["http://zotero.org/users/8977980/items/MRSL45ET"],"itemData":{"id":4558,"type":"article-magazine","abstract":"Labour suspended its own rules to bar popular socialist candidates from standing in yesterday's election in Haringey. Members of its Local Campaign Forum explain why they have resigned following this latest attack on democracy.","container-title":"Tribune","language":"en-GB","title":"Labour’s Haringey Stitch-Up","URL":"https://tribunemag.co.uk/2023/06/labours-haringey-stich-up","author":[{"family":"Weir","given":"Adrian"}],"accessed":{"date-parts":[["2023",7,4]]},"issued":{"date-parts":[["2023",6]]}}}],"schema":"https://github.com/citation-style-language/schema/raw/master/csl-citation.json"} </w:instrText>
      </w:r>
      <w:r w:rsidRPr="00662E51">
        <w:rPr>
          <w:szCs w:val="24"/>
        </w:rPr>
        <w:fldChar w:fldCharType="separate"/>
      </w:r>
      <w:r w:rsidR="0095662D" w:rsidRPr="00662E51">
        <w:t>(Weir 2023)</w:t>
      </w:r>
      <w:r w:rsidRPr="00662E51">
        <w:rPr>
          <w:szCs w:val="24"/>
        </w:rPr>
        <w:fldChar w:fldCharType="end"/>
      </w:r>
      <w:r w:rsidRPr="00662E51">
        <w:rPr>
          <w:szCs w:val="24"/>
        </w:rPr>
        <w:t>.</w:t>
      </w:r>
    </w:p>
    <w:p w14:paraId="6F847414" w14:textId="4A9224A2" w:rsidR="00467532" w:rsidRDefault="00A1577B" w:rsidP="00F56305">
      <w:pPr>
        <w:spacing w:line="360" w:lineRule="auto"/>
        <w:ind w:left="0" w:firstLine="720"/>
        <w:rPr>
          <w:szCs w:val="24"/>
        </w:rPr>
      </w:pPr>
      <w:r w:rsidRPr="00662E51">
        <w:rPr>
          <w:szCs w:val="24"/>
        </w:rPr>
        <w:t xml:space="preserve">The balance of power shifted decisively against the so-called ‘Corbyn council’ after Keir Starmer became party leader in April 2020. In 2022, in what was another case of scaled power-geometry </w:t>
      </w:r>
      <w:r w:rsidRPr="00662E51">
        <w:rPr>
          <w:szCs w:val="24"/>
        </w:rPr>
        <w:fldChar w:fldCharType="begin"/>
      </w:r>
      <w:r w:rsidR="001B2CAA">
        <w:rPr>
          <w:szCs w:val="24"/>
        </w:rPr>
        <w:instrText xml:space="preserve"> ADDIN ZOTERO_ITEM CSL_CITATION {"citationID":"oMvp2BoH","properties":{"formattedCitation":"(Copus 2004; J. Scott and Wills 2017)","plainCitation":"(Copus 2004; J. Scott and Wills 2017)","noteIndex":0},"citationItems":[{"id":6766,"uris":["http://zotero.org/users/8977980/items/22FQIFRM"],"itemData":{"id":6766,"type":"book","ISBN":"978-0-7190-6635-1","language":"eng","number-of-pages":"313","publisher":"Manchester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Government","author":[{"family":"Copus","given":"Colin"}],"issued":{"date-parts":[["2004"]]}}},{"id":"n0Saldgp/SMymUFlz","uris":["http://zotero.org/users/8977980/items/L74AUTZ7"],"itemData":{"id":"oTNmEYHJ/5YcTMAXE","type":"article-journal","abstract":"This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Pr="00662E51">
        <w:rPr>
          <w:szCs w:val="24"/>
        </w:rPr>
        <w:fldChar w:fldCharType="separate"/>
      </w:r>
      <w:r w:rsidR="00213B80" w:rsidRPr="00213B80">
        <w:t>(Copus 2004; J. Scott and Wills 2017)</w:t>
      </w:r>
      <w:r w:rsidRPr="00662E51">
        <w:rPr>
          <w:szCs w:val="24"/>
        </w:rPr>
        <w:fldChar w:fldCharType="end"/>
      </w:r>
      <w:r w:rsidRPr="00662E51">
        <w:rPr>
          <w:szCs w:val="24"/>
        </w:rPr>
        <w:t xml:space="preserve">, the London regional party (a central organ comprising representatives from local Labour Parties) blocked former Leader Ejiofor from running as a councillor, effectively ending his political career. Weir </w:t>
      </w:r>
      <w:r w:rsidRPr="00662E51">
        <w:rPr>
          <w:szCs w:val="24"/>
        </w:rPr>
        <w:fldChar w:fldCharType="begin"/>
      </w:r>
      <w:r w:rsidRPr="00662E51">
        <w:rPr>
          <w:szCs w:val="24"/>
        </w:rPr>
        <w:instrText xml:space="preserve"> ADDIN ZOTERO_ITEM CSL_CITATION {"citationID":"OARbsrjs","properties":{"formattedCitation":"(2023)","plainCitation":"(2023)","noteIndex":0},"citationItems":[{"id":4558,"uris":["http://zotero.org/users/8977980/items/MRSL45ET"],"itemData":{"id":4558,"type":"article-magazine","abstract":"Labour suspended its own rules to bar popular socialist candidates from standing in yesterday's election in Haringey. Members of its Local Campaign Forum explain why they have resigned following this latest attack on democracy.","container-title":"Tribune","language":"en-GB","title":"Labour’s Haringey Stitch-Up","URL":"https://tribunemag.co.uk/2023/06/labours-haringey-stich-up","author":[{"family":"Weir","given":"Adrian"}],"accessed":{"date-parts":[["2023",7,4]]},"issued":{"date-parts":[["2023",6]]}},"label":"page","suppress-author":true}],"schema":"https://github.com/citation-style-language/schema/raw/master/csl-citation.json"} </w:instrText>
      </w:r>
      <w:r w:rsidRPr="00662E51">
        <w:rPr>
          <w:szCs w:val="24"/>
        </w:rPr>
        <w:fldChar w:fldCharType="separate"/>
      </w:r>
      <w:r w:rsidR="0095662D" w:rsidRPr="00662E51">
        <w:t>(2023)</w:t>
      </w:r>
      <w:r w:rsidRPr="00662E51">
        <w:rPr>
          <w:szCs w:val="24"/>
        </w:rPr>
        <w:fldChar w:fldCharType="end"/>
      </w:r>
      <w:r w:rsidRPr="00662E51">
        <w:rPr>
          <w:szCs w:val="24"/>
        </w:rPr>
        <w:t xml:space="preserve"> claims this was a “stitch-up” instigated by a “cabal of local right-wingers” who wanted to “take back control of the council in 2022 by fair means or foul,” and backed by Starmer. </w:t>
      </w:r>
      <w:r w:rsidR="00E17471" w:rsidRPr="00662E51">
        <w:rPr>
          <w:szCs w:val="24"/>
        </w:rPr>
        <w:t>Ejiofor’s successor</w:t>
      </w:r>
      <w:r w:rsidRPr="00662E51">
        <w:rPr>
          <w:szCs w:val="24"/>
        </w:rPr>
        <w:t>, Peray Ahmet, is described by John as “a complete opportunist</w:t>
      </w:r>
      <w:r w:rsidR="00467532" w:rsidRPr="00662E51">
        <w:rPr>
          <w:szCs w:val="24"/>
        </w:rPr>
        <w:t xml:space="preserve">.” John believed that </w:t>
      </w:r>
    </w:p>
    <w:p w14:paraId="514C5B3E" w14:textId="77777777" w:rsidR="00B23F5B" w:rsidRPr="00662E51" w:rsidRDefault="00B23F5B" w:rsidP="00B23F5B">
      <w:pPr>
        <w:ind w:left="0" w:firstLine="720"/>
        <w:rPr>
          <w:szCs w:val="24"/>
        </w:rPr>
      </w:pPr>
    </w:p>
    <w:p w14:paraId="31A58436" w14:textId="75BD67CA" w:rsidR="00467532" w:rsidRDefault="00467532" w:rsidP="00B23F5B">
      <w:pPr>
        <w:ind w:left="720"/>
        <w:rPr>
          <w:szCs w:val="24"/>
        </w:rPr>
      </w:pPr>
      <w:r w:rsidRPr="00662E51">
        <w:rPr>
          <w:szCs w:val="24"/>
        </w:rPr>
        <w:t xml:space="preserve">[Ahmet] </w:t>
      </w:r>
      <w:r w:rsidR="00314124" w:rsidRPr="00662E51">
        <w:rPr>
          <w:szCs w:val="24"/>
        </w:rPr>
        <w:t xml:space="preserve">wanted to be leader of the Council and very definitely to keep her seat. So, the membership in her ward…. is, the left in [her ward] had been working to deselect her because she was a supporter of the HDV. And of </w:t>
      </w:r>
      <w:r w:rsidR="00314124" w:rsidRPr="00662E51">
        <w:rPr>
          <w:szCs w:val="24"/>
        </w:rPr>
        <w:lastRenderedPageBreak/>
        <w:t>course, when she resigned,</w:t>
      </w:r>
      <w:r w:rsidR="00770016">
        <w:rPr>
          <w:rStyle w:val="FootnoteReference"/>
          <w:szCs w:val="24"/>
        </w:rPr>
        <w:footnoteReference w:id="53"/>
      </w:r>
      <w:r w:rsidR="00314124" w:rsidRPr="00662E51">
        <w:rPr>
          <w:szCs w:val="24"/>
        </w:rPr>
        <w:t xml:space="preserve"> she then tried to make herself a figurehead of people being against the HDV, and that convinced enough people that she kept her council seat.</w:t>
      </w:r>
    </w:p>
    <w:p w14:paraId="351B35C1" w14:textId="77777777" w:rsidR="00B23F5B" w:rsidRPr="00662E51" w:rsidRDefault="00B23F5B" w:rsidP="00B23F5B">
      <w:pPr>
        <w:ind w:left="720"/>
        <w:rPr>
          <w:szCs w:val="24"/>
        </w:rPr>
      </w:pPr>
    </w:p>
    <w:p w14:paraId="3B137040" w14:textId="1E7FA53B" w:rsidR="00A1577B" w:rsidRPr="00662E51" w:rsidRDefault="00314124" w:rsidP="00314124">
      <w:pPr>
        <w:spacing w:line="360" w:lineRule="auto"/>
        <w:ind w:left="0"/>
        <w:rPr>
          <w:szCs w:val="24"/>
        </w:rPr>
      </w:pPr>
      <w:r w:rsidRPr="00662E51">
        <w:rPr>
          <w:szCs w:val="24"/>
        </w:rPr>
        <w:t xml:space="preserve">In John’s eyes, Ahmet is </w:t>
      </w:r>
      <w:r w:rsidR="009C2D1F">
        <w:rPr>
          <w:szCs w:val="24"/>
        </w:rPr>
        <w:t>likewise</w:t>
      </w:r>
      <w:r w:rsidRPr="00662E51">
        <w:rPr>
          <w:szCs w:val="24"/>
        </w:rPr>
        <w:t xml:space="preserve"> </w:t>
      </w:r>
      <w:r w:rsidR="00A1577B" w:rsidRPr="00662E51">
        <w:rPr>
          <w:szCs w:val="24"/>
        </w:rPr>
        <w:t xml:space="preserve">supported “by the remainder of Claire [Kober]’s old faction,” </w:t>
      </w:r>
      <w:r w:rsidR="00F53252" w:rsidRPr="00662E51">
        <w:rPr>
          <w:szCs w:val="24"/>
        </w:rPr>
        <w:t>which was “the most right wing faction” at the time—</w:t>
      </w:r>
      <w:r w:rsidR="00A1577B" w:rsidRPr="00662E51">
        <w:rPr>
          <w:szCs w:val="24"/>
        </w:rPr>
        <w:t>rendering Ahmet the heir to the neoliberal approach, at least in John’s eyes. Asif says, Ahmet has “virtually no support within [the Labour] group herself.” In our conversation, Melissa said Ahmet leads a “more kind of centrist administration.” Melissa, as a leftist councillor</w:t>
      </w:r>
      <w:r w:rsidR="007D1C25">
        <w:rPr>
          <w:szCs w:val="24"/>
        </w:rPr>
        <w:t xml:space="preserve"> (at time of writing)</w:t>
      </w:r>
      <w:r w:rsidR="00A1577B" w:rsidRPr="00662E51">
        <w:rPr>
          <w:szCs w:val="24"/>
        </w:rPr>
        <w:t xml:space="preserve">, also feels “so marginalised at the Council” because of Ahmet’s leadership. As such, some of Haringey’s Left understand the election of Ahmet as a reversion to a more right-wing leadership after Ejiofor’s explicitly leftist tenure and as a shift in power back to the party’s central organs. Horton and Penny </w:t>
      </w:r>
      <w:r w:rsidR="00A1577B" w:rsidRPr="00662E51">
        <w:rPr>
          <w:szCs w:val="24"/>
        </w:rPr>
        <w:fldChar w:fldCharType="begin"/>
      </w:r>
      <w:r w:rsidR="008835AB" w:rsidRPr="00662E51">
        <w:rPr>
          <w:szCs w:val="24"/>
        </w:rPr>
        <w:instrText xml:space="preserve"> ADDIN ZOTERO_ITEM CSL_CITATION {"citationID":"S5FAETpB","properties":{"formattedCitation":"(2024, 119)","plainCitation":"(2024, 119)","noteIndex":0},"citationItems":[{"id":5697,"uris":["http://zotero.org/users/8977980/items/ZPYXM7A6"],"itemData":{"id":5697,"type":"book","ISBN":"978-1-80008-710-1","language":"eng","note":"OCLC: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119","label":"page","suppress-author":true}],"schema":"https://github.com/citation-style-language/schema/raw/master/csl-citation.json"} </w:instrText>
      </w:r>
      <w:r w:rsidR="00A1577B" w:rsidRPr="00662E51">
        <w:rPr>
          <w:szCs w:val="24"/>
        </w:rPr>
        <w:fldChar w:fldCharType="separate"/>
      </w:r>
      <w:r w:rsidR="0095662D" w:rsidRPr="00662E51">
        <w:t>(2024, 119)</w:t>
      </w:r>
      <w:r w:rsidR="00A1577B" w:rsidRPr="00662E51">
        <w:rPr>
          <w:szCs w:val="24"/>
        </w:rPr>
        <w:fldChar w:fldCharType="end"/>
      </w:r>
      <w:r w:rsidR="00A1577B" w:rsidRPr="00662E51">
        <w:rPr>
          <w:szCs w:val="24"/>
        </w:rPr>
        <w:t xml:space="preserve"> write “in the wake of the HDV, a transformative leftward turn in Haringey Council’s political direction was never likely... indeed, the local state’s elected and professional officials were, with few exceptions, the same as before.” </w:t>
      </w:r>
      <w:r w:rsidR="007D4BAA" w:rsidRPr="00662E51">
        <w:rPr>
          <w:szCs w:val="24"/>
        </w:rPr>
        <w:t xml:space="preserve"> </w:t>
      </w:r>
      <w:r w:rsidR="00A1577B" w:rsidRPr="00662E51">
        <w:rPr>
          <w:szCs w:val="24"/>
        </w:rPr>
        <w:t xml:space="preserve">The local political scene thus appears to have remained relatively stable, without any significant break. </w:t>
      </w:r>
    </w:p>
    <w:p w14:paraId="5A2436C5" w14:textId="4970C613" w:rsidR="007E58BF" w:rsidRDefault="00A1577B" w:rsidP="00F56305">
      <w:pPr>
        <w:spacing w:line="360" w:lineRule="auto"/>
        <w:ind w:left="0" w:firstLine="720"/>
        <w:rPr>
          <w:szCs w:val="24"/>
        </w:rPr>
      </w:pPr>
      <w:r w:rsidRPr="00662E51">
        <w:rPr>
          <w:szCs w:val="24"/>
        </w:rPr>
        <w:t xml:space="preserve">Returning to the national scale in the party, </w:t>
      </w:r>
      <w:r w:rsidR="007730F4">
        <w:rPr>
          <w:szCs w:val="24"/>
        </w:rPr>
        <w:t>critics</w:t>
      </w:r>
      <w:r w:rsidRPr="00662E51">
        <w:rPr>
          <w:szCs w:val="24"/>
        </w:rPr>
        <w:t xml:space="preserve"> argue that Starmer’s right-wing bloc has been forcing out left-wing members, with the goal of establishing a membership that is “compliant, loyal and cooperative with the leadership”</w:t>
      </w:r>
      <w:r w:rsidR="007730F4">
        <w:rPr>
          <w:szCs w:val="24"/>
        </w:rPr>
        <w:t xml:space="preserve"> </w:t>
      </w:r>
      <w:r w:rsidR="007730F4">
        <w:rPr>
          <w:szCs w:val="24"/>
        </w:rPr>
        <w:fldChar w:fldCharType="begin"/>
      </w:r>
      <w:r w:rsidR="007730F4">
        <w:rPr>
          <w:szCs w:val="24"/>
        </w:rPr>
        <w:instrText xml:space="preserve"> ADDIN ZOTERO_ITEM CSL_CITATION {"citationID":"SYrvzmUY","properties":{"formattedCitation":"(Gilbert 2023; Holden 2025)","plainCitation":"(Gilbert 2023; Holden 2025)","noteIndex":0},"citationItems":[{"id":5842,"uris":["http://zotero.org/users/8977980/items/QZRKMUSZ"],"itemData":{"id":5842,"type":"article-newspaper","abstract":"In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7179,"uris":["http://zotero.org/users/8977980/items/KXFN8SZS"],"itemData":{"id":7179,"type":"book","abstract":"Based on Labour Party files, including some never before publicly seen, this explosive investigation lays bare the intrigues, stratagems and deceits that helped deliver Sir Keir Starmer to Downing Street. Paul Holden shows how Starmer has been the frontman for a ruthless, right-wing political project headed by Morgan McSweeney, now chief of staff in Number 10 and arguably the most powerful man in Britain. Having conquered the party on false pretences, McSweeney and his allies set about purging opponents, marginalising the membership and dragging party policy to the right. These machinations were made possible by financial donations that McSweeney did not disclose - a violation of the law that arguably subverted Britain's democratic system","ISBN":"978-1-68219-598-7","language":"eng","note":"OCLC: 1547942173","publisher":"OR Books","publisher-place":"New York","source":"Open WorldCat","title":"The Fraud: Keir Starmer, Morgan McSweeney, and the crisis of British democracy","title-short":"The fraud","author":[{"family":"Holden","given":"Paul"}],"issued":{"date-parts":[["2025"]]}}}],"schema":"https://github.com/citation-style-language/schema/raw/master/csl-citation.json"} </w:instrText>
      </w:r>
      <w:r w:rsidR="007730F4">
        <w:rPr>
          <w:szCs w:val="24"/>
        </w:rPr>
        <w:fldChar w:fldCharType="separate"/>
      </w:r>
      <w:r w:rsidR="007730F4" w:rsidRPr="007730F4">
        <w:t>(Gilbert 2023; Holden 2025)</w:t>
      </w:r>
      <w:r w:rsidR="007730F4">
        <w:rPr>
          <w:szCs w:val="24"/>
        </w:rPr>
        <w:fldChar w:fldCharType="end"/>
      </w:r>
      <w:r w:rsidR="007730F4">
        <w:rPr>
          <w:szCs w:val="24"/>
        </w:rPr>
        <w:t xml:space="preserve">. </w:t>
      </w:r>
      <w:r w:rsidRPr="00662E51">
        <w:rPr>
          <w:szCs w:val="24"/>
        </w:rPr>
        <w:t xml:space="preserve">The blocking of Ejiofor is described as one example </w:t>
      </w:r>
      <w:r w:rsidRPr="00662E51">
        <w:rPr>
          <w:szCs w:val="24"/>
        </w:rPr>
        <w:fldChar w:fldCharType="begin"/>
      </w:r>
      <w:r w:rsidR="00557CA9" w:rsidRPr="00662E51">
        <w:rPr>
          <w:szCs w:val="24"/>
        </w:rPr>
        <w:instrText xml:space="preserve"> ADDIN ZOTERO_ITEM CSL_CITATION {"citationID":"LrpUPOwF","properties":{"formattedCitation":"(Weir 2023)","plainCitation":"(Weir 2023)","noteIndex":0},"citationItems":[{"id":4558,"uris":["http://zotero.org/users/8977980/items/MRSL45ET"],"itemData":{"id":4558,"type":"article-magazine","abstract":"Labour suspended its own rules to bar popular socialist candidates from standing in yesterday's election in Haringey. Members of its Local Campaign Forum explain why they have resigned following this latest attack on democracy.","container-title":"Tribune","language":"en-GB","title":"Labour’s Haringey Stitch-Up","URL":"https://tribunemag.co.uk/2023/06/labours-haringey-stich-up","author":[{"family":"Weir","given":"Adrian"}],"accessed":{"date-parts":[["2023",7,4]]},"issued":{"date-parts":[["2023",6]]}}}],"schema":"https://github.com/citation-style-language/schema/raw/master/csl-citation.json"} </w:instrText>
      </w:r>
      <w:r w:rsidRPr="00662E51">
        <w:rPr>
          <w:szCs w:val="24"/>
        </w:rPr>
        <w:fldChar w:fldCharType="separate"/>
      </w:r>
      <w:r w:rsidR="0095662D" w:rsidRPr="00662E51">
        <w:t>(Weir 2023)</w:t>
      </w:r>
      <w:r w:rsidRPr="00662E51">
        <w:rPr>
          <w:szCs w:val="24"/>
        </w:rPr>
        <w:fldChar w:fldCharType="end"/>
      </w:r>
      <w:r w:rsidRPr="00662E51">
        <w:rPr>
          <w:szCs w:val="24"/>
        </w:rPr>
        <w:t xml:space="preserve">. As such membership is located at the ward level, this manoeuvring echoes down the party structure </w:t>
      </w:r>
      <w:r w:rsidRPr="00662E51">
        <w:rPr>
          <w:szCs w:val="24"/>
        </w:rPr>
        <w:fldChar w:fldCharType="begin"/>
      </w:r>
      <w:r w:rsidR="00F15CF8">
        <w:rPr>
          <w:szCs w:val="24"/>
        </w:rPr>
        <w:instrText xml:space="preserve"> ADDIN ZOTERO_ITEM CSL_CITATION {"citationID":"CM9e80kM","properties":{"formattedCitation":"(Copus 2004, 2015)","plainCitation":"(Copus 2004, 2015)","noteIndex":0},"citationItems":[{"id":6766,"uris":["http://zotero.org/users/8977980/items/22FQIFRM"],"itemData":{"id":6766,"type":"book","ISBN":"978-0-7190-6635-1","language":"eng","number-of-pages":"313","publisher":"Manchester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Councillors","author":[{"family":"Copus","given":"Colin"}],"issued":{"date-parts":[["2015"]]}}}],"schema":"https://github.com/citation-style-language/schema/raw/master/csl-citation.json"} </w:instrText>
      </w:r>
      <w:r w:rsidRPr="00662E51">
        <w:rPr>
          <w:szCs w:val="24"/>
        </w:rPr>
        <w:fldChar w:fldCharType="separate"/>
      </w:r>
      <w:r w:rsidR="00F15CF8" w:rsidRPr="00F15CF8">
        <w:t>(Copus 2004, 2015)</w:t>
      </w:r>
      <w:r w:rsidRPr="00662E51">
        <w:rPr>
          <w:szCs w:val="24"/>
        </w:rPr>
        <w:fldChar w:fldCharType="end"/>
      </w:r>
      <w:r w:rsidRPr="00662E51">
        <w:rPr>
          <w:szCs w:val="24"/>
        </w:rPr>
        <w:t xml:space="preserve">. For current leftist Labour members, like Melissa, this infighting </w:t>
      </w:r>
      <w:r w:rsidR="007730F4">
        <w:rPr>
          <w:szCs w:val="24"/>
        </w:rPr>
        <w:t xml:space="preserve">has </w:t>
      </w:r>
      <w:r w:rsidRPr="00662E51">
        <w:rPr>
          <w:szCs w:val="24"/>
        </w:rPr>
        <w:t xml:space="preserve">significant consequences: she says, “the left of the Labour Party has completely splintered. It doesn't exist in any like meaningful form anymore. We’ve had quite a few people who were blocked from running as councillors.” Asif forcefully called out what he saw as Starmer and his allies “play[ing] these sort of stupid games with people trying to boot them out of the party.” </w:t>
      </w:r>
      <w:r w:rsidR="007E58BF" w:rsidRPr="00662E51">
        <w:rPr>
          <w:szCs w:val="24"/>
        </w:rPr>
        <w:t>Our conversation about local democracy is revealing:</w:t>
      </w:r>
    </w:p>
    <w:p w14:paraId="2205874B" w14:textId="77777777" w:rsidR="007730F4" w:rsidRPr="00662E51" w:rsidRDefault="007730F4" w:rsidP="007730F4">
      <w:pPr>
        <w:ind w:left="0" w:firstLine="720"/>
        <w:rPr>
          <w:szCs w:val="24"/>
        </w:rPr>
      </w:pPr>
    </w:p>
    <w:p w14:paraId="3B88FCA6" w14:textId="65D2DAFB" w:rsidR="007E58BF" w:rsidRPr="00662E51" w:rsidRDefault="007E58BF" w:rsidP="007730F4">
      <w:pPr>
        <w:ind w:left="720"/>
        <w:rPr>
          <w:szCs w:val="24"/>
        </w:rPr>
      </w:pPr>
      <w:r w:rsidRPr="00662E51">
        <w:rPr>
          <w:szCs w:val="24"/>
        </w:rPr>
        <w:lastRenderedPageBreak/>
        <w:t xml:space="preserve">AS: </w:t>
      </w:r>
      <w:r w:rsidR="00C74052" w:rsidRPr="00662E51">
        <w:rPr>
          <w:szCs w:val="24"/>
        </w:rPr>
        <w:t>Can you talk about these interactions down at the local level of ward party?</w:t>
      </w:r>
    </w:p>
    <w:p w14:paraId="10C7865E" w14:textId="22FAC3F2" w:rsidR="007E58BF" w:rsidRDefault="00C74052" w:rsidP="007730F4">
      <w:pPr>
        <w:ind w:left="720"/>
        <w:rPr>
          <w:szCs w:val="24"/>
        </w:rPr>
      </w:pPr>
      <w:r w:rsidRPr="00662E51">
        <w:rPr>
          <w:szCs w:val="24"/>
        </w:rPr>
        <w:t xml:space="preserve">Asif: </w:t>
      </w:r>
      <w:r w:rsidR="00A23C86" w:rsidRPr="00662E51">
        <w:rPr>
          <w:szCs w:val="24"/>
        </w:rPr>
        <w:t>all of that is gone under Starmer. There's no democracy. I was talking to a lady yesterday</w:t>
      </w:r>
      <w:r w:rsidR="00550B68" w:rsidRPr="00662E51">
        <w:rPr>
          <w:szCs w:val="24"/>
        </w:rPr>
        <w:t xml:space="preserve"> w</w:t>
      </w:r>
      <w:r w:rsidR="00A23C86" w:rsidRPr="00662E51">
        <w:rPr>
          <w:szCs w:val="24"/>
        </w:rPr>
        <w:t xml:space="preserve">ho was chair of [a </w:t>
      </w:r>
      <w:r w:rsidR="00FC1B9B" w:rsidRPr="00662E51">
        <w:rPr>
          <w:szCs w:val="24"/>
        </w:rPr>
        <w:t>Constituency Labour Party</w:t>
      </w:r>
      <w:r w:rsidR="00A23C86" w:rsidRPr="00662E51">
        <w:rPr>
          <w:szCs w:val="24"/>
        </w:rPr>
        <w:t>]</w:t>
      </w:r>
      <w:r w:rsidR="00A23C86" w:rsidRPr="00BD17AF">
        <w:rPr>
          <w:rStyle w:val="FootnoteReference"/>
        </w:rPr>
        <w:footnoteReference w:id="54"/>
      </w:r>
      <w:r w:rsidR="00A23C86" w:rsidRPr="00662E51">
        <w:rPr>
          <w:szCs w:val="24"/>
        </w:rPr>
        <w:t xml:space="preserve"> for three or four years</w:t>
      </w:r>
      <w:r w:rsidR="00550B68" w:rsidRPr="00662E51">
        <w:rPr>
          <w:szCs w:val="24"/>
        </w:rPr>
        <w:t>…</w:t>
      </w:r>
      <w:r w:rsidR="00A23C86" w:rsidRPr="00662E51">
        <w:rPr>
          <w:szCs w:val="24"/>
        </w:rPr>
        <w:t xml:space="preserve"> she's probably been a party member almost as long as I have, if not longer, and she's resigned</w:t>
      </w:r>
      <w:r w:rsidR="00550B68" w:rsidRPr="00662E51">
        <w:rPr>
          <w:szCs w:val="24"/>
        </w:rPr>
        <w:t xml:space="preserve"> because </w:t>
      </w:r>
      <w:r w:rsidR="00A23C86" w:rsidRPr="00662E51">
        <w:rPr>
          <w:szCs w:val="24"/>
        </w:rPr>
        <w:t>the Labour Party would not allow a motion to be debated about</w:t>
      </w:r>
      <w:r w:rsidR="0008589C" w:rsidRPr="00662E51">
        <w:rPr>
          <w:szCs w:val="24"/>
        </w:rPr>
        <w:t xml:space="preserve"> [the ongoing genocide in</w:t>
      </w:r>
      <w:r w:rsidR="003B739E" w:rsidRPr="00662E51">
        <w:rPr>
          <w:szCs w:val="24"/>
        </w:rPr>
        <w:t>]</w:t>
      </w:r>
      <w:r w:rsidR="00A23C86" w:rsidRPr="00662E51">
        <w:rPr>
          <w:szCs w:val="24"/>
        </w:rPr>
        <w:t xml:space="preserve"> Gaza.</w:t>
      </w:r>
    </w:p>
    <w:p w14:paraId="096AA11C" w14:textId="77777777" w:rsidR="007730F4" w:rsidRPr="00662E51" w:rsidRDefault="007730F4" w:rsidP="00550B68">
      <w:pPr>
        <w:spacing w:line="360" w:lineRule="auto"/>
        <w:ind w:left="720"/>
        <w:rPr>
          <w:szCs w:val="24"/>
        </w:rPr>
      </w:pPr>
    </w:p>
    <w:p w14:paraId="73C61998" w14:textId="25992A30" w:rsidR="00A1577B" w:rsidRPr="00662E51" w:rsidRDefault="00A1577B" w:rsidP="00550B68">
      <w:pPr>
        <w:spacing w:line="360" w:lineRule="auto"/>
        <w:ind w:left="0"/>
        <w:rPr>
          <w:szCs w:val="24"/>
        </w:rPr>
      </w:pPr>
      <w:r w:rsidRPr="00662E51">
        <w:rPr>
          <w:szCs w:val="24"/>
        </w:rPr>
        <w:t xml:space="preserve">Melissa likewise notes that “the gravitational force in politics is to agree with what the national party is saying” because “show[ing] loyalty to the party” is the only way to progress in a political career </w:t>
      </w:r>
      <w:r w:rsidRPr="00662E51">
        <w:rPr>
          <w:szCs w:val="24"/>
        </w:rPr>
        <w:fldChar w:fldCharType="begin"/>
      </w:r>
      <w:r w:rsidR="00F15CF8">
        <w:rPr>
          <w:szCs w:val="24"/>
        </w:rPr>
        <w:instrText xml:space="preserve"> ADDIN ZOTERO_ITEM CSL_CITATION {"citationID":"wK4txyrl","properties":{"formattedCitation":"(Copus 2004, 2015)","plainCitation":"(Copus 2004, 2015)","noteIndex":0},"citationItems":[{"id":6766,"uris":["http://zotero.org/users/8977980/items/22FQIFRM"],"itemData":{"id":6766,"type":"book","ISBN":"978-0-7190-6635-1","language":"eng","number-of-pages":"313","publisher":"Manchester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Councillors","author":[{"family":"Copus","given":"Colin"}],"issued":{"date-parts":[["2015"]]}}}],"schema":"https://github.com/citation-style-language/schema/raw/master/csl-citation.json"} </w:instrText>
      </w:r>
      <w:r w:rsidRPr="00662E51">
        <w:rPr>
          <w:szCs w:val="24"/>
        </w:rPr>
        <w:fldChar w:fldCharType="separate"/>
      </w:r>
      <w:r w:rsidR="00F15CF8" w:rsidRPr="00F15CF8">
        <w:t>(Copus 2004, 2015)</w:t>
      </w:r>
      <w:r w:rsidRPr="00662E51">
        <w:rPr>
          <w:szCs w:val="24"/>
        </w:rPr>
        <w:fldChar w:fldCharType="end"/>
      </w:r>
      <w:r w:rsidRPr="00662E51">
        <w:rPr>
          <w:szCs w:val="24"/>
        </w:rPr>
        <w:t xml:space="preserve">. Consequently, the Labour Party seems to have decisively shifted rightward at both the national and local (Haringey) scales, which might be read as a reversal of the reversal. The StopHDV campaign can thus be read as having sparked a momentary change in the hierarchy of voices, which then reverted to a previous hierarchy. The reversion was abetted by the Party’s structures that privilege formal politics and a cliquish and closed system </w:t>
      </w:r>
      <w:r w:rsidRPr="00662E51">
        <w:rPr>
          <w:szCs w:val="24"/>
        </w:rPr>
        <w:fldChar w:fldCharType="begin"/>
      </w:r>
      <w:r w:rsidR="008835AB" w:rsidRPr="00662E51">
        <w:rPr>
          <w:szCs w:val="24"/>
        </w:rPr>
        <w:instrText xml:space="preserve"> ADDIN ZOTERO_ITEM CSL_CITATION {"citationID":"a5ldVJaK","properties":{"formattedCitation":"(Cockburn 1980)","plainCitation":"(Cockburn 1980)","noteIndex":0},"citationItems":[{"id":5811,"uris":["http://zotero.org/users/8977980/items/U5ZYVUT5"],"itemData":{"id":5811,"type":"book","edition":"Repr","ISBN":"978-0-904383-48-5","language":"eng","number-of-pages":"207","publisher":"Pluto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state","author":[{"family":"Cockburn","given":"Cynthia"}],"issued":{"date-parts":[["1980"]]}}}],"schema":"https://github.com/citation-style-language/schema/raw/master/csl-citation.json"} </w:instrText>
      </w:r>
      <w:r w:rsidRPr="00662E51">
        <w:rPr>
          <w:szCs w:val="24"/>
        </w:rPr>
        <w:fldChar w:fldCharType="separate"/>
      </w:r>
      <w:r w:rsidR="0095662D" w:rsidRPr="00662E51">
        <w:t>(Cockburn 1980)</w:t>
      </w:r>
      <w:r w:rsidRPr="00662E51">
        <w:rPr>
          <w:szCs w:val="24"/>
        </w:rPr>
        <w:fldChar w:fldCharType="end"/>
      </w:r>
      <w:r w:rsidRPr="00662E51">
        <w:rPr>
          <w:szCs w:val="24"/>
        </w:rPr>
        <w:t xml:space="preserve">. Yet, as I argue in the following subsection, this is a simplistic reading: it ignores the consequential effects, the longer term impacts of both modifying the structure of appearances and inspiring future political movements </w:t>
      </w:r>
      <w:r w:rsidRPr="00662E51">
        <w:rPr>
          <w:szCs w:val="24"/>
        </w:rPr>
        <w:fldChar w:fldCharType="begin"/>
      </w:r>
      <w:r w:rsidR="008835AB" w:rsidRPr="00662E51">
        <w:rPr>
          <w:szCs w:val="24"/>
        </w:rPr>
        <w:instrText xml:space="preserve"> ADDIN ZOTERO_ITEM CSL_CITATION {"citationID":"aj2uoqeaco","properties":{"formattedCitation":"(Bassett 2008)","plainCitation":"(Bassett 2008)","noteIndex":0},"citationItems":[{"id":5594,"uris":["http://zotero.org/users/8977980/items/VQPENM7J"],"itemData":{"id":5594,"type":"article-journal","abstract":"The problem of theorising the ‘event’ as a moment of major time–space transformation has become a focus of enquiry in philosophy, history, and the social sciences. In this paper I explore the theory of the event to be found in the recent work of Alain Badiou, relating his ideas to the particular case of the 1871 Paris Commune. I focus on particular problems with his approach, using an alternative formulation of the event found in the work of William Sewell Jr, which for purposes of comparison and critical debate I also relate to the event of the Paris Commune. I conclude by raising and discussing a range of wider issues that arise from the comparison.","container-title":"Environment and Planning D: Society and Space","DOI":"10.1068/d5707","ISSN":"0263-7758","issue":"5","journalAbbreviation":"Environ Plan D","language":"en","page":"895-910","publisher":"SAGE Publications Ltd STM","source":"SAGE Journals","title":"Thinking the Event: Badiou's Philosophy of the Event and the Example of the Paris Commune","title-short":"Thinking the Event","volume":"26","author":[{"family":"Bassett","given":"Keith"}],"issued":{"date-parts":[["2008",10,1]]}}}],"schema":"https://github.com/citation-style-language/schema/raw/master/csl-citation.json"} </w:instrText>
      </w:r>
      <w:r w:rsidRPr="00662E51">
        <w:rPr>
          <w:szCs w:val="24"/>
        </w:rPr>
        <w:fldChar w:fldCharType="separate"/>
      </w:r>
      <w:r w:rsidR="0095662D" w:rsidRPr="00662E51">
        <w:t>(Bassett 2008)</w:t>
      </w:r>
      <w:r w:rsidRPr="00662E51">
        <w:rPr>
          <w:szCs w:val="24"/>
        </w:rPr>
        <w:fldChar w:fldCharType="end"/>
      </w:r>
      <w:r w:rsidRPr="00662E51">
        <w:rPr>
          <w:szCs w:val="24"/>
        </w:rPr>
        <w:t>.</w:t>
      </w:r>
    </w:p>
    <w:p w14:paraId="11D0CDF7" w14:textId="77777777" w:rsidR="00A1577B" w:rsidRPr="00662E51" w:rsidRDefault="00A1577B" w:rsidP="00F56305">
      <w:pPr>
        <w:spacing w:line="360" w:lineRule="auto"/>
        <w:ind w:left="0" w:firstLine="720"/>
        <w:rPr>
          <w:szCs w:val="24"/>
        </w:rPr>
      </w:pPr>
    </w:p>
    <w:p w14:paraId="127A2605" w14:textId="57D89514" w:rsidR="00A1577B" w:rsidRPr="00662E51" w:rsidRDefault="00A1577B" w:rsidP="00F56305">
      <w:pPr>
        <w:pStyle w:val="Heading2"/>
      </w:pPr>
      <w:bookmarkStart w:id="409" w:name="_Toc213173976"/>
      <w:bookmarkStart w:id="410" w:name="_Toc216096177"/>
      <w:bookmarkStart w:id="411" w:name="_Toc221184365"/>
      <w:bookmarkStart w:id="412" w:name="_Toc231215283"/>
      <w:r w:rsidRPr="00662E51">
        <w:t>The State Revolutionary and the StopHDV Subject</w:t>
      </w:r>
      <w:bookmarkEnd w:id="409"/>
      <w:bookmarkEnd w:id="410"/>
      <w:bookmarkEnd w:id="411"/>
      <w:r w:rsidR="00836748">
        <w:t>:</w:t>
      </w:r>
      <w:bookmarkEnd w:id="412"/>
    </w:p>
    <w:p w14:paraId="73114483" w14:textId="2E741E5F" w:rsidR="00A1577B" w:rsidRPr="00662E51" w:rsidRDefault="00A1577B" w:rsidP="00292E4F">
      <w:pPr>
        <w:spacing w:line="360" w:lineRule="auto"/>
        <w:ind w:left="0"/>
        <w:rPr>
          <w:szCs w:val="24"/>
        </w:rPr>
      </w:pPr>
      <w:r w:rsidRPr="00662E51">
        <w:rPr>
          <w:szCs w:val="24"/>
        </w:rPr>
        <w:t xml:space="preserve">This section moves from the party to the state, and from the general situation to the state revolutionary. I identify the state revolutionary and its various components, considering how the subject’s multiplicity helped bring about the event. Whereas other research </w:t>
      </w:r>
      <w:r w:rsidRPr="00662E51">
        <w:rPr>
          <w:szCs w:val="24"/>
        </w:rPr>
        <w:fldChar w:fldCharType="begin"/>
      </w:r>
      <w:r w:rsidR="008835AB" w:rsidRPr="00662E51">
        <w:rPr>
          <w:szCs w:val="24"/>
        </w:rPr>
        <w:instrText xml:space="preserve"> ADDIN ZOTERO_ITEM CSL_CITATION {"citationID":"BvBUTIay","properties":{"formattedCitation":"(e.g., Lipsky 2010)","plainCitation":"(e.g., Lipsky 2010)","noteIndex":0},"citationItems":[{"id":4457,"uris":["http://zotero.org/users/8977980/items/HUFBDW99"],"itemData":{"id":4457,"type":"book","call-number":"HV41 .L53 2010","edition":"30th anniversary expanded ed","ISBN":"978-0-87154-544-2","note":"OCLC: ocn503596064","number-of-pages":"275","publisher":"Russell Sage Foundation","publisher-place":"New York","source":"Library of Congress ISBN","title":"Street-level bureaucracy: dilemmas of the individual in public services","title-short":"Street-level bureaucracy","author":[{"family":"Lipsky","given":"Michael"}],"issued":{"date-parts":[["2010"]]}},"label":"page","prefix":"e.g., "}],"schema":"https://github.com/citation-style-language/schema/raw/master/csl-citation.json"} </w:instrText>
      </w:r>
      <w:r w:rsidRPr="00662E51">
        <w:rPr>
          <w:szCs w:val="24"/>
        </w:rPr>
        <w:fldChar w:fldCharType="separate"/>
      </w:r>
      <w:r w:rsidR="0095662D" w:rsidRPr="00662E51">
        <w:t>(e.g., Lipsky 2010)</w:t>
      </w:r>
      <w:r w:rsidRPr="00662E51">
        <w:rPr>
          <w:szCs w:val="24"/>
        </w:rPr>
        <w:fldChar w:fldCharType="end"/>
      </w:r>
      <w:r w:rsidRPr="00662E51">
        <w:rPr>
          <w:szCs w:val="24"/>
        </w:rPr>
        <w:t xml:space="preserve"> focuses on formal ‘street-level bureaucrats’ like urban planners or teachers, this </w:t>
      </w:r>
      <w:r w:rsidR="00AB7998" w:rsidRPr="00662E51">
        <w:t>chapter</w:t>
      </w:r>
      <w:r w:rsidR="00AB7998" w:rsidRPr="00662E51">
        <w:rPr>
          <w:szCs w:val="24"/>
        </w:rPr>
        <w:t xml:space="preserve"> </w:t>
      </w:r>
      <w:r w:rsidRPr="00662E51">
        <w:rPr>
          <w:szCs w:val="24"/>
        </w:rPr>
        <w:t xml:space="preserve">looks at the councillor as a </w:t>
      </w:r>
      <w:r w:rsidR="009C2D1F">
        <w:rPr>
          <w:szCs w:val="24"/>
        </w:rPr>
        <w:t>comparably</w:t>
      </w:r>
      <w:r w:rsidRPr="00662E51">
        <w:rPr>
          <w:szCs w:val="24"/>
        </w:rPr>
        <w:t xml:space="preserve"> situated state actor—in addition to the council’s professional staff</w:t>
      </w:r>
      <w:r w:rsidR="004445CA" w:rsidRPr="00662E51">
        <w:rPr>
          <w:szCs w:val="24"/>
        </w:rPr>
        <w:t>,</w:t>
      </w:r>
      <w:r w:rsidRPr="00662E51">
        <w:rPr>
          <w:szCs w:val="24"/>
        </w:rPr>
        <w:t xml:space="preserve"> </w:t>
      </w:r>
      <w:r w:rsidR="00674BE3">
        <w:rPr>
          <w:szCs w:val="24"/>
        </w:rPr>
        <w:t>c</w:t>
      </w:r>
      <w:r w:rsidRPr="00662E51">
        <w:rPr>
          <w:szCs w:val="24"/>
        </w:rPr>
        <w:t xml:space="preserve">ouncillors are directly implicated in the carrying out of government policies, especially around local development. The structure of government in England means that the local scale has become a key </w:t>
      </w:r>
      <w:r w:rsidR="005813E3" w:rsidRPr="00662E51">
        <w:rPr>
          <w:szCs w:val="24"/>
        </w:rPr>
        <w:t xml:space="preserve">site </w:t>
      </w:r>
      <w:r w:rsidRPr="00662E51">
        <w:rPr>
          <w:szCs w:val="24"/>
        </w:rPr>
        <w:t>of service provision</w:t>
      </w:r>
      <w:r w:rsidR="005813E3" w:rsidRPr="00662E51">
        <w:rPr>
          <w:szCs w:val="24"/>
        </w:rPr>
        <w:t xml:space="preserve"> </w:t>
      </w:r>
      <w:r w:rsidR="003774AA" w:rsidRPr="00662E51">
        <w:rPr>
          <w:szCs w:val="24"/>
        </w:rPr>
        <w:fldChar w:fldCharType="begin"/>
      </w:r>
      <w:r w:rsidR="00213B80">
        <w:rPr>
          <w:szCs w:val="24"/>
        </w:rPr>
        <w:instrText xml:space="preserve"> ADDIN ZOTERO_ITEM CSL_CITATION {"citationID":"sG1kHAzo","properties":{"formattedCitation":"(Mark Goodwin and Painter 1996; D. J. Wilson and Game 2011)","plainCitation":"(Mark Goodwin and Painter 1996; D. J. Wilson and Game 2011)","noteIndex":0},"citationItems":[{"id":5564,"uris":["http://zotero.org/users/8977980/items/Q2KXCR9I"],"itemData":{"id":5564,"type":"article-journal","abstract":"During the last fifteen years the local government system in Britain has been transformed into one of local governance in which a multitude of unelected agencies (public, private and voluntary) have become involved in attempting to influence the fortunes of local areas. In this paper, we locate the roots of this shift in the crisis of the Fordist mode of regulation and political responses to it, suggest that a reworked regulation theory can provide a useful perspective from which to interpret current changes and outline the research framework that such a perspective involves. Although a key role for local government in Fordist processes of regulation may be identified, it is doubtful that new forms of local governance are contributing to the emergence of stable regulation in the 1990s. One reason for this is the geographical differentiation of contemporary regulatory processes.","container-title":"Transactions of the Institute of British Geographers","DOI":"10.2307/622391","ISSN":"0020-2754","issue":"4","page":"635-648","publisher":"[Royal Geographical Society (with the Institute of British Geographers), Wiley]","source":"JSTOR","title":"Local Governance, the Crises of Fordism and the Changing Geographies of Regulation","volume":"21","author":[{"family":"Goodwin","given":"Mark"},{"family":"Painter","given":"Joe"}],"issued":{"date-parts":[["1996"]]}}},{"id":6024,"uris":["http://zotero.org/users/8977980/items/KPWE8DA3"],"itemData":{"id":6024,"type":"book","abstract":"During its 13 years of office, Labour's modernization agenda transformed the world of UK local government. Amidst a starkly altered political and economic climate the coalition government formed in 2010 pledged to implement equally radical changes to the system. Taking account of the coalition's programme for government and its first round of spending cuts, the completely revised and updated fifth edition of this popular and established text is timed to take full advantage of this historic juncture.David Wilson and Chris Game provide readers with systematic coverage of the UK's local government. The book examines its defining features, its history, changing structure, operations, functions, financing, and its relations with central government.The fifth edition gives additional emphasis to local government in the devolved regions of the UK, and provides more extensive analysis of centre-local government relations. The authors deliver a thorough critique of Labour's third term in office. Looking ahead, the book anticipates the future of local government under the coalition government. Two themes look likely to dominate policy making: decentralization and cuts to public spending. With its clear, accessible, non-technical style and popular illustrations, Local Government in the United Kingdom will be essential reading for students, practitioners, and anyone with an interest in local politics.","ISBN":"978-0-230-35667-2","language":"en","number-of-pages":"457","publisher":"Bloomsbury Publishing","title":"Local Government in the United Kingdom","author":[{"family":"Wilson","given":"David J."},{"family":"Game","given":"Chris"}],"issued":{"date-parts":[["2011",4,12]]}}}],"schema":"https://github.com/citation-style-language/schema/raw/master/csl-citation.json"} </w:instrText>
      </w:r>
      <w:r w:rsidR="003774AA" w:rsidRPr="00662E51">
        <w:rPr>
          <w:szCs w:val="24"/>
        </w:rPr>
        <w:fldChar w:fldCharType="separate"/>
      </w:r>
      <w:r w:rsidR="00213B80" w:rsidRPr="00213B80">
        <w:t>(Mark Goodwin and Painter 1996; D. J. Wilson and Game 2011)</w:t>
      </w:r>
      <w:r w:rsidR="003774AA" w:rsidRPr="00662E51">
        <w:rPr>
          <w:szCs w:val="24"/>
        </w:rPr>
        <w:fldChar w:fldCharType="end"/>
      </w:r>
      <w:r w:rsidRPr="00662E51">
        <w:rPr>
          <w:szCs w:val="24"/>
        </w:rPr>
        <w:t xml:space="preserve">. While councillors are </w:t>
      </w:r>
      <w:r w:rsidRPr="00662E51">
        <w:rPr>
          <w:szCs w:val="24"/>
        </w:rPr>
        <w:lastRenderedPageBreak/>
        <w:t xml:space="preserve">politicians, they are not free actors </w:t>
      </w:r>
      <w:r w:rsidRPr="00662E51">
        <w:rPr>
          <w:szCs w:val="24"/>
        </w:rPr>
        <w:fldChar w:fldCharType="begin"/>
      </w:r>
      <w:r w:rsidR="00F15CF8">
        <w:rPr>
          <w:szCs w:val="24"/>
        </w:rPr>
        <w:instrText xml:space="preserve"> ADDIN ZOTERO_ITEM CSL_CITATION {"citationID":"pFCSOCPR","properties":{"formattedCitation":"(Copus 2004, 2015)","plainCitation":"(Copus 2004, 2015)","noteIndex":0},"citationItems":[{"id":6766,"uris":["http://zotero.org/users/8977980/items/22FQIFRM"],"itemData":{"id":6766,"type":"book","ISBN":"978-0-7190-6635-1","language":"eng","number-of-pages":"313","publisher":"Manchester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Councillors","author":[{"family":"Copus","given":"Colin"}],"issued":{"date-parts":[["2015"]]}}}],"schema":"https://github.com/citation-style-language/schema/raw/master/csl-citation.json"} </w:instrText>
      </w:r>
      <w:r w:rsidRPr="00662E51">
        <w:rPr>
          <w:szCs w:val="24"/>
        </w:rPr>
        <w:fldChar w:fldCharType="separate"/>
      </w:r>
      <w:r w:rsidR="00F15CF8" w:rsidRPr="00F15CF8">
        <w:t>(Copus 2004, 2015)</w:t>
      </w:r>
      <w:r w:rsidRPr="00662E51">
        <w:rPr>
          <w:szCs w:val="24"/>
        </w:rPr>
        <w:fldChar w:fldCharType="end"/>
      </w:r>
      <w:r w:rsidRPr="00662E51">
        <w:rPr>
          <w:szCs w:val="24"/>
        </w:rPr>
        <w:t xml:space="preserve">. They operate within constrained environments that often lead them to simply managing service provision, instead of executing political change. Councillors also interact with the public through different fora </w:t>
      </w:r>
      <w:r w:rsidRPr="00662E51">
        <w:rPr>
          <w:szCs w:val="24"/>
        </w:rPr>
        <w:fldChar w:fldCharType="begin"/>
      </w:r>
      <w:r w:rsidR="00F15CF8">
        <w:rPr>
          <w:szCs w:val="24"/>
        </w:rPr>
        <w:instrText xml:space="preserve"> ADDIN ZOTERO_ITEM CSL_CITATION {"citationID":"7QWJBAGQ","properties":{"formattedCitation":"(Copus 2004, 2015)","plainCitation":"(Copus 2004, 2015)","noteIndex":0},"citationItems":[{"id":6766,"uris":["http://zotero.org/users/8977980/items/22FQIFRM"],"itemData":{"id":6766,"type":"book","ISBN":"978-0-7190-6635-1","language":"eng","number-of-pages":"313","publisher":"Manchester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Councillors","author":[{"family":"Copus","given":"Colin"}],"issued":{"date-parts":[["2015"]]}}}],"schema":"https://github.com/citation-style-language/schema/raw/master/csl-citation.json"} </w:instrText>
      </w:r>
      <w:r w:rsidRPr="00662E51">
        <w:rPr>
          <w:szCs w:val="24"/>
        </w:rPr>
        <w:fldChar w:fldCharType="separate"/>
      </w:r>
      <w:r w:rsidR="00F15CF8" w:rsidRPr="00F15CF8">
        <w:t>(Copus 2004, 2015)</w:t>
      </w:r>
      <w:r w:rsidRPr="00662E51">
        <w:rPr>
          <w:szCs w:val="24"/>
        </w:rPr>
        <w:fldChar w:fldCharType="end"/>
      </w:r>
      <w:r w:rsidRPr="00662E51">
        <w:rPr>
          <w:szCs w:val="24"/>
        </w:rPr>
        <w:t xml:space="preserve">. As such, councillors occupy a mixed role between street-level and behind-the-scenes technocrat: their relationships with the state and its officers are in tension with other </w:t>
      </w:r>
      <w:r w:rsidR="005813E3" w:rsidRPr="00662E51">
        <w:rPr>
          <w:szCs w:val="24"/>
        </w:rPr>
        <w:t xml:space="preserve">demands </w:t>
      </w:r>
      <w:r w:rsidRPr="00662E51">
        <w:rPr>
          <w:szCs w:val="24"/>
        </w:rPr>
        <w:fldChar w:fldCharType="begin"/>
      </w:r>
      <w:r w:rsidR="00F15CF8">
        <w:rPr>
          <w:szCs w:val="24"/>
        </w:rPr>
        <w:instrText xml:space="preserve"> ADDIN ZOTERO_ITEM CSL_CITATION {"citationID":"g3HzF53B","properties":{"formattedCitation":"(Ormerod 2017, 2021)","plainCitation":"(Ormerod 2017, 2021)","noteIndex":0},"citationItems":[{"id":6579,"uris":["http://zotero.org/users/8977980/items/UYJQMU9X"],"itemData":{"id":6579,"type":"thesis","abstract":"Housing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F15CF8" w:rsidRPr="00F15CF8">
        <w:t>(Ormerod 2017, 2021)</w:t>
      </w:r>
      <w:r w:rsidRPr="00662E51">
        <w:rPr>
          <w:szCs w:val="24"/>
        </w:rPr>
        <w:fldChar w:fldCharType="end"/>
      </w:r>
      <w:r w:rsidRPr="00662E51">
        <w:rPr>
          <w:szCs w:val="24"/>
        </w:rPr>
        <w:t xml:space="preserve">. In this subsection, I argue that the StopHDV campaign’s council takeover was tantamount to the formation of a state revolutionary, the figure that inverts a hierarchy </w:t>
      </w:r>
      <w:r w:rsidRPr="00662E51">
        <w:rPr>
          <w:i/>
          <w:iCs/>
          <w:szCs w:val="24"/>
        </w:rPr>
        <w:t>through,</w:t>
      </w:r>
      <w:r w:rsidRPr="00662E51">
        <w:rPr>
          <w:szCs w:val="24"/>
        </w:rPr>
        <w:t xml:space="preserve"> not </w:t>
      </w:r>
      <w:r w:rsidRPr="00662E51">
        <w:rPr>
          <w:i/>
          <w:iCs/>
          <w:szCs w:val="24"/>
        </w:rPr>
        <w:t>against,</w:t>
      </w:r>
      <w:r w:rsidRPr="00662E51">
        <w:rPr>
          <w:szCs w:val="24"/>
        </w:rPr>
        <w:t xml:space="preserve"> state power. </w:t>
      </w:r>
    </w:p>
    <w:p w14:paraId="787E465B" w14:textId="5A64DF13" w:rsidR="00A1577B" w:rsidRPr="00662E51" w:rsidRDefault="00A1577B" w:rsidP="00F56305">
      <w:pPr>
        <w:spacing w:line="360" w:lineRule="auto"/>
        <w:ind w:left="0"/>
        <w:rPr>
          <w:szCs w:val="24"/>
        </w:rPr>
      </w:pPr>
      <w:r w:rsidRPr="00662E51">
        <w:rPr>
          <w:szCs w:val="24"/>
        </w:rPr>
        <w:tab/>
        <w:t xml:space="preserve">I identify the subject that cancelled HDV as the state revolutionary. As I explain in the next section, this subject inverted the structure that created the HDV. The abandonment of the Vehicle was driven by a collection of actors who all formed the ‘StopHDV’ subject. As indicated by Badiou </w:t>
      </w:r>
      <w:r w:rsidRPr="00662E51">
        <w:rPr>
          <w:szCs w:val="24"/>
        </w:rPr>
        <w:fldChar w:fldCharType="begin"/>
      </w:r>
      <w:r w:rsidR="008835AB" w:rsidRPr="00662E51">
        <w:rPr>
          <w:szCs w:val="24"/>
        </w:rPr>
        <w:instrText xml:space="preserve"> ADDIN ZOTERO_ITEM CSL_CITATION {"citationID":"j0vJ1ia7","properties":{"formattedCitation":"(2018)","plainCitation":"(2018)","noteIndex":0},"citationItems":[{"id":5820,"uris":["http://zotero.org/users/8977980/items/3SIEJR4S"],"itemData":{"id":5820,"type":"book","abstract":"Logics of Worlds is the sequel to Alain Badiou's masterpiece, Being and Event. Tackling the questions that had been left open by Being and Event, and answering many of his critics in the process, Badiou supplements his pioneering treatment of multiple being with a daring and complex theory of the worlds in which truths and subjects make their mark - what he calls a materialist dialectic. Drawing on his most ambitious philosophical predecessors - Leibniz, Kant, Hegel, Kierkegaard, Lacan, Deleuze – Badiou ends this important later work with an impassioned call to'live for an Idea'.","collection-title":"Being and Event","ISBN":"978-1-350-04301-5","language":"English","note":"issue: II","publisher":"Bloomsbury Academic","publisher-place":"London","source":"EBSCOhost","title":"Logics of Worlds : Being and Event II","title-short":"Logics of Worlds","author":[{"family":"Badiou","given":"Alain"}],"accessed":{"date-parts":[["2024",9,4]]},"issued":{"date-parts":[["2018"]]}},"label":"page","suppress-author":true}],"schema":"https://github.com/citation-style-language/schema/raw/master/csl-citation.json"} </w:instrText>
      </w:r>
      <w:r w:rsidRPr="00662E51">
        <w:rPr>
          <w:szCs w:val="24"/>
        </w:rPr>
        <w:fldChar w:fldCharType="separate"/>
      </w:r>
      <w:r w:rsidR="0095662D" w:rsidRPr="00662E51">
        <w:t>(2018)</w:t>
      </w:r>
      <w:r w:rsidRPr="00662E51">
        <w:rPr>
          <w:szCs w:val="24"/>
        </w:rPr>
        <w:fldChar w:fldCharType="end"/>
      </w:r>
      <w:r w:rsidRPr="00662E51">
        <w:rPr>
          <w:szCs w:val="24"/>
        </w:rPr>
        <w:t xml:space="preserve"> and Calcagno </w:t>
      </w:r>
      <w:r w:rsidRPr="00662E51">
        <w:rPr>
          <w:szCs w:val="24"/>
        </w:rPr>
        <w:fldChar w:fldCharType="begin"/>
      </w:r>
      <w:r w:rsidRPr="00662E51">
        <w:rPr>
          <w:szCs w:val="24"/>
        </w:rPr>
        <w:instrText xml:space="preserve"> ADDIN ZOTERO_ITEM CSL_CITATION {"citationID":"YvS2EOe6","properties":{"formattedCitation":"(2008)","plainCitation":"(2008)","noteIndex":0},"citationItems":[{"id":5586,"uris":["http://zotero.org/users/8977980/items/QF64XFNU"],"itemData":{"id":5586,"type":"article-journal","abstract":"One of the more poignant claims Badiou makes is that the subject develops an understanding of itself as a political subject only by executing decisive political actions or making decisive political interventions. In this article I will argue that in order to have a fuller philosophical conception of political subjectivity, and therefore political agency, one must also hold that, first, political interventions do not necessarily lead to a definition or a further way of referring to and understanding the subject. In fact, political events and interventions may consciously aim at and result in the de-politicizing, de-subjectivating or dehumanizing of the subject. Second, political agency need not result in an event or an intervention in order to be political. In other words, failed or non-interventions may still be considered political. Third, despite Badiou's call for an ethics rooted in truth and fidelity, his political philosophy results in a relativism that can easily lapse into violence and injustice.","container-title":"Philosophy &amp; Social Criticism","DOI":"10.1177/0191453708098537","ISSN":"0191-4537, 1461-734X","issue":"9","journalAbbreviation":"Philosophy &amp; Social Criticism","language":"en","page":"1051-1070","source":"DOI.org (Crossref)","title":"Alain Badiou: the event of becoming a political subject","title-short":"Alain Badiou","volume":"34","author":[{"family":"Calcagno","given":"Antonio"}],"issued":{"date-parts":[["2008",11]]}},"label":"page","suppress-author":true}],"schema":"https://github.com/citation-style-language/schema/raw/master/csl-citation.json"} </w:instrText>
      </w:r>
      <w:r w:rsidRPr="00662E51">
        <w:rPr>
          <w:szCs w:val="24"/>
        </w:rPr>
        <w:fldChar w:fldCharType="separate"/>
      </w:r>
      <w:r w:rsidR="0095662D" w:rsidRPr="00662E51">
        <w:t>(2008)</w:t>
      </w:r>
      <w:r w:rsidRPr="00662E51">
        <w:rPr>
          <w:szCs w:val="24"/>
        </w:rPr>
        <w:fldChar w:fldCharType="end"/>
      </w:r>
      <w:r w:rsidRPr="00662E51">
        <w:rPr>
          <w:szCs w:val="24"/>
        </w:rPr>
        <w:t xml:space="preserve">, the subject is a formal category that describes a group of actors who caused a structural reversal—regardless of an individual’s specific stance. In this case, the subject encompassed all the activists, councillors, council staff, lawyers, politicians, consultants, and so on who caused the structural reversal. I leave the details of the event and the reversal to the next section, though below I consider two components of the subject: councillors and borough staff. Other components, like the StopHDV activists, are more thoroughly explored elsewhere </w:t>
      </w:r>
      <w:r w:rsidRPr="00662E51">
        <w:rPr>
          <w:szCs w:val="24"/>
        </w:rPr>
        <w:fldChar w:fldCharType="begin"/>
      </w:r>
      <w:r w:rsidR="008835AB" w:rsidRPr="00662E51">
        <w:rPr>
          <w:szCs w:val="24"/>
        </w:rPr>
        <w:instrText xml:space="preserve"> ADDIN ZOTERO_ITEM CSL_CITATION {"citationID":"wCaCqMQs","properties":{"formattedCitation":"(Horton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w:t>
      </w:r>
    </w:p>
    <w:p w14:paraId="1F5DF923" w14:textId="1C0BF169" w:rsidR="00A1577B" w:rsidRPr="00662E51" w:rsidRDefault="00A1577B" w:rsidP="00F56305">
      <w:pPr>
        <w:spacing w:line="360" w:lineRule="auto"/>
        <w:ind w:left="0" w:firstLine="720"/>
        <w:rPr>
          <w:szCs w:val="24"/>
        </w:rPr>
      </w:pPr>
      <w:r w:rsidRPr="00662E51">
        <w:rPr>
          <w:szCs w:val="24"/>
        </w:rPr>
        <w:t xml:space="preserve">In 2012, the status quo was one of large-scale redevelopment </w:t>
      </w:r>
      <w:r w:rsidR="001E2894">
        <w:rPr>
          <w:szCs w:val="24"/>
        </w:rPr>
        <w:fldChar w:fldCharType="begin"/>
      </w:r>
      <w:r w:rsidR="001B2CAA">
        <w:rPr>
          <w:szCs w:val="24"/>
        </w:rPr>
        <w:instrText xml:space="preserve"> ADDIN ZOTERO_ITEM CSL_CITATION {"citationID":"axRECJzZ","properties":{"formattedCitation":"(as exemplified by the HDV, among other cases; Watt 2021b)","plainCitation":"(as exemplified by the HDV, among other cases; Watt 2021b)","noteIndex":0},"citationItems":[{"id":"n0Saldgp/r7qNchtf","uris":["http://zotero.org/users/8977980/items/BHKUJBH9"],"itemData":{"id":"IWMNjQeL/gcAxcoUC","type":"book","abstract":"Public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Discontents","author":[{"family":"Watt","given":"Paul"}],"issued":{"date-parts":[["2021",3,31]]}},"prefix":"as exemplified by the HDV, among other cases;"}],"schema":"https://github.com/citation-style-language/schema/raw/master/csl-citation.json"} </w:instrText>
      </w:r>
      <w:r w:rsidR="001E2894">
        <w:rPr>
          <w:szCs w:val="24"/>
        </w:rPr>
        <w:fldChar w:fldCharType="separate"/>
      </w:r>
      <w:r w:rsidR="00467177" w:rsidRPr="00467177">
        <w:t>(as exemplified by the HDV, among other cases; Watt 2021b)</w:t>
      </w:r>
      <w:r w:rsidR="001E2894">
        <w:rPr>
          <w:szCs w:val="24"/>
        </w:rPr>
        <w:fldChar w:fldCharType="end"/>
      </w:r>
      <w:r w:rsidRPr="00662E51">
        <w:rPr>
          <w:szCs w:val="24"/>
        </w:rPr>
        <w:t xml:space="preserve">. This changed with the 2018 election and takeover. Leaders of the Kober-led council were deeply involved with, and supported, the Vehicle. </w:t>
      </w:r>
      <w:r w:rsidR="00B84961" w:rsidRPr="00662E51">
        <w:rPr>
          <w:szCs w:val="24"/>
        </w:rPr>
        <w:t>Councillor</w:t>
      </w:r>
      <w:r w:rsidRPr="00662E51">
        <w:rPr>
          <w:szCs w:val="24"/>
        </w:rPr>
        <w:t xml:space="preserve"> Alan Strickland, Kober’s Cabinet Member for Regeneration, was</w:t>
      </w:r>
      <w:r w:rsidR="00A4501F" w:rsidRPr="00662E51">
        <w:rPr>
          <w:szCs w:val="24"/>
        </w:rPr>
        <w:t xml:space="preserve">, according to John, </w:t>
      </w:r>
      <w:r w:rsidRPr="00662E51">
        <w:rPr>
          <w:szCs w:val="24"/>
        </w:rPr>
        <w:t>the “technical mind behind the HDV from the political side</w:t>
      </w:r>
      <w:r w:rsidR="000D46A2" w:rsidRPr="00662E51">
        <w:rPr>
          <w:szCs w:val="24"/>
        </w:rPr>
        <w:t>” and had “</w:t>
      </w:r>
      <w:r w:rsidR="00FD0114" w:rsidRPr="00662E51">
        <w:rPr>
          <w:szCs w:val="24"/>
        </w:rPr>
        <w:t xml:space="preserve">the job of trying to convince people… that actually nobody would be harmed and it would be great.” </w:t>
      </w:r>
      <w:r w:rsidRPr="00662E51">
        <w:rPr>
          <w:szCs w:val="24"/>
        </w:rPr>
        <w:t xml:space="preserve">Strickland vigorously defended the Vehicle and its potential in the press </w:t>
      </w:r>
      <w:r w:rsidRPr="00662E51">
        <w:rPr>
          <w:szCs w:val="24"/>
        </w:rPr>
        <w:fldChar w:fldCharType="begin"/>
      </w:r>
      <w:r w:rsidR="008835AB" w:rsidRPr="00662E51">
        <w:rPr>
          <w:szCs w:val="24"/>
        </w:rPr>
        <w:instrText xml:space="preserve"> ADDIN ZOTERO_ITEM CSL_CITATION {"citationID":"xom9LPx8","properties":{"formattedCitation":"(Horton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00FD0114" w:rsidRPr="00662E51">
        <w:rPr>
          <w:szCs w:val="24"/>
        </w:rPr>
        <w:t xml:space="preserve"> and, according to John, in many Labour Pa</w:t>
      </w:r>
      <w:r w:rsidR="00DD0242" w:rsidRPr="00662E51">
        <w:rPr>
          <w:szCs w:val="24"/>
        </w:rPr>
        <w:t>r</w:t>
      </w:r>
      <w:r w:rsidR="00FD0114" w:rsidRPr="00662E51">
        <w:rPr>
          <w:szCs w:val="24"/>
        </w:rPr>
        <w:t xml:space="preserve">ty </w:t>
      </w:r>
      <w:r w:rsidR="00DD0242" w:rsidRPr="00662E51">
        <w:rPr>
          <w:szCs w:val="24"/>
        </w:rPr>
        <w:t>m</w:t>
      </w:r>
      <w:r w:rsidR="00FD0114" w:rsidRPr="00662E51">
        <w:rPr>
          <w:szCs w:val="24"/>
        </w:rPr>
        <w:t>eetings</w:t>
      </w:r>
      <w:r w:rsidRPr="00662E51">
        <w:rPr>
          <w:szCs w:val="24"/>
        </w:rPr>
        <w:t xml:space="preserve">. The Kober-led </w:t>
      </w:r>
      <w:r w:rsidR="004B2F77" w:rsidRPr="00662E51">
        <w:rPr>
          <w:szCs w:val="24"/>
        </w:rPr>
        <w:t xml:space="preserve">council </w:t>
      </w:r>
      <w:r w:rsidRPr="00662E51">
        <w:rPr>
          <w:szCs w:val="24"/>
        </w:rPr>
        <w:t xml:space="preserve">also narrowly voted to continue with the Vehicle after the 2018 election </w:t>
      </w:r>
      <w:r w:rsidRPr="00662E51">
        <w:rPr>
          <w:szCs w:val="24"/>
        </w:rPr>
        <w:fldChar w:fldCharType="begin"/>
      </w:r>
      <w:r w:rsidR="004C034F">
        <w:rPr>
          <w:szCs w:val="24"/>
        </w:rPr>
        <w:instrText xml:space="preserve"> ADDIN ZOTERO_ITEM CSL_CITATION {"citationID":"3l3rZz07","properties":{"formattedCitation":"(Barratt 2018b)","plainCitation":"(Barratt 2018b)","noteIndex":0},"citationItems":[{"id":6349,"uris":["http://zotero.org/users/8977980/items/YD9PFWJ2"],"itemData":{"id":6349,"type":"article-newspaper","abstract":"A trusted source of up-to-date news for social housing professionals – the only place to get comprehensive coverage of all the big topics.","container-title":"Inside Housing","language":"En","publisher-place":"London (UK), United Kingdom","section":"News","title":"Haringey councillors vote to continue with development vehicle","URL":"https://www.insidehousing.co.uk/news/haringey-councillors-vote-to-continue-with-development-vehicle-54032","author":[{"family":"Barratt","given":"Luke"}],"accessed":{"date-parts":[["2025",3,3]]},"issued":{"date-parts":[["2018",1,16]]}}}],"schema":"https://github.com/citation-style-language/schema/raw/master/csl-citation.json"} </w:instrText>
      </w:r>
      <w:r w:rsidRPr="00662E51">
        <w:rPr>
          <w:szCs w:val="24"/>
        </w:rPr>
        <w:fldChar w:fldCharType="separate"/>
      </w:r>
      <w:r w:rsidR="004C034F" w:rsidRPr="004C034F">
        <w:t>(Barratt 2018b)</w:t>
      </w:r>
      <w:r w:rsidRPr="00662E51">
        <w:rPr>
          <w:szCs w:val="24"/>
        </w:rPr>
        <w:fldChar w:fldCharType="end"/>
      </w:r>
      <w:r w:rsidRPr="00662E51">
        <w:rPr>
          <w:szCs w:val="24"/>
        </w:rPr>
        <w:t xml:space="preserve">. More importantly, activists and community leaders contended that the public </w:t>
      </w:r>
      <w:r w:rsidRPr="00662E51">
        <w:rPr>
          <w:szCs w:val="24"/>
        </w:rPr>
        <w:lastRenderedPageBreak/>
        <w:t xml:space="preserve">consultation process for the HDV was a sham, in which the aim was to procure consent for the Vehicle </w:t>
      </w:r>
      <w:r w:rsidRPr="00662E51">
        <w:rPr>
          <w:szCs w:val="24"/>
        </w:rPr>
        <w:fldChar w:fldCharType="begin"/>
      </w:r>
      <w:r w:rsidR="008835AB" w:rsidRPr="00662E51">
        <w:rPr>
          <w:szCs w:val="24"/>
        </w:rPr>
        <w:instrText xml:space="preserve"> ADDIN ZOTERO_ITEM CSL_CITATION {"citationID":"anmhfqbdec","properties":{"formattedCitation":"(Horton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As such, the local state engaged in managerialism between 2012 to 2018, trying to manage rising anti-HDV opposition rather than engaging in open debate </w:t>
      </w:r>
      <w:r w:rsidRPr="00662E51">
        <w:rPr>
          <w:szCs w:val="24"/>
        </w:rPr>
        <w:fldChar w:fldCharType="begin"/>
      </w:r>
      <w:r w:rsidR="00F15CF8">
        <w:rPr>
          <w:szCs w:val="24"/>
        </w:rPr>
        <w:instrText xml:space="preserve"> ADDIN ZOTERO_ITEM CSL_CITATION {"citationID":"dXqIfbJq","properties":{"formattedCitation":"(Cockburn 1980; Ormerod 2017, 2021)","plainCitation":"(Cockburn 1980; Ormerod 2017, 2021)","noteIndex":0},"citationItems":[{"id":5811,"uris":["http://zotero.org/users/8977980/items/U5ZYVUT5"],"itemData":{"id":5811,"type":"book","edition":"Repr","ISBN":"978-0-904383-48-5","language":"eng","number-of-pages":"207","publisher":"Pluto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F15CF8" w:rsidRPr="00F15CF8">
        <w:t>(Cockburn 1980; Ormerod 2017, 2021)</w:t>
      </w:r>
      <w:r w:rsidRPr="00662E51">
        <w:rPr>
          <w:szCs w:val="24"/>
        </w:rPr>
        <w:fldChar w:fldCharType="end"/>
      </w:r>
      <w:r w:rsidRPr="00662E51">
        <w:rPr>
          <w:szCs w:val="24"/>
        </w:rPr>
        <w:t>. This changed after the StopHDV campaign’s success in 2018.</w:t>
      </w:r>
    </w:p>
    <w:p w14:paraId="732B72BA" w14:textId="571A35A3" w:rsidR="00A1577B" w:rsidRPr="00662E51" w:rsidRDefault="00A1577B" w:rsidP="00F56305">
      <w:pPr>
        <w:spacing w:line="360" w:lineRule="auto"/>
        <w:ind w:left="0" w:firstLine="720"/>
        <w:rPr>
          <w:szCs w:val="24"/>
        </w:rPr>
      </w:pPr>
      <w:r w:rsidRPr="00662E51">
        <w:rPr>
          <w:szCs w:val="24"/>
        </w:rPr>
        <w:t xml:space="preserve">As the institutional body with control over planning policy, the Ejiofor-led council that cancelled the HDV was a crucial component of the state revolutionary. This is not to diminish the power of the StopHDV movement. Rather, the aim here is to abandon seeing the state as </w:t>
      </w:r>
      <w:r w:rsidR="00E974BC">
        <w:rPr>
          <w:szCs w:val="24"/>
        </w:rPr>
        <w:t xml:space="preserve">one whole that is </w:t>
      </w:r>
      <w:r w:rsidRPr="00662E51">
        <w:rPr>
          <w:szCs w:val="24"/>
        </w:rPr>
        <w:t xml:space="preserve">unified in its support for the HDV, and </w:t>
      </w:r>
      <w:r w:rsidR="005F265F">
        <w:rPr>
          <w:szCs w:val="24"/>
        </w:rPr>
        <w:t xml:space="preserve">to </w:t>
      </w:r>
      <w:r w:rsidRPr="00662E51">
        <w:rPr>
          <w:szCs w:val="24"/>
        </w:rPr>
        <w:t xml:space="preserve">instead treat the local state more as a collection of relations with differing orientations and capacities vis-à-vis the Vehicle. Tracking these relationships allows us to unfold the StopHDV subject without minimising either the importance of intra-party politics or the role of community activists. </w:t>
      </w:r>
    </w:p>
    <w:p w14:paraId="64DD408E" w14:textId="1514A071" w:rsidR="00A1577B" w:rsidRPr="00662E51" w:rsidRDefault="00A1577B" w:rsidP="00F56305">
      <w:pPr>
        <w:spacing w:line="360" w:lineRule="auto"/>
        <w:ind w:left="0" w:firstLine="720"/>
        <w:rPr>
          <w:szCs w:val="24"/>
        </w:rPr>
      </w:pPr>
      <w:r w:rsidRPr="00662E51">
        <w:rPr>
          <w:szCs w:val="24"/>
        </w:rPr>
        <w:t xml:space="preserve">The campaign targeting the Labour councillor selection process was a core part of fashioning the state revolutionary. It is true that building a coalition outside the Labour party was necessary in bringing down the HDV. The “non-sectarian ethos” of the StopHDV movement “helped to bring together Liberal Democrats, Greens and people from the centre and left of the Labour Party” </w:t>
      </w:r>
      <w:r w:rsidRPr="00662E51">
        <w:rPr>
          <w:szCs w:val="24"/>
        </w:rPr>
        <w:fldChar w:fldCharType="begin"/>
      </w:r>
      <w:r w:rsidR="008835AB" w:rsidRPr="00662E51">
        <w:rPr>
          <w:szCs w:val="24"/>
        </w:rPr>
        <w:instrText xml:space="preserve"> ADDIN ZOTERO_ITEM CSL_CITATION {"citationID":"oNaLqqSX","properties":{"unsorted":true,"formattedCitation":"(Horton and Penny 2024, 88; see also Dignan 2021)","plainCitation":"(Horton and Penny 2024, 88; see also Dignan 2021)","noteIndex":0},"citationItems":[{"id":5697,"uris":["http://zotero.org/users/8977980/items/ZPYXM7A6"],"itemData":{"id":5697,"type":"book","ISBN":"978-1-80008-710-1","language":"eng","note":"OCLC: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88"},{"id":2039,"uris":["http://zotero.org/groups/4816685/items/FHF7UGFX"],"itemData":{"id":2039,"type":"article-magazine","abstract":"The party needs to pull together to take on the challenges facing the borough.","container-title":"New Statesman","language":"en-US","title":"Local people stopped the Haringey Development Vehicle - now it’s time for unity","URL":"https://www.newstatesman.com/politics/2018/01/local-people-stopped-haringey-development-vehicle-now-its-time-unity","author":[{"family":"Dignan","given":"Celia"}],"accessed":{"date-parts":[["2022",8,1]]},"issued":{"date-parts":[["2021",6,9]]}},"label":"page","prefix":"see also"}],"schema":"https://github.com/citation-style-language/schema/raw/master/csl-citation.json"} </w:instrText>
      </w:r>
      <w:r w:rsidRPr="00662E51">
        <w:rPr>
          <w:szCs w:val="24"/>
        </w:rPr>
        <w:fldChar w:fldCharType="separate"/>
      </w:r>
      <w:r w:rsidR="0095662D" w:rsidRPr="00662E51">
        <w:t>(Horton and Penny 2024, 88; see also Dignan 2021)</w:t>
      </w:r>
      <w:r w:rsidRPr="00662E51">
        <w:rPr>
          <w:szCs w:val="24"/>
        </w:rPr>
        <w:fldChar w:fldCharType="end"/>
      </w:r>
      <w:r w:rsidRPr="00662E51">
        <w:rPr>
          <w:szCs w:val="24"/>
        </w:rPr>
        <w:t xml:space="preserve">. Indeed, Liberal Democrats frequently undermined and/or voted against the HDV. </w:t>
      </w:r>
      <w:r w:rsidR="008675FF" w:rsidRPr="00662E51">
        <w:rPr>
          <w:szCs w:val="24"/>
        </w:rPr>
        <w:t>Yet</w:t>
      </w:r>
      <w:r w:rsidRPr="00662E51">
        <w:rPr>
          <w:szCs w:val="24"/>
        </w:rPr>
        <w:t xml:space="preserve"> this perspective should not reduce the significance of the creation of an anti-HDV coalition within the party. As Melissa recalls, “by the time we [in the Labour Party] were selecting councillors in 2018,” it became clear to campaigners that “the way to stop the HDV would have been through selecting councillors who opposed it,” specifically Labour councillors, given the electoral arithmetic of Haringey. </w:t>
      </w:r>
      <w:r w:rsidR="00A05281" w:rsidRPr="00662E51">
        <w:rPr>
          <w:szCs w:val="24"/>
        </w:rPr>
        <w:t xml:space="preserve">For Melissa, this was tied into a broader push for anti-austerity politics: </w:t>
      </w:r>
      <w:r w:rsidR="001A4689" w:rsidRPr="00662E51">
        <w:rPr>
          <w:szCs w:val="24"/>
        </w:rPr>
        <w:t xml:space="preserve">the StopHDV campaign “was really tied up with a bigger vision as well, which was that we could actually do something really positive if we succeeded in getting a majority of left Socialist Council elected at that election.” </w:t>
      </w:r>
      <w:r w:rsidRPr="00662E51">
        <w:rPr>
          <w:szCs w:val="24"/>
        </w:rPr>
        <w:t xml:space="preserve">John concurred, noting activists knew that, at the time, “the existing Council, with its existing membership, was not going to go back on” the HDV. While some councillors like John explicitly stood for election to repeal the HDV and to challenge the austerity agenda of the then-Conservative government, </w:t>
      </w:r>
      <w:r w:rsidRPr="00662E51">
        <w:rPr>
          <w:szCs w:val="24"/>
        </w:rPr>
        <w:lastRenderedPageBreak/>
        <w:t xml:space="preserve">other councillors were not necessarily opposed to the Vehicle in the first instance. But, these councillors were eventually persuaded to change sides </w:t>
      </w:r>
      <w:r w:rsidRPr="00662E51">
        <w:rPr>
          <w:szCs w:val="24"/>
        </w:rPr>
        <w:fldChar w:fldCharType="begin"/>
      </w:r>
      <w:r w:rsidR="008835AB" w:rsidRPr="00662E51">
        <w:rPr>
          <w:szCs w:val="24"/>
        </w:rPr>
        <w:instrText xml:space="preserve"> ADDIN ZOTERO_ITEM CSL_CITATION {"citationID":"TM2aLB3d","properties":{"formattedCitation":"(Horton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CITY","URL":"https://www.uclpress.co.uk/products/240669","author":[{"family":"Horton","given":"Amy"},{"family":"Penny","given":"Joe"}],"issued":{"date-parts":[["2024"]]}},"label":"page"}],"schema":"https://github.com/citation-style-language/schema/raw/master/csl-citation.json"}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Melissa said, “if it could deliver better quality housing and investment, and the accountability, I wouldn't have had a problem with it.” Nevertheless, for her, the lack of council oversight “was what was wrong” with the scheme—as designed, both partner and council had equal decision-making power. John however saw such changes of heart as “people jump[ing] on board out of political expediency rather than any commitment whatsoever to the actual aims of the campaign.” The threat of deselection made the prospective of flipping very attractive: </w:t>
      </w:r>
      <w:r w:rsidR="00F7399D" w:rsidRPr="00D3031B">
        <w:t>only 20% of pro-HDV councillors were reselected in 2018</w:t>
      </w:r>
      <w:r w:rsidR="00F7399D">
        <w:t xml:space="preserve"> </w:t>
      </w:r>
      <w:r w:rsidR="003B481F">
        <w:fldChar w:fldCharType="begin"/>
      </w:r>
      <w:r w:rsidR="003B481F">
        <w:instrText xml:space="preserve"> ADDIN ZOTERO_ITEM CSL_CITATION {"citationID":"O31cUbxt","properties":{"formattedCitation":"(Aitkenhead 2018)","plainCitation":"(Aitkenhead 2018)","noteIndex":0},"citationItems":[{"id":6012,"uris":["http://zotero.org/users/8977980/items/PHZHYE36"],"itemData":{"id":6012,"type":"article-newspaper","abstract":"The London council leader has resigned amid claims of sexist bullying by Momentum members. Was she just the loser in a local politics row about regeneration – or is this the future of the Labour party?","container-title":"The Guardian","ISSN":"0261-3077","language":"en-GB","section":"Politics","source":"The Guardian","title":"Haringey boss Claire Kober: 'The argument that I’m incompetent would not have been used if I were a man'","title-short":"Haringey boss Claire Kober","URL":"https://www.theguardian.com/politics/2018/feb/02/haringey-boss-claire-kober-the-argument-that-im-incompetent-would-not-have-been-used-if-i-were-a-man","author":[{"family":"Aitkenhead","given":"Decca"}],"accessed":{"date-parts":[["2024",10,2]]},"issued":{"date-parts":[["2018",2,2]]}}}],"schema":"https://github.com/citation-style-language/schema/raw/master/csl-citation.json"} </w:instrText>
      </w:r>
      <w:r w:rsidR="003B481F">
        <w:fldChar w:fldCharType="separate"/>
      </w:r>
      <w:r w:rsidR="003B481F" w:rsidRPr="003B481F">
        <w:t>(Aitkenhead 2018)</w:t>
      </w:r>
      <w:r w:rsidR="003B481F">
        <w:fldChar w:fldCharType="end"/>
      </w:r>
      <w:r w:rsidR="00F7399D" w:rsidRPr="00D3031B">
        <w:t>.</w:t>
      </w:r>
      <w:r w:rsidR="00A80E2F">
        <w:t xml:space="preserve"> </w:t>
      </w:r>
      <w:r w:rsidRPr="00662E51">
        <w:rPr>
          <w:szCs w:val="24"/>
        </w:rPr>
        <w:t xml:space="preserve">Asif recounted that, because of the “increase in membership across the party across the different wards in Haringey” due to Corbyn’s success, “it was a happy coincidence that we [StopHDV] did have a majority of ordinary members” opposed to the Vehicle. This is perhaps why Melissa stated, under Ejiofor’s “leadership, [the council] was a coalition, but there was clear direction in which way [Ejiofor’s] leadership was going,” especially as the Vehicle’s cancellation was one of the first acts </w:t>
      </w:r>
      <w:r w:rsidR="004D4FEF" w:rsidRPr="00662E51">
        <w:rPr>
          <w:szCs w:val="24"/>
        </w:rPr>
        <w:t xml:space="preserve">(and major aims) </w:t>
      </w:r>
      <w:r w:rsidRPr="00662E51">
        <w:rPr>
          <w:szCs w:val="24"/>
        </w:rPr>
        <w:t xml:space="preserve">of the new council. </w:t>
      </w:r>
    </w:p>
    <w:p w14:paraId="39BFF3F0" w14:textId="3E54578A" w:rsidR="00FE6FE3" w:rsidRDefault="00A1577B" w:rsidP="00F56305">
      <w:pPr>
        <w:spacing w:line="360" w:lineRule="auto"/>
        <w:ind w:left="0" w:firstLine="720"/>
        <w:rPr>
          <w:szCs w:val="24"/>
        </w:rPr>
      </w:pPr>
      <w:r w:rsidRPr="00662E51">
        <w:rPr>
          <w:szCs w:val="24"/>
        </w:rPr>
        <w:t>The coalitional nature of the Ejiofor-led council reflected the state revolutionary’s internal multiplicity. John supposed that his faction (which followed the “anti-austerity message of Corbyn”) was strong</w:t>
      </w:r>
      <w:r w:rsidR="006F6D57" w:rsidRPr="00662E51">
        <w:rPr>
          <w:szCs w:val="24"/>
        </w:rPr>
        <w:t xml:space="preserve">, but however </w:t>
      </w:r>
      <w:r w:rsidRPr="00662E51">
        <w:rPr>
          <w:szCs w:val="24"/>
        </w:rPr>
        <w:t xml:space="preserve"> </w:t>
      </w:r>
    </w:p>
    <w:p w14:paraId="717BFC8B" w14:textId="77777777" w:rsidR="0021755A" w:rsidRPr="00662E51" w:rsidRDefault="0021755A" w:rsidP="0021755A">
      <w:pPr>
        <w:ind w:left="0" w:firstLine="720"/>
        <w:rPr>
          <w:szCs w:val="24"/>
        </w:rPr>
      </w:pPr>
    </w:p>
    <w:p w14:paraId="155CDCAF" w14:textId="4E554A29" w:rsidR="006C61BE" w:rsidRDefault="006C61BE" w:rsidP="0021755A">
      <w:pPr>
        <w:ind w:left="720"/>
        <w:rPr>
          <w:szCs w:val="24"/>
        </w:rPr>
      </w:pPr>
      <w:r w:rsidRPr="00662E51">
        <w:rPr>
          <w:szCs w:val="24"/>
        </w:rPr>
        <w:t>we didn</w:t>
      </w:r>
      <w:r w:rsidR="0021755A">
        <w:rPr>
          <w:szCs w:val="24"/>
        </w:rPr>
        <w:t>’</w:t>
      </w:r>
      <w:r w:rsidRPr="00662E51">
        <w:rPr>
          <w:szCs w:val="24"/>
        </w:rPr>
        <w:t>t ever really in reality have a majority in Labour Group for that. So, there was a case of building alliances with other people who were vaguely on the left. And you're trying to do as much as we could in the short time that we had available.</w:t>
      </w:r>
    </w:p>
    <w:p w14:paraId="2231F181" w14:textId="77777777" w:rsidR="0021755A" w:rsidRPr="00662E51" w:rsidRDefault="0021755A" w:rsidP="0021755A">
      <w:pPr>
        <w:ind w:left="720"/>
        <w:rPr>
          <w:szCs w:val="24"/>
        </w:rPr>
      </w:pPr>
    </w:p>
    <w:p w14:paraId="02CB2BA7" w14:textId="1A7F8A64" w:rsidR="00AD42FD" w:rsidRDefault="00A1577B" w:rsidP="006C61BE">
      <w:pPr>
        <w:spacing w:line="360" w:lineRule="auto"/>
        <w:ind w:left="0"/>
        <w:rPr>
          <w:szCs w:val="24"/>
        </w:rPr>
      </w:pPr>
      <w:r w:rsidRPr="00662E51">
        <w:rPr>
          <w:szCs w:val="24"/>
        </w:rPr>
        <w:t>Sometimes, these alliances succeeded. In discussing Haringey’s council house building program, Asif remarked, “I think the new leadership have retained a lot of those things that we started between 2018 and ‘21 and one of those things was, you know, which people liked, was the emphasis around building council homes.” This program began under the Ejiofor-led council and has maintained broad support within the council. Alliances failed, too: John said</w:t>
      </w:r>
    </w:p>
    <w:p w14:paraId="52363E13" w14:textId="77777777" w:rsidR="0021755A" w:rsidRPr="00662E51" w:rsidRDefault="0021755A" w:rsidP="0021755A">
      <w:pPr>
        <w:ind w:left="0"/>
        <w:rPr>
          <w:szCs w:val="24"/>
        </w:rPr>
      </w:pPr>
    </w:p>
    <w:p w14:paraId="54288ED3" w14:textId="71F0DD48" w:rsidR="00AD42FD" w:rsidRDefault="00323A62" w:rsidP="0021755A">
      <w:pPr>
        <w:ind w:left="720"/>
        <w:rPr>
          <w:szCs w:val="24"/>
        </w:rPr>
      </w:pPr>
      <w:r w:rsidRPr="00662E51">
        <w:rPr>
          <w:szCs w:val="24"/>
        </w:rPr>
        <w:t xml:space="preserve">The [thing about the] Labour Party in a place like Haringey which is essentially </w:t>
      </w:r>
      <w:r w:rsidR="00EA4696" w:rsidRPr="00662E51">
        <w:rPr>
          <w:szCs w:val="24"/>
        </w:rPr>
        <w:t>one-party</w:t>
      </w:r>
      <w:r w:rsidRPr="00662E51">
        <w:rPr>
          <w:szCs w:val="24"/>
        </w:rPr>
        <w:t xml:space="preserve"> borough. It’s not even a coalition, it essentially </w:t>
      </w:r>
      <w:r w:rsidRPr="00662E51">
        <w:rPr>
          <w:szCs w:val="24"/>
        </w:rPr>
        <w:lastRenderedPageBreak/>
        <w:t xml:space="preserve">includes what would, in a more healthy political environment, be the opposition. </w:t>
      </w:r>
      <w:r w:rsidR="00EA4696" w:rsidRPr="00662E51">
        <w:rPr>
          <w:szCs w:val="24"/>
        </w:rPr>
        <w:t>So,</w:t>
      </w:r>
      <w:r w:rsidRPr="00662E51">
        <w:rPr>
          <w:szCs w:val="24"/>
        </w:rPr>
        <w:t xml:space="preserve"> you've got a whole section of people who become Labour Councillors in Haringey because they want to be Councillor for whatever reason and if it had been a different borough in a different part of the country, they would have been Tory Councillors</w:t>
      </w:r>
      <w:r w:rsidR="00EA4696" w:rsidRPr="00662E51">
        <w:rPr>
          <w:szCs w:val="24"/>
        </w:rPr>
        <w:t>,</w:t>
      </w:r>
    </w:p>
    <w:p w14:paraId="1DFEEA33" w14:textId="77777777" w:rsidR="0021755A" w:rsidRPr="00662E51" w:rsidRDefault="0021755A" w:rsidP="0021755A">
      <w:pPr>
        <w:ind w:left="720"/>
        <w:rPr>
          <w:szCs w:val="24"/>
        </w:rPr>
      </w:pPr>
    </w:p>
    <w:p w14:paraId="17027283" w14:textId="31497F5A" w:rsidR="00A1577B" w:rsidRDefault="00A1577B" w:rsidP="006C61BE">
      <w:pPr>
        <w:spacing w:line="360" w:lineRule="auto"/>
        <w:ind w:left="0"/>
        <w:rPr>
          <w:szCs w:val="24"/>
        </w:rPr>
      </w:pPr>
      <w:r w:rsidRPr="00662E51">
        <w:rPr>
          <w:szCs w:val="24"/>
        </w:rPr>
        <w:t xml:space="preserve">reflecting the import of the party group within the council </w:t>
      </w:r>
      <w:r w:rsidRPr="00662E51">
        <w:rPr>
          <w:szCs w:val="24"/>
        </w:rPr>
        <w:fldChar w:fldCharType="begin"/>
      </w:r>
      <w:r w:rsidR="00F15CF8">
        <w:rPr>
          <w:szCs w:val="24"/>
        </w:rPr>
        <w:instrText xml:space="preserve"> ADDIN ZOTERO_ITEM CSL_CITATION {"citationID":"JgjF7YNq","properties":{"formattedCitation":"(Copus 2004, 2015, 2023)","plainCitation":"(Copus 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schema":"https://github.com/citation-style-language/schema/raw/master/csl-citation.json"} </w:instrText>
      </w:r>
      <w:r w:rsidRPr="00662E51">
        <w:rPr>
          <w:szCs w:val="24"/>
        </w:rPr>
        <w:fldChar w:fldCharType="separate"/>
      </w:r>
      <w:r w:rsidR="00F15CF8" w:rsidRPr="00F15CF8">
        <w:t>(Copus 2004, 2015, 2023)</w:t>
      </w:r>
      <w:r w:rsidRPr="00662E51">
        <w:rPr>
          <w:szCs w:val="24"/>
        </w:rPr>
        <w:fldChar w:fldCharType="end"/>
      </w:r>
      <w:r w:rsidRPr="00662E51">
        <w:rPr>
          <w:szCs w:val="24"/>
        </w:rPr>
        <w:t xml:space="preserve">. Failure was often a result of what John called the “small p-politics”: the “personal connections, personal alliances, affinities” that guided councillors to vote one way or another. In terms of the HDV, he lamented that “longstanding </w:t>
      </w:r>
      <w:r w:rsidR="001D46EE">
        <w:rPr>
          <w:szCs w:val="24"/>
        </w:rPr>
        <w:t xml:space="preserve">[leftist] </w:t>
      </w:r>
      <w:r w:rsidRPr="00662E51">
        <w:rPr>
          <w:szCs w:val="24"/>
        </w:rPr>
        <w:t>councillors ended up supporting the HDV with people very much on the centre and right of the Labour Party, with much closer connections to the private sector” because of these personal relationships. He continued:</w:t>
      </w:r>
    </w:p>
    <w:p w14:paraId="3BCCB907" w14:textId="77777777" w:rsidR="00772554" w:rsidRPr="00662E51" w:rsidRDefault="00772554" w:rsidP="00772554">
      <w:pPr>
        <w:ind w:left="0"/>
        <w:rPr>
          <w:szCs w:val="24"/>
        </w:rPr>
      </w:pPr>
    </w:p>
    <w:p w14:paraId="53EFC6C8" w14:textId="77777777" w:rsidR="00A1577B" w:rsidRDefault="00A1577B" w:rsidP="00772554">
      <w:pPr>
        <w:ind w:left="720"/>
        <w:rPr>
          <w:szCs w:val="24"/>
        </w:rPr>
      </w:pPr>
      <w:r w:rsidRPr="00662E51">
        <w:rPr>
          <w:szCs w:val="24"/>
        </w:rPr>
        <w:t>Ejiofor had to fight in [the] cabinet against as a minority of cabinet members, at least, including people who had been vocal supporters of the StopHDV campaign, who wanted to take a slower approach… partly as a result of the kind of small-p politics that I was talking about and they were long standing sort of animosities envy, rivalry and so on.</w:t>
      </w:r>
    </w:p>
    <w:p w14:paraId="0D67B3EB" w14:textId="77777777" w:rsidR="00772554" w:rsidRPr="00662E51" w:rsidRDefault="00772554" w:rsidP="00772554">
      <w:pPr>
        <w:ind w:left="720"/>
        <w:rPr>
          <w:szCs w:val="24"/>
        </w:rPr>
      </w:pPr>
    </w:p>
    <w:p w14:paraId="30A9D387" w14:textId="300CE6D4" w:rsidR="00A1577B" w:rsidRPr="00662E51" w:rsidRDefault="00A1577B" w:rsidP="00F56305">
      <w:pPr>
        <w:spacing w:line="360" w:lineRule="auto"/>
        <w:ind w:left="0"/>
        <w:rPr>
          <w:szCs w:val="24"/>
        </w:rPr>
      </w:pPr>
      <w:r w:rsidRPr="00662E51">
        <w:rPr>
          <w:szCs w:val="24"/>
        </w:rPr>
        <w:t>These kinds of relationships mattered in terms of what kinds of policies were implemented. Asif, in talking about the HDV, suggested that “people gotta understand how politics works… if the leader… comes forward with an idea and has their supporters around it… You know, they're gunna have a majority to kind of push that through.” That is, there is often significant pressure put on councillors to back the Leader’s priorities. Indeed, recall that rank-and-file councillors begged the party’s National Executive Committee for protection</w:t>
      </w:r>
      <w:r w:rsidR="00765FF0" w:rsidRPr="00662E51">
        <w:rPr>
          <w:szCs w:val="24"/>
        </w:rPr>
        <w:t xml:space="preserve"> from having the whip withdrawn or </w:t>
      </w:r>
      <w:r w:rsidR="000E7163" w:rsidRPr="00662E51">
        <w:rPr>
          <w:szCs w:val="24"/>
        </w:rPr>
        <w:t>being expelled</w:t>
      </w:r>
      <w:r w:rsidRPr="00662E51">
        <w:rPr>
          <w:szCs w:val="24"/>
        </w:rPr>
        <w:t xml:space="preserve"> during the manoeuvring within the council to cancel the HDV </w:t>
      </w:r>
      <w:r w:rsidRPr="00662E51">
        <w:rPr>
          <w:szCs w:val="24"/>
        </w:rPr>
        <w:fldChar w:fldCharType="begin"/>
      </w:r>
      <w:r w:rsidR="00557CA9" w:rsidRPr="00662E51">
        <w:rPr>
          <w:szCs w:val="24"/>
        </w:rPr>
        <w:instrText xml:space="preserve"> ADDIN ZOTERO_ITEM CSL_CITATION {"citationID":"hEc6fiKQ","properties":{"formattedCitation":"(Watson 2018)","plainCitation":"(Watson 2018)","noteIndex":0},"citationItems":[{"id":5844,"uris":["http://zotero.org/users/8977980/items/ZDE7J2WT"],"itemData":{"id":5844,"type":"article-newspaper","abstract":"The ruling body calls for a halt to a controversial development that has split the local party.","container-title":"BBC News","language":"en-GB","section":"UK Politics","source":"www.bbc.co.uk","title":"Labour NEC intervenes in Haringey development row","URL":"https://www.bbc.com/news/uk-politics-42795708","author":[{"family":"Watson","given":"Iain"}],"accessed":{"date-parts":[["2024",9,19]]},"issued":{"date-parts":[["2018",1,23]]}}}],"schema":"https://github.com/citation-style-language/schema/raw/master/csl-citation.json"} </w:instrText>
      </w:r>
      <w:r w:rsidRPr="00662E51">
        <w:rPr>
          <w:szCs w:val="24"/>
        </w:rPr>
        <w:fldChar w:fldCharType="separate"/>
      </w:r>
      <w:r w:rsidR="0095662D" w:rsidRPr="00662E51">
        <w:t>(Watson 2018)</w:t>
      </w:r>
      <w:r w:rsidRPr="00662E51">
        <w:rPr>
          <w:szCs w:val="24"/>
        </w:rPr>
        <w:fldChar w:fldCharType="end"/>
      </w:r>
      <w:r w:rsidRPr="00662E51">
        <w:rPr>
          <w:szCs w:val="24"/>
        </w:rPr>
        <w:t xml:space="preserve">. The plea for help was a direct consequence of not only the Leader’s institutional powers, but also the individual relationships between councillors </w:t>
      </w:r>
      <w:r w:rsidR="00EF564E" w:rsidRPr="00662E51">
        <w:rPr>
          <w:szCs w:val="24"/>
        </w:rPr>
        <w:fldChar w:fldCharType="begin"/>
      </w:r>
      <w:r w:rsidR="00F15CF8">
        <w:rPr>
          <w:szCs w:val="24"/>
        </w:rPr>
        <w:instrText xml:space="preserve"> ADDIN ZOTERO_ITEM CSL_CITATION {"citationID":"knIb0JtB","properties":{"formattedCitation":"(Copus 2004, 2015, 2023)","plainCitation":"(Copus 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schema":"https://github.com/citation-style-language/schema/raw/master/csl-citation.json"} </w:instrText>
      </w:r>
      <w:r w:rsidR="00EF564E" w:rsidRPr="00662E51">
        <w:rPr>
          <w:szCs w:val="24"/>
        </w:rPr>
        <w:fldChar w:fldCharType="separate"/>
      </w:r>
      <w:r w:rsidR="00F15CF8" w:rsidRPr="00F15CF8">
        <w:t>(Copus 2004, 2015, 2023)</w:t>
      </w:r>
      <w:r w:rsidR="00EF564E" w:rsidRPr="00662E51">
        <w:rPr>
          <w:szCs w:val="24"/>
        </w:rPr>
        <w:fldChar w:fldCharType="end"/>
      </w:r>
      <w:r w:rsidR="00EF564E" w:rsidRPr="00662E51">
        <w:rPr>
          <w:szCs w:val="24"/>
        </w:rPr>
        <w:t xml:space="preserve">. </w:t>
      </w:r>
      <w:r w:rsidRPr="00662E51">
        <w:rPr>
          <w:szCs w:val="24"/>
        </w:rPr>
        <w:t xml:space="preserve">John discussed his relationship with members of the Housing Scrutiny Panel during the Kober administration. He recalls “work[ing] very, very closely with [councillors] to try and give [them] the backbone necessary to oppose the HDV” instead of simply modifying it. Unfortunately, these members did not follow through with voting to end the HDV, due to personal relationships and/or pressure from pro-HDV groups </w:t>
      </w:r>
      <w:r w:rsidRPr="00662E51">
        <w:rPr>
          <w:szCs w:val="24"/>
        </w:rPr>
        <w:fldChar w:fldCharType="begin"/>
      </w:r>
      <w:r w:rsidR="008835AB" w:rsidRPr="00662E51">
        <w:rPr>
          <w:szCs w:val="24"/>
        </w:rPr>
        <w:instrText xml:space="preserve"> ADDIN ZOTERO_ITEM CSL_CITATION {"citationID":"vzHUv7gw","properties":{"formattedCitation":"(Copus 2004; Miliband 1973)","plainCitation":"(Copus 2004; Miliband 1973)","noteIndex":0},"citationItems":[{"id":6766,"uris":["http://zotero.org/users/8977980/items/22FQIFRM"],"itemData":{"id":6766,"type":"book","ISBN":"978-0-7190-6635-1","language":"eng","number-of-pages":"313","publisher":"Manchester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Government","author":[{"family":"Copus","given":"Colin"}],"issued":{"date-parts":[["2004"]]}}},{"id":6775,"uris":["http://zotero.org/users/8977980/items/WA9H2UEI"],"itemData":{"id":6775,"type":"book","call-number":"324.24107 MIL","edition":"2d ed.","ISBN":"978-0-85036-135-3","language":"eng","number-of-pages":"384","publisher":"Merlin Press","publisher-place":"London","source":"discover.durham.ac.uk","title":"Parliamentary socialism: a study in the politics of Labour","title-short":"Parliamentary socialism","author":[{"family":"Miliband","given":"Ralph"}],"issued":{"date-parts":[["1973"]]}}}],"schema":"https://github.com/citation-style-language/schema/raw/master/csl-citation.json"} </w:instrText>
      </w:r>
      <w:r w:rsidRPr="00662E51">
        <w:rPr>
          <w:szCs w:val="24"/>
        </w:rPr>
        <w:fldChar w:fldCharType="separate"/>
      </w:r>
      <w:r w:rsidR="0095662D" w:rsidRPr="00662E51">
        <w:t xml:space="preserve">(Copus 2004; </w:t>
      </w:r>
      <w:r w:rsidR="0095662D" w:rsidRPr="00662E51">
        <w:lastRenderedPageBreak/>
        <w:t>Miliband 1973)</w:t>
      </w:r>
      <w:r w:rsidRPr="00662E51">
        <w:rPr>
          <w:szCs w:val="24"/>
        </w:rPr>
        <w:fldChar w:fldCharType="end"/>
      </w:r>
      <w:r w:rsidRPr="00662E51">
        <w:rPr>
          <w:szCs w:val="24"/>
        </w:rPr>
        <w:t xml:space="preserve">. But, even in failures, the interviewees did agree that the direction was overall positive. To illustrate, Asif referred to the ongoing council house building program in Haringey as “a victory and a good thing,” even though it is no longer the evental subject who is building these homes. </w:t>
      </w:r>
    </w:p>
    <w:p w14:paraId="7E24B8F5" w14:textId="1CF57D48" w:rsidR="00A1577B" w:rsidRPr="00662E51" w:rsidRDefault="00A1577B" w:rsidP="00F56305">
      <w:pPr>
        <w:spacing w:line="360" w:lineRule="auto"/>
        <w:ind w:left="0" w:firstLine="720"/>
        <w:rPr>
          <w:szCs w:val="24"/>
        </w:rPr>
      </w:pPr>
      <w:r w:rsidRPr="00662E51">
        <w:rPr>
          <w:szCs w:val="24"/>
        </w:rPr>
        <w:t xml:space="preserve">The relationships that make up the state thus structured the revolutionary’s capacity to implement lasting change. That councillors and staff had a variety of orientations to the Vehicle reflects the state’s internal instability and heterogeneity. I argue that the fashioning of the Ejiofor-led council as a component of the state revolutionary reveals two noteworthy insights. First, against depictions of the StopHDV campaign’s use of an electoral approach as “a tactic of last resort,” I contend that the political structures of Haringey effectively </w:t>
      </w:r>
      <w:r w:rsidRPr="00A047FB">
        <w:rPr>
          <w:i/>
          <w:iCs/>
          <w:szCs w:val="24"/>
        </w:rPr>
        <w:t>required</w:t>
      </w:r>
      <w:r w:rsidRPr="00662E51">
        <w:rPr>
          <w:szCs w:val="24"/>
        </w:rPr>
        <w:t xml:space="preserve"> a campaign that rested on party politics </w:t>
      </w:r>
      <w:r w:rsidRPr="00662E51">
        <w:rPr>
          <w:szCs w:val="24"/>
        </w:rPr>
        <w:fldChar w:fldCharType="begin"/>
      </w:r>
      <w:r w:rsidR="008835AB" w:rsidRPr="00662E51">
        <w:rPr>
          <w:szCs w:val="24"/>
        </w:rPr>
        <w:instrText xml:space="preserve"> ADDIN ZOTERO_ITEM CSL_CITATION {"citationID":"XPNIS8aM","properties":{"formattedCitation":"(Horton and Penny 2024, 118)","plainCitation":"(Horton and Penny 2024, 118)","noteIndex":0},"citationItems":[{"id":5697,"uris":["http://zotero.org/users/8977980/items/ZPYXM7A6"],"itemData":{"id":5697,"type":"book","ISBN":"978-1-80008-710-1","language":"eng","note":"OCLC: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118","label":"page"}],"schema":"https://github.com/citation-style-language/schema/raw/master/csl-citation.json"} </w:instrText>
      </w:r>
      <w:r w:rsidRPr="00662E51">
        <w:rPr>
          <w:szCs w:val="24"/>
        </w:rPr>
        <w:fldChar w:fldCharType="separate"/>
      </w:r>
      <w:r w:rsidR="0095662D" w:rsidRPr="00662E51">
        <w:t>(Horton and Penny 2024, 118)</w:t>
      </w:r>
      <w:r w:rsidRPr="00662E51">
        <w:rPr>
          <w:szCs w:val="24"/>
        </w:rPr>
        <w:fldChar w:fldCharType="end"/>
      </w:r>
      <w:r w:rsidRPr="00662E51">
        <w:rPr>
          <w:szCs w:val="24"/>
        </w:rPr>
        <w:t xml:space="preserve">. Indeed, internal Labour politics had become a fundamental element within the StopHDV campaign, with substantial resistance to the scheme occurring </w:t>
      </w:r>
      <w:r w:rsidRPr="00662E51">
        <w:rPr>
          <w:i/>
          <w:iCs/>
          <w:szCs w:val="24"/>
        </w:rPr>
        <w:t>through</w:t>
      </w:r>
      <w:r w:rsidRPr="00662E51">
        <w:rPr>
          <w:szCs w:val="24"/>
        </w:rPr>
        <w:t xml:space="preserve"> the party and thus the state. Second, and consequently, the role of the party is not always one of insulation from dissent. Whilst the party is often a machinery of constraint </w:t>
      </w:r>
      <w:r w:rsidRPr="00662E51">
        <w:rPr>
          <w:szCs w:val="24"/>
        </w:rPr>
        <w:fldChar w:fldCharType="begin"/>
      </w:r>
      <w:r w:rsidR="008835AB" w:rsidRPr="00662E51">
        <w:rPr>
          <w:szCs w:val="24"/>
        </w:rPr>
        <w:instrText xml:space="preserve"> ADDIN ZOTERO_ITEM CSL_CITATION {"citationID":"YqXUeuZK","properties":{"formattedCitation":"(Cockburn 1980; Ormerod 2021)","plainCitation":"(Cockburn 1980; Ormerod 2021)","noteIndex":0},"citationItems":[{"id":5811,"uris":["http://zotero.org/users/8977980/items/U5ZYVUT5"],"itemData":{"id":5811,"type":"book","edition":"Repr","ISBN":"978-0-904383-48-5","language":"eng","number-of-pages":"207","publisher":"Pluto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95662D" w:rsidRPr="00662E51">
        <w:t>(Cockburn 1980; Ormerod 2021)</w:t>
      </w:r>
      <w:r w:rsidRPr="00662E51">
        <w:rPr>
          <w:szCs w:val="24"/>
        </w:rPr>
        <w:fldChar w:fldCharType="end"/>
      </w:r>
      <w:r w:rsidRPr="00662E51">
        <w:rPr>
          <w:szCs w:val="24"/>
        </w:rPr>
        <w:t>, the StopHDV subject indicates that the party does not have an iron grip.</w:t>
      </w:r>
    </w:p>
    <w:p w14:paraId="61D883D1" w14:textId="43F2DF86" w:rsidR="00A1577B" w:rsidRPr="00662E51" w:rsidRDefault="00A1577B" w:rsidP="00F56305">
      <w:pPr>
        <w:spacing w:line="360" w:lineRule="auto"/>
        <w:ind w:left="0" w:firstLine="720"/>
        <w:rPr>
          <w:szCs w:val="24"/>
        </w:rPr>
      </w:pPr>
      <w:r w:rsidRPr="00662E51">
        <w:rPr>
          <w:szCs w:val="24"/>
        </w:rPr>
        <w:t xml:space="preserve">Similarly, the local state—where the hierarchy of voices was mostly located—was trying to enact a neoliberal vision on the area with the help of other state scales. The HDV reflects the long-standing municipal paternalism that characterises Labour’s rule in Haringey </w:t>
      </w:r>
      <w:r w:rsidRPr="00662E51">
        <w:rPr>
          <w:szCs w:val="24"/>
        </w:rPr>
        <w:fldChar w:fldCharType="begin"/>
      </w:r>
      <w:r w:rsidR="008835AB" w:rsidRPr="00662E51">
        <w:rPr>
          <w:szCs w:val="24"/>
        </w:rPr>
        <w:instrText xml:space="preserve"> ADDIN ZOTERO_ITEM CSL_CITATION {"citationID":"sPFZEL2q","properties":{"formattedCitation":"(Dillon and Fanning 2011)","plainCitation":"(Dillon and Fanning 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Pr="00662E51">
        <w:rPr>
          <w:szCs w:val="24"/>
        </w:rPr>
        <w:fldChar w:fldCharType="separate"/>
      </w:r>
      <w:r w:rsidR="0095662D" w:rsidRPr="00662E51">
        <w:t>(Dillon and Fanning 2011)</w:t>
      </w:r>
      <w:r w:rsidRPr="00662E51">
        <w:rPr>
          <w:szCs w:val="24"/>
        </w:rPr>
        <w:fldChar w:fldCharType="end"/>
      </w:r>
      <w:r w:rsidRPr="00662E51">
        <w:rPr>
          <w:szCs w:val="24"/>
        </w:rPr>
        <w:t xml:space="preserve">, in which the state managed and foreclosed dissent </w:t>
      </w:r>
      <w:r w:rsidRPr="00662E51">
        <w:rPr>
          <w:szCs w:val="24"/>
        </w:rPr>
        <w:fldChar w:fldCharType="begin"/>
      </w:r>
      <w:r w:rsidR="008835AB" w:rsidRPr="00662E51">
        <w:rPr>
          <w:szCs w:val="24"/>
        </w:rPr>
        <w:instrText xml:space="preserve"> ADDIN ZOTERO_ITEM CSL_CITATION {"citationID":"N8wyen2Y","properties":{"formattedCitation":"(Cockburn 1980)","plainCitation":"(Cockburn 1980)","noteIndex":0},"citationItems":[{"id":5811,"uris":["http://zotero.org/users/8977980/items/U5ZYVUT5"],"itemData":{"id":5811,"type":"book","edition":"Repr","ISBN":"978-0-904383-48-5","language":"eng","number-of-pages":"207","publisher":"Pluto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state","author":[{"family":"Cockburn","given":"Cynthia"}],"issued":{"date-parts":[["1980"]]}}}],"schema":"https://github.com/citation-style-language/schema/raw/master/csl-citation.json"} </w:instrText>
      </w:r>
      <w:r w:rsidRPr="00662E51">
        <w:rPr>
          <w:szCs w:val="24"/>
        </w:rPr>
        <w:fldChar w:fldCharType="separate"/>
      </w:r>
      <w:r w:rsidR="0095662D" w:rsidRPr="00662E51">
        <w:t>(Cockburn 1980)</w:t>
      </w:r>
      <w:r w:rsidRPr="00662E51">
        <w:rPr>
          <w:szCs w:val="24"/>
        </w:rPr>
        <w:fldChar w:fldCharType="end"/>
      </w:r>
      <w:r w:rsidRPr="00662E51">
        <w:rPr>
          <w:szCs w:val="24"/>
        </w:rPr>
        <w:t xml:space="preserve">. More presently, both Asif and John highlighted what they saw as council staff who tacitly supported the HDV while it was still alive. John provided </w:t>
      </w:r>
      <w:r w:rsidR="00BB53B8" w:rsidRPr="00662E51">
        <w:rPr>
          <w:szCs w:val="24"/>
        </w:rPr>
        <w:t>a few examples</w:t>
      </w:r>
      <w:r w:rsidRPr="00662E51">
        <w:rPr>
          <w:szCs w:val="24"/>
        </w:rPr>
        <w:t xml:space="preserve">. When it came time for the Ejiofor-led council to formally terminate the HDV, he remembers being nervous that the council officers would recommend </w:t>
      </w:r>
      <w:r w:rsidRPr="00662E51">
        <w:rPr>
          <w:i/>
          <w:iCs/>
          <w:szCs w:val="24"/>
        </w:rPr>
        <w:t>not</w:t>
      </w:r>
      <w:r w:rsidRPr="00662E51">
        <w:rPr>
          <w:szCs w:val="24"/>
        </w:rPr>
        <w:t xml:space="preserve"> to cancel the scheme: “[I] didn't trust the officers at all… I had good reason not to trust them.” His worries were founded in that the same staff originally advised the anti-HDV slate to avoid committing on the HDV in their Labour Party election manifesto, which was understood as a lynchpin in efforts to repeal the HDV via the council. The staff’s hesitancy hampered other Ejiofor-led council policy decisions. Asif instance noted </w:t>
      </w:r>
      <w:r w:rsidRPr="00662E51">
        <w:rPr>
          <w:szCs w:val="24"/>
        </w:rPr>
        <w:lastRenderedPageBreak/>
        <w:t xml:space="preserve">that he experienced “resistance from officers,” when the council was trying to insource housing services. He said insourcing routes were “watered down and changed by officers who challenged and undermined” this process. John went as far as to say that “our own officers were sabotaging the process.” </w:t>
      </w:r>
      <w:r w:rsidR="00353607" w:rsidRPr="00662E51">
        <w:rPr>
          <w:szCs w:val="24"/>
        </w:rPr>
        <w:t xml:space="preserve">Similar comments were made about the Alexandra House scandal, in which Haringey Council purchased its offices for more than twice their initial valuation </w:t>
      </w:r>
      <w:r w:rsidR="00353607" w:rsidRPr="00662E51">
        <w:rPr>
          <w:szCs w:val="24"/>
        </w:rPr>
        <w:fldChar w:fldCharType="begin"/>
      </w:r>
      <w:r w:rsidR="00213B80">
        <w:rPr>
          <w:szCs w:val="24"/>
        </w:rPr>
        <w:instrText xml:space="preserve"> ADDIN ZOTERO_ITEM CSL_CITATION {"citationID":"Vm4Q4qXx","properties":{"formattedCitation":"(C. Thomson 2021)","plainCitation":"(C. Thomson 2021)","noteIndex":0},"citationItems":[{"id":6295,"uris":["http://zotero.org/users/8977980/items/55JUBDJJ"],"itemData":{"id":6295,"type":"article-newspaper","abstract":"A council has been accused of being involved in a \"disturbing\" property deal, after turning down a chance to pay £10 million for an…","container-title":"Ham &amp; High","language":"en","publisher-place":"London (UK), United Kingdom","section":"Local Government","title":"Revealed: How council paid £23m for an office block valued at £10m","title-short":"Revealed","URL":"https://www.hamhigh.co.uk/news/local-council/21335115.revealed-council-paid-23m-office-block-valued-10m/","author":[{"family":"Thomson","given":"Charles"}],"accessed":{"date-parts":[["2025",1,27]]},"issued":{"date-parts":[["2021",4,1]]}}}],"schema":"https://github.com/citation-style-language/schema/raw/master/csl-citation.json"} </w:instrText>
      </w:r>
      <w:r w:rsidR="00353607" w:rsidRPr="00662E51">
        <w:rPr>
          <w:szCs w:val="24"/>
        </w:rPr>
        <w:fldChar w:fldCharType="separate"/>
      </w:r>
      <w:r w:rsidR="00213B80" w:rsidRPr="00213B80">
        <w:t>(C. Thomson 2021)</w:t>
      </w:r>
      <w:r w:rsidR="00353607" w:rsidRPr="00662E51">
        <w:rPr>
          <w:szCs w:val="24"/>
        </w:rPr>
        <w:fldChar w:fldCharType="end"/>
      </w:r>
      <w:r w:rsidR="00353607" w:rsidRPr="00662E51">
        <w:rPr>
          <w:szCs w:val="24"/>
        </w:rPr>
        <w:t xml:space="preserve">. John argued that he “might take the view, though I'm not in a position to be able to prove it, that we got stiffed” on Alexandra House because, in his words, “a medium ranking member of staff seemed to know that this property was for sale” but declined to tell any councillors or senior staff. The building was subsequently purchased by a third party, who then sold it to the council at over twice its original valuation. Thomson </w:t>
      </w:r>
      <w:r w:rsidR="00353607" w:rsidRPr="00662E51">
        <w:rPr>
          <w:szCs w:val="24"/>
        </w:rPr>
        <w:fldChar w:fldCharType="begin"/>
      </w:r>
      <w:r w:rsidR="008835AB" w:rsidRPr="00662E51">
        <w:rPr>
          <w:szCs w:val="24"/>
        </w:rPr>
        <w:instrText xml:space="preserve"> ADDIN ZOTERO_ITEM CSL_CITATION {"citationID":"5qnxRqze","properties":{"formattedCitation":"(2021)","plainCitation":"(2021)","noteIndex":0},"citationItems":[{"id":6295,"uris":["http://zotero.org/users/8977980/items/55JUBDJJ"],"itemData":{"id":6295,"type":"article-newspaper","abstract":"A council has been accused of being involved in a \"disturbing\" property deal, after turning down a chance to pay £10 million for an…","container-title":"Ham &amp; High","language":"en","publisher-place":"London (UK), United Kingdom","section":"Local Government","title":"Revealed: How council paid £23m for an office block valued at £10m","title-short":"Revealed","URL":"https://www.hamhigh.co.uk/news/local-council/21335115.revealed-council-paid-23m-office-block-valued-10m/","author":[{"family":"Thomson","given":"Charles"}],"accessed":{"date-parts":[["2025",1,27]]},"issued":{"date-parts":[["2021",4,1]]}},"label":"page","suppress-author":true}],"schema":"https://github.com/citation-style-language/schema/raw/master/csl-citation.json"} </w:instrText>
      </w:r>
      <w:r w:rsidR="00353607" w:rsidRPr="00662E51">
        <w:rPr>
          <w:szCs w:val="24"/>
        </w:rPr>
        <w:fldChar w:fldCharType="separate"/>
      </w:r>
      <w:r w:rsidR="00353607" w:rsidRPr="00662E51">
        <w:rPr>
          <w:szCs w:val="24"/>
        </w:rPr>
        <w:t>(2021)</w:t>
      </w:r>
      <w:r w:rsidR="00353607" w:rsidRPr="00662E51">
        <w:rPr>
          <w:szCs w:val="24"/>
        </w:rPr>
        <w:fldChar w:fldCharType="end"/>
      </w:r>
      <w:r w:rsidR="00353607" w:rsidRPr="00662E51">
        <w:rPr>
          <w:szCs w:val="24"/>
        </w:rPr>
        <w:t xml:space="preserve"> does indicate staffers were aware the building was for sale and also notes that the Council’s internal audit blamed inadequate bureaucratic systems. Whereas the question of fault remains in the Alexandra House case, its relevance lies in the bureaucratic system that caused this scandal. Specifically, it indicates a local state that was able to maintain the previous structure of appearances even after the council was taken over. </w:t>
      </w:r>
      <w:r w:rsidRPr="00662E51">
        <w:rPr>
          <w:szCs w:val="24"/>
        </w:rPr>
        <w:t xml:space="preserve">As Ormerod </w:t>
      </w:r>
      <w:r w:rsidRPr="00662E51">
        <w:rPr>
          <w:szCs w:val="24"/>
        </w:rPr>
        <w:fldChar w:fldCharType="begin"/>
      </w:r>
      <w:r w:rsidR="00557CA9" w:rsidRPr="00662E51">
        <w:rPr>
          <w:szCs w:val="24"/>
        </w:rPr>
        <w:instrText xml:space="preserve"> ADDIN ZOTERO_ITEM CSL_CITATION {"citationID":"j6A7C6ur","properties":{"formattedCitation":"(2021, 7)","plainCitation":"(2021, 7)","noteIndex":0},"citationItems":[{"id":3295,"uris":["http://zotero.org/users/8977980/items/UP7CRFTK"],"itemData":{"id":3295,"type":"article-journal","abstract":"This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ocator":"7","label":"page","suppress-author":true}],"schema":"https://github.com/citation-style-language/schema/raw/master/csl-citation.json"} </w:instrText>
      </w:r>
      <w:r w:rsidRPr="00662E51">
        <w:rPr>
          <w:szCs w:val="24"/>
        </w:rPr>
        <w:fldChar w:fldCharType="separate"/>
      </w:r>
      <w:r w:rsidR="0095662D" w:rsidRPr="00662E51">
        <w:t>(2021, 7)</w:t>
      </w:r>
      <w:r w:rsidRPr="00662E51">
        <w:rPr>
          <w:szCs w:val="24"/>
        </w:rPr>
        <w:fldChar w:fldCharType="end"/>
      </w:r>
      <w:r w:rsidRPr="00662E51">
        <w:rPr>
          <w:szCs w:val="24"/>
        </w:rPr>
        <w:t xml:space="preserve"> writes, the maintaining of the structure can often appear as a “surrendering of [power] in order to maintain the job of the state” rather than a removal of politics itself. The above cases instead suggest that council officers had grown used to a culture of acquiescence and persisted in acting along such lines. Melissa located these issues in the ingrained leeway that bureaucrats have in the borough: “Haringey always had a reputation of being a very, very officer-driven council,” and Asif </w:t>
      </w:r>
      <w:r w:rsidR="009C2D1F">
        <w:rPr>
          <w:szCs w:val="24"/>
        </w:rPr>
        <w:t>likewise</w:t>
      </w:r>
      <w:r w:rsidRPr="00662E51">
        <w:rPr>
          <w:szCs w:val="24"/>
        </w:rPr>
        <w:t xml:space="preserve"> noted there was a built-in power imbalance between council officers and council leaders: council officers “got their assistants and [the council leader] is there with like, maybe one” assistant, who might be a part-time councillor. Such imbalances signal two interrelated phenomena. First, is the</w:t>
      </w:r>
      <w:r w:rsidR="005D2DBA">
        <w:rPr>
          <w:szCs w:val="24"/>
        </w:rPr>
        <w:t xml:space="preserve"> council staff’s </w:t>
      </w:r>
      <w:r w:rsidRPr="00662E51">
        <w:rPr>
          <w:szCs w:val="24"/>
        </w:rPr>
        <w:t xml:space="preserve">situating of “local politicians as a barrier to be overcome,” instead of taking the political values and manifesto of the Ejiofor-led council as guiding principles </w:t>
      </w:r>
      <w:r w:rsidRPr="00662E51">
        <w:rPr>
          <w:szCs w:val="24"/>
        </w:rPr>
        <w:fldChar w:fldCharType="begin"/>
      </w:r>
      <w:r w:rsidR="00557CA9" w:rsidRPr="00662E51">
        <w:rPr>
          <w:szCs w:val="24"/>
        </w:rPr>
        <w:instrText xml:space="preserve"> ADDIN ZOTERO_ITEM CSL_CITATION {"citationID":"tCxdQFVp","properties":{"formattedCitation":"(Ormerod 2021, 7)","plainCitation":"(Ormerod 2021, 7)","noteIndex":0},"citationItems":[{"id":3295,"uris":["http://zotero.org/users/8977980/items/UP7CRFTK"],"itemData":{"id":3295,"type":"article-journal","abstract":"This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ocator":"7","label":"page"}],"schema":"https://github.com/citation-style-language/schema/raw/master/csl-citation.json"} </w:instrText>
      </w:r>
      <w:r w:rsidRPr="00662E51">
        <w:rPr>
          <w:szCs w:val="24"/>
        </w:rPr>
        <w:fldChar w:fldCharType="separate"/>
      </w:r>
      <w:r w:rsidR="0095662D" w:rsidRPr="00662E51">
        <w:t>(Ormerod 2021, 7)</w:t>
      </w:r>
      <w:r w:rsidRPr="00662E51">
        <w:rPr>
          <w:szCs w:val="24"/>
        </w:rPr>
        <w:fldChar w:fldCharType="end"/>
      </w:r>
      <w:r w:rsidRPr="00662E51">
        <w:rPr>
          <w:szCs w:val="24"/>
        </w:rPr>
        <w:t xml:space="preserve">. While staff are meant to support and take directions from councillors, the aforementioned conduct indicates that councillors did not feel assisted. Instead, the pushback from staff renders the goals of the ‘Corbyn council’ </w:t>
      </w:r>
      <w:r w:rsidRPr="00662E51">
        <w:rPr>
          <w:szCs w:val="24"/>
        </w:rPr>
        <w:lastRenderedPageBreak/>
        <w:t>as unthinkable and therefore at the bottom of the hierarchy of voices. Second, the imbalance mirrors how existing organisational and power structures of the council continued to uphold a neoliberal structure of appearances that pervaded this time. The council thus remained adhered to the hierarchy, even though it formed part of the state revolutionary subject.</w:t>
      </w:r>
    </w:p>
    <w:p w14:paraId="4A45C9A8" w14:textId="55E1F489" w:rsidR="00A1577B" w:rsidRPr="00662E51" w:rsidRDefault="00A1577B" w:rsidP="00F56305">
      <w:pPr>
        <w:spacing w:line="360" w:lineRule="auto"/>
        <w:ind w:left="0" w:firstLine="720"/>
        <w:rPr>
          <w:szCs w:val="24"/>
        </w:rPr>
      </w:pPr>
      <w:r w:rsidRPr="00662E51">
        <w:rPr>
          <w:szCs w:val="24"/>
        </w:rPr>
        <w:t xml:space="preserve">Such an ambiguity supports the notion that the state-party nexus, as constraining as it can be, does not have a stranglehold on policy outcomes. Instead of seeing the party-state as a determining force, its “structure, form and organisational shape provide a </w:t>
      </w:r>
      <w:r w:rsidRPr="00662E51">
        <w:rPr>
          <w:i/>
          <w:iCs/>
          <w:szCs w:val="24"/>
        </w:rPr>
        <w:t>theatre</w:t>
      </w:r>
      <w:r w:rsidRPr="00662E51">
        <w:rPr>
          <w:szCs w:val="24"/>
        </w:rPr>
        <w:t xml:space="preserve">” in which politics occurs </w:t>
      </w:r>
      <w:r w:rsidRPr="00662E51">
        <w:rPr>
          <w:szCs w:val="24"/>
        </w:rPr>
        <w:fldChar w:fldCharType="begin"/>
      </w:r>
      <w:r w:rsidR="008835AB" w:rsidRPr="00662E51">
        <w:rPr>
          <w:szCs w:val="24"/>
        </w:rPr>
        <w:instrText xml:space="preserve"> ADDIN ZOTERO_ITEM CSL_CITATION {"citationID":"3mcNTHxa","properties":{"formattedCitation":"(Copus 2004, 77)","plainCitation":"(Copus 2004, 77)","noteIndex":0},"citationItems":[{"id":6766,"uris":["http://zotero.org/users/8977980/items/22FQIFRM"],"itemData":{"id":6766,"type":"book","ISBN":"978-0-7190-6635-1","language":"eng","number-of-pages":"313","publisher":"Manchester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Government","author":[{"family":"Copus","given":"Colin"}],"issued":{"date-parts":[["2004"]]}},"locator":"77"}],"schema":"https://github.com/citation-style-language/schema/raw/master/csl-citation.json"} </w:instrText>
      </w:r>
      <w:r w:rsidRPr="00662E51">
        <w:rPr>
          <w:szCs w:val="24"/>
        </w:rPr>
        <w:fldChar w:fldCharType="separate"/>
      </w:r>
      <w:r w:rsidR="0095662D" w:rsidRPr="00662E51">
        <w:t>(Copus 2004, 77)</w:t>
      </w:r>
      <w:r w:rsidRPr="00662E51">
        <w:rPr>
          <w:szCs w:val="24"/>
        </w:rPr>
        <w:fldChar w:fldCharType="end"/>
      </w:r>
      <w:r w:rsidRPr="00662E51">
        <w:rPr>
          <w:szCs w:val="24"/>
        </w:rPr>
        <w:t xml:space="preserve">. Such insight does not deny that the state and the party work together to stifle dissent. Rather, it reframes the Ejiofor-led council as a key inflection point in the </w:t>
      </w:r>
      <w:r w:rsidRPr="00662E51">
        <w:rPr>
          <w:i/>
          <w:iCs/>
          <w:szCs w:val="24"/>
        </w:rPr>
        <w:t>longue durée</w:t>
      </w:r>
      <w:r w:rsidRPr="00662E51">
        <w:rPr>
          <w:szCs w:val="24"/>
        </w:rPr>
        <w:t xml:space="preserve"> of Haringey’s state-party nexus: a moment in which the state became revolutionary (in Badiousian terms) </w:t>
      </w:r>
      <w:r w:rsidRPr="00662E51">
        <w:rPr>
          <w:i/>
          <w:iCs/>
          <w:szCs w:val="24"/>
        </w:rPr>
        <w:t xml:space="preserve">through the party </w:t>
      </w:r>
      <w:r w:rsidRPr="00662E51">
        <w:rPr>
          <w:szCs w:val="24"/>
        </w:rPr>
        <w:t xml:space="preserve">and subsequently upended the existing socio-political structure.  </w:t>
      </w:r>
    </w:p>
    <w:p w14:paraId="72561EF9" w14:textId="77777777" w:rsidR="00A1577B" w:rsidRPr="00662E51" w:rsidRDefault="00A1577B" w:rsidP="00F56305">
      <w:pPr>
        <w:spacing w:line="360" w:lineRule="auto"/>
        <w:ind w:left="0" w:firstLine="720"/>
        <w:rPr>
          <w:szCs w:val="24"/>
        </w:rPr>
      </w:pPr>
    </w:p>
    <w:p w14:paraId="6CEF3AB4" w14:textId="2ADBF96F" w:rsidR="00A1577B" w:rsidRPr="00662E51" w:rsidRDefault="00A1577B" w:rsidP="00F56305">
      <w:pPr>
        <w:pStyle w:val="Heading2"/>
      </w:pPr>
      <w:bookmarkStart w:id="413" w:name="_Toc213173977"/>
      <w:bookmarkStart w:id="414" w:name="_Toc216096178"/>
      <w:bookmarkStart w:id="415" w:name="_Toc221184366"/>
      <w:bookmarkStart w:id="416" w:name="_Toc231215284"/>
      <w:r w:rsidRPr="00662E51">
        <w:t>The Event and its afterlives</w:t>
      </w:r>
      <w:bookmarkEnd w:id="413"/>
      <w:bookmarkEnd w:id="414"/>
      <w:bookmarkEnd w:id="415"/>
      <w:r w:rsidR="00836748">
        <w:t>:</w:t>
      </w:r>
      <w:bookmarkEnd w:id="416"/>
    </w:p>
    <w:p w14:paraId="30ABFC29" w14:textId="749EEFCB" w:rsidR="00A1577B" w:rsidRPr="00662E51" w:rsidRDefault="00A1577B" w:rsidP="00F56305">
      <w:pPr>
        <w:spacing w:line="360" w:lineRule="auto"/>
        <w:ind w:left="0"/>
        <w:rPr>
          <w:szCs w:val="24"/>
        </w:rPr>
      </w:pPr>
      <w:r w:rsidRPr="00662E51">
        <w:rPr>
          <w:szCs w:val="24"/>
        </w:rPr>
        <w:t xml:space="preserve">This </w:t>
      </w:r>
      <w:r w:rsidR="00A32025" w:rsidRPr="00662E51">
        <w:rPr>
          <w:szCs w:val="24"/>
        </w:rPr>
        <w:t>chapter</w:t>
      </w:r>
      <w:r w:rsidRPr="00662E51">
        <w:rPr>
          <w:szCs w:val="24"/>
        </w:rPr>
        <w:t xml:space="preserve"> now moves to discussing the actual abandonment of the HDV as a Badiousian event. It does so by considering the cancellation itself and the undecided situation that followed (roughly between 2018 to the present day). Remember that Paccoud </w:t>
      </w:r>
      <w:r w:rsidRPr="00662E51">
        <w:rPr>
          <w:szCs w:val="24"/>
        </w:rPr>
        <w:fldChar w:fldCharType="begin"/>
      </w:r>
      <w:r w:rsidR="008835AB" w:rsidRPr="00662E51">
        <w:rPr>
          <w:szCs w:val="24"/>
        </w:rPr>
        <w:instrText xml:space="preserve"> ADDIN ZOTERO_ITEM CSL_CITATION {"citationID":"zKACz6u3","properties":{"formattedCitation":"(2019, 342)","plainCitation":"(2019, 342)","noteIndex":0},"citationItems":[{"id":5584,"uris":["http://zotero.org/users/8977980/items/ASA2TBJM"],"itemData":{"id":5584,"type":"article-journal","abstract":"The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Saint-Simon","volume":"18","author":[{"family":"Paccoud","given":"Antoine"}],"issued":{"date-parts":[["2019",8,1]]}},"locator":"342","label":"page","suppress-author":true}],"schema":"https://github.com/citation-style-language/schema/raw/master/csl-citation.json"} </w:instrText>
      </w:r>
      <w:r w:rsidRPr="00662E51">
        <w:rPr>
          <w:szCs w:val="24"/>
        </w:rPr>
        <w:fldChar w:fldCharType="separate"/>
      </w:r>
      <w:r w:rsidR="0095662D" w:rsidRPr="00662E51">
        <w:t>(2019, 342)</w:t>
      </w:r>
      <w:r w:rsidRPr="00662E51">
        <w:rPr>
          <w:szCs w:val="24"/>
        </w:rPr>
        <w:fldChar w:fldCharType="end"/>
      </w:r>
      <w:r w:rsidRPr="00662E51">
        <w:rPr>
          <w:szCs w:val="24"/>
        </w:rPr>
        <w:t xml:space="preserve"> describes the Badiousian event as a reversal in a given power structure such that what is missing in that structure “becomes maximally existent.” An inversion is not about including all possible voices</w:t>
      </w:r>
      <w:r w:rsidR="004452F3" w:rsidRPr="00662E51">
        <w:rPr>
          <w:szCs w:val="24"/>
        </w:rPr>
        <w:t>—</w:t>
      </w:r>
      <w:r w:rsidRPr="00662E51">
        <w:rPr>
          <w:szCs w:val="24"/>
        </w:rPr>
        <w:t>rather</w:t>
      </w:r>
      <w:r w:rsidR="004452F3" w:rsidRPr="00662E51">
        <w:rPr>
          <w:szCs w:val="24"/>
        </w:rPr>
        <w:t xml:space="preserve">, it is about </w:t>
      </w:r>
      <w:r w:rsidRPr="00662E51">
        <w:rPr>
          <w:szCs w:val="24"/>
        </w:rPr>
        <w:t xml:space="preserve">making powerful the unpowerful. Consequently, this section has two ambitions: first, thinking through the HDV cancellation as a Badiousian event; and second, contemplating how an evental theory accounts for the HDV’s afterlives without recourse to simple state-phobia </w:t>
      </w:r>
      <w:r w:rsidRPr="00662E51">
        <w:rPr>
          <w:szCs w:val="24"/>
        </w:rPr>
        <w:fldChar w:fldCharType="begin"/>
      </w:r>
      <w:r w:rsidR="008835AB" w:rsidRPr="00662E51">
        <w:rPr>
          <w:szCs w:val="24"/>
        </w:rPr>
        <w:instrText xml:space="preserve"> ADDIN ZOTERO_ITEM CSL_CITATION {"citationID":"m1t648Tf","properties":{"formattedCitation":"(Paccoud 2019)","plainCitation":"(Paccoud 2019)","noteIndex":0},"citationItems":[{"id":5584,"uris":["http://zotero.org/users/8977980/items/ASA2TBJM"],"itemData":{"id":5584,"type":"article-journal","abstract":"The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Saint-Simon","volume":"18","author":[{"family":"Paccoud","given":"Antoine"}],"issued":{"date-parts":[["2019",8,1]]}}}],"schema":"https://github.com/citation-style-language/schema/raw/master/csl-citation.json"} </w:instrText>
      </w:r>
      <w:r w:rsidRPr="00662E51">
        <w:rPr>
          <w:szCs w:val="24"/>
        </w:rPr>
        <w:fldChar w:fldCharType="separate"/>
      </w:r>
      <w:r w:rsidR="0095662D" w:rsidRPr="00662E51">
        <w:t>(Paccoud 2019)</w:t>
      </w:r>
      <w:r w:rsidRPr="00662E51">
        <w:rPr>
          <w:szCs w:val="24"/>
        </w:rPr>
        <w:fldChar w:fldCharType="end"/>
      </w:r>
      <w:r w:rsidR="001B55FC">
        <w:rPr>
          <w:szCs w:val="24"/>
        </w:rPr>
        <w:t>.</w:t>
      </w:r>
    </w:p>
    <w:p w14:paraId="35F17764" w14:textId="2550FE1E" w:rsidR="00767454" w:rsidRDefault="00A1577B" w:rsidP="00F56305">
      <w:pPr>
        <w:spacing w:line="360" w:lineRule="auto"/>
        <w:ind w:left="0" w:firstLine="720"/>
        <w:rPr>
          <w:szCs w:val="24"/>
        </w:rPr>
      </w:pPr>
      <w:r w:rsidRPr="00662E51">
        <w:rPr>
          <w:szCs w:val="24"/>
        </w:rPr>
        <w:t xml:space="preserve">Broadly speaking, the HDV’s cancellation was an inversion of the urban policy structure that defined the Vehicle as the only solution to the problems posed by the 2011 uprising </w:t>
      </w:r>
      <w:r w:rsidRPr="00662E51">
        <w:rPr>
          <w:szCs w:val="24"/>
        </w:rPr>
        <w:fldChar w:fldCharType="begin"/>
      </w:r>
      <w:r w:rsidR="008835AB" w:rsidRPr="00662E51">
        <w:rPr>
          <w:szCs w:val="24"/>
        </w:rPr>
        <w:instrText xml:space="preserve"> ADDIN ZOTERO_ITEM CSL_CITATION {"citationID":"rVGai3IA","properties":{"formattedCitation":"(Horton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Following Paccoud </w:t>
      </w:r>
      <w:r w:rsidRPr="00662E51">
        <w:rPr>
          <w:szCs w:val="24"/>
        </w:rPr>
        <w:fldChar w:fldCharType="begin"/>
      </w:r>
      <w:r w:rsidR="008835AB" w:rsidRPr="00662E51">
        <w:rPr>
          <w:szCs w:val="24"/>
        </w:rPr>
        <w:instrText xml:space="preserve"> ADDIN ZOTERO_ITEM CSL_CITATION {"citationID":"q46cu8D2","properties":{"formattedCitation":"(2019)","plainCitation":"(2019)","noteIndex":0},"citationItems":[{"id":5584,"uris":["http://zotero.org/users/8977980/items/ASA2TBJM"],"itemData":{"id":5584,"type":"article-journal","abstract":"The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Saint-Simon","volume":"18","author":[{"family":"Paccoud","given":"Antoine"}],"issued":{"date-parts":[["2019",8,1]]}},"label":"page","suppress-author":true}],"schema":"https://github.com/citation-style-language/schema/raw/master/csl-citation.json"} </w:instrText>
      </w:r>
      <w:r w:rsidRPr="00662E51">
        <w:rPr>
          <w:szCs w:val="24"/>
        </w:rPr>
        <w:fldChar w:fldCharType="separate"/>
      </w:r>
      <w:r w:rsidR="0095662D" w:rsidRPr="00662E51">
        <w:t>(2019)</w:t>
      </w:r>
      <w:r w:rsidRPr="00662E51">
        <w:rPr>
          <w:szCs w:val="24"/>
        </w:rPr>
        <w:fldChar w:fldCharType="end"/>
      </w:r>
      <w:r w:rsidRPr="00662E51">
        <w:rPr>
          <w:szCs w:val="24"/>
        </w:rPr>
        <w:t xml:space="preserve">, I classify this as a Badiousian event for two reasons. First, the StopHDV subject captured the policymaking power of the state and used against its previous actions—a move I identify as a structural reversal, which was achieved through </w:t>
      </w:r>
      <w:r w:rsidRPr="00662E51">
        <w:rPr>
          <w:szCs w:val="24"/>
        </w:rPr>
        <w:lastRenderedPageBreak/>
        <w:t xml:space="preserve">the state and the party. Second, the abandonment of the HDV was a “bracket[ing] out [of] structural constraints through actions that carry an affirmation of equality”—i.e., it was a move “against the established hierarchies of power or wealth” </w:t>
      </w:r>
      <w:r w:rsidRPr="00662E51">
        <w:rPr>
          <w:szCs w:val="24"/>
        </w:rPr>
        <w:fldChar w:fldCharType="begin"/>
      </w:r>
      <w:r w:rsidR="008835AB" w:rsidRPr="00662E51">
        <w:rPr>
          <w:szCs w:val="24"/>
        </w:rPr>
        <w:instrText xml:space="preserve"> ADDIN ZOTERO_ITEM CSL_CITATION {"citationID":"JdIY8FYZ","properties":{"formattedCitation":"(Paccoud 2019, 344)","plainCitation":"(Paccoud 2019, 344)","noteIndex":0},"citationItems":[{"id":5584,"uris":["http://zotero.org/users/8977980/items/ASA2TBJM"],"itemData":{"id":5584,"type":"article-journal","abstract":"The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Saint-Simon","volume":"18","author":[{"family":"Paccoud","given":"Antoine"}],"issued":{"date-parts":[["2019",8,1]]}},"locator":"344","label":"page"}],"schema":"https://github.com/citation-style-language/schema/raw/master/csl-citation.json"} </w:instrText>
      </w:r>
      <w:r w:rsidRPr="00662E51">
        <w:rPr>
          <w:szCs w:val="24"/>
        </w:rPr>
        <w:fldChar w:fldCharType="separate"/>
      </w:r>
      <w:r w:rsidR="0095662D" w:rsidRPr="00662E51">
        <w:t>(Paccoud 2019, 344)</w:t>
      </w:r>
      <w:r w:rsidRPr="00662E51">
        <w:rPr>
          <w:szCs w:val="24"/>
        </w:rPr>
        <w:fldChar w:fldCharType="end"/>
      </w:r>
      <w:r w:rsidRPr="00662E51">
        <w:rPr>
          <w:szCs w:val="24"/>
        </w:rPr>
        <w:t xml:space="preserve">. As noted by </w:t>
      </w:r>
      <w:r w:rsidR="00E26E53" w:rsidRPr="00662E51">
        <w:rPr>
          <w:szCs w:val="24"/>
        </w:rPr>
        <w:t xml:space="preserve">many </w:t>
      </w:r>
      <w:r w:rsidR="001C03E5" w:rsidRPr="00662E51">
        <w:rPr>
          <w:szCs w:val="24"/>
        </w:rPr>
        <w:t>others</w:t>
      </w:r>
      <w:r w:rsidR="00E26E53" w:rsidRPr="00662E51">
        <w:rPr>
          <w:szCs w:val="24"/>
        </w:rPr>
        <w:t xml:space="preserve"> </w:t>
      </w:r>
      <w:r w:rsidR="00E26E53" w:rsidRPr="00662E51">
        <w:rPr>
          <w:szCs w:val="24"/>
        </w:rPr>
        <w:fldChar w:fldCharType="begin"/>
      </w:r>
      <w:r w:rsidR="00213B80">
        <w:rPr>
          <w:szCs w:val="24"/>
        </w:rPr>
        <w:instrText xml:space="preserve"> ADDIN ZOTERO_ITEM CSL_CITATION {"citationID":"y0pA1iFL","properties":{"formattedCitation":"(e.g., D. Byrne 2018; Chakrabortty 2018; Dillon and Fanning 2011)","plainCitation":"(e.g., D. Byrne 2018; Chakrabortty 2018; Dillon and Fanning 2011)","noteIndex":0},"citationItems":[{"id":6919,"uris":["http://zotero.org/users/8977980/items/TS99YWM8"],"itemData":{"id":6919,"type":"article-journal","abstract":"&lt;em&gt;Gale&lt;/em&gt; Literature Resource Center includes The problem that is Labour local government: It is time by David Byrne. Click to explore.","container-title":"Soundings","DOI":"10.3898/SOUN:69.03.2018","ISSN":"13626620","issue":"69","language":"English","page":"50-64","publisher":"Lawrence &amp;amp; Wishart Ltd.","source":"go-gale-com.ezphost.dur.ac.uk","title":"The problem that is Labour local government: It is time to move away from Labour pragmatism in local government","title-short":"The problem that is Labour local government","author":[{"family":"Byrne","given":"David"}],"issued":{"date-parts":[["2018",6,22]]}},"prefix":"e.g., "},{"id":6998,"uris":["http://zotero.org/users/8977980/items/EGZZP2JF"],"itemData":{"id":6998,"type":"article-newspaper","abstract":"Council leader Claire Kober has quit. Rightwingers claim it’s a Momentum plot, but this was all about residents fighting to save their homes, says Guardian columnist Aditya Chakrabortty","container-title":"The Guardian","ISSN":"0261-3077","language":"en-GB","section":"Opinion","source":"The Guardian","title":"In Haringey the people have taken over, not the hard left","URL":"https://www.theguardian.com/commentisfree/2018/feb/01/haringey-council-claire-kober-momentum-residents","author":[{"family":"Chakrabortty","given":"Aditya"}],"accessed":{"date-parts":[["2025",9,23]]},"issued":{"date-parts":[["2018",2,1]]}}},{"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chema":"https://github.com/citation-style-language/schema/raw/master/csl-citation.json"} </w:instrText>
      </w:r>
      <w:r w:rsidR="00E26E53" w:rsidRPr="00662E51">
        <w:rPr>
          <w:szCs w:val="24"/>
        </w:rPr>
        <w:fldChar w:fldCharType="separate"/>
      </w:r>
      <w:r w:rsidR="00213B80" w:rsidRPr="00213B80">
        <w:t>(e.g., D. Byrne 2018; Chakrabortty 2018; Dillon and Fanning 2011)</w:t>
      </w:r>
      <w:r w:rsidR="00E26E53" w:rsidRPr="00662E51">
        <w:rPr>
          <w:szCs w:val="24"/>
        </w:rPr>
        <w:fldChar w:fldCharType="end"/>
      </w:r>
      <w:r w:rsidR="006E6563">
        <w:rPr>
          <w:szCs w:val="24"/>
        </w:rPr>
        <w:t xml:space="preserve"> and in Chapter 1</w:t>
      </w:r>
      <w:r w:rsidR="00E26E53" w:rsidRPr="00662E51">
        <w:rPr>
          <w:szCs w:val="24"/>
        </w:rPr>
        <w:t>,</w:t>
      </w:r>
      <w:r w:rsidRPr="00662E51">
        <w:rPr>
          <w:szCs w:val="24"/>
        </w:rPr>
        <w:t xml:space="preserve"> Haringey Council has historically privileged established </w:t>
      </w:r>
      <w:r w:rsidR="00096DED" w:rsidRPr="00662E51">
        <w:rPr>
          <w:szCs w:val="24"/>
        </w:rPr>
        <w:t xml:space="preserve">and powerful </w:t>
      </w:r>
      <w:r w:rsidRPr="00662E51">
        <w:rPr>
          <w:szCs w:val="24"/>
        </w:rPr>
        <w:t>voices</w:t>
      </w:r>
      <w:r w:rsidR="00E26E53" w:rsidRPr="00662E51">
        <w:rPr>
          <w:szCs w:val="24"/>
        </w:rPr>
        <w:t xml:space="preserve">, </w:t>
      </w:r>
      <w:r w:rsidRPr="00662E51">
        <w:rPr>
          <w:szCs w:val="24"/>
        </w:rPr>
        <w:t xml:space="preserve">something that did not appear to change with the HDV. Indeed, the Kober-led council was intransigent about the policy: Horton and Penny </w:t>
      </w:r>
      <w:r w:rsidRPr="00662E51">
        <w:rPr>
          <w:szCs w:val="24"/>
        </w:rPr>
        <w:fldChar w:fldCharType="begin"/>
      </w:r>
      <w:r w:rsidR="008835AB" w:rsidRPr="00662E51">
        <w:rPr>
          <w:szCs w:val="24"/>
        </w:rPr>
        <w:instrText xml:space="preserve"> ADDIN ZOTERO_ITEM CSL_CITATION {"citationID":"APRLzmli","properties":{"formattedCitation":"(2024, 118)","plainCitation":"(2024, 118)","noteIndex":0},"citationItems":[{"id":5697,"uris":["http://zotero.org/users/8977980/items/ZPYXM7A6"],"itemData":{"id":5697,"type":"book","ISBN":"978-1-80008-710-1","language":"eng","note":"OCLC: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118","label":"page","suppress-author":true}],"schema":"https://github.com/citation-style-language/schema/raw/master/csl-citation.json"} </w:instrText>
      </w:r>
      <w:r w:rsidRPr="00662E51">
        <w:rPr>
          <w:szCs w:val="24"/>
        </w:rPr>
        <w:fldChar w:fldCharType="separate"/>
      </w:r>
      <w:r w:rsidR="0095662D" w:rsidRPr="00662E51">
        <w:t>(2024, 118)</w:t>
      </w:r>
      <w:r w:rsidRPr="00662E51">
        <w:rPr>
          <w:szCs w:val="24"/>
        </w:rPr>
        <w:fldChar w:fldCharType="end"/>
      </w:r>
      <w:r w:rsidRPr="00662E51">
        <w:rPr>
          <w:szCs w:val="24"/>
        </w:rPr>
        <w:t xml:space="preserve"> write, “council leadership had secretively pursued the redevelopment plans for years and then doggedly refused to engage with widespread community concern,” a clear reflection of the rigidity of the hierarchy of voices at play. While the pro-HDV camp finally acquiesced to some changes, these were not without intense lobbying </w:t>
      </w:r>
      <w:r w:rsidRPr="00662E51">
        <w:rPr>
          <w:szCs w:val="24"/>
        </w:rPr>
        <w:fldChar w:fldCharType="begin"/>
      </w:r>
      <w:r w:rsidR="00557CA9" w:rsidRPr="00662E51">
        <w:rPr>
          <w:szCs w:val="24"/>
        </w:rPr>
        <w:instrText xml:space="preserve"> ADDIN ZOTERO_ITEM CSL_CITATION {"citationID":"GhbCVp8G","properties":{"formattedCitation":"(Aitkenhead 2018)","plainCitation":"(Aitkenhead 2018)","noteIndex":0},"citationItems":[{"id":6012,"uris":["http://zotero.org/users/8977980/items/PHZHYE36"],"itemData":{"id":6012,"type":"article-newspaper","abstract":"The London council leader has resigned amid claims of sexist bullying by Momentum members. Was she just the loser in a local politics row about regeneration – or is this the future of the Labour party?","container-title":"The Guardian","ISSN":"0261-3077","language":"en-GB","section":"Politics","source":"The Guardian","title":"Haringey boss Claire Kober: 'The argument that I’m incompetent would not have been used if I were a man'","title-short":"Haringey boss Claire Kober","URL":"https://www.theguardian.com/politics/2018/feb/02/haringey-boss-claire-kober-the-argument-that-im-incompetent-would-not-have-been-used-if-i-were-a-man","author":[{"family":"Aitkenhead","given":"Decca"}],"accessed":{"date-parts":[["2024",10,2]]},"issued":{"date-parts":[["2018",2,2]]}}}],"schema":"https://github.com/citation-style-language/schema/raw/master/csl-citation.json"} </w:instrText>
      </w:r>
      <w:r w:rsidRPr="00662E51">
        <w:rPr>
          <w:szCs w:val="24"/>
        </w:rPr>
        <w:fldChar w:fldCharType="separate"/>
      </w:r>
      <w:r w:rsidR="0095662D" w:rsidRPr="00662E51">
        <w:t>(Aitkenhead 2018)</w:t>
      </w:r>
      <w:r w:rsidRPr="00662E51">
        <w:rPr>
          <w:szCs w:val="24"/>
        </w:rPr>
        <w:fldChar w:fldCharType="end"/>
      </w:r>
      <w:r w:rsidRPr="00662E51">
        <w:rPr>
          <w:szCs w:val="24"/>
        </w:rPr>
        <w:t>. My interviewees confirmed this depiction. Melissa for instance remembers Kober and her allies pushing through the policy: “the case [for the HDV] had not been made within the Labour Party, which runs the Council, but also it hadn’t been made with [the] tenants who would have been affected.” Similarly, Liliana said</w:t>
      </w:r>
    </w:p>
    <w:p w14:paraId="6134C255" w14:textId="77777777" w:rsidR="003C76F5" w:rsidRPr="00662E51" w:rsidRDefault="003C76F5" w:rsidP="00112E8B">
      <w:pPr>
        <w:ind w:left="0" w:firstLine="720"/>
        <w:rPr>
          <w:szCs w:val="24"/>
        </w:rPr>
      </w:pPr>
    </w:p>
    <w:p w14:paraId="7FAD218C" w14:textId="5BF4BBF2" w:rsidR="00767454" w:rsidRDefault="00767454" w:rsidP="00112E8B">
      <w:pPr>
        <w:ind w:left="720"/>
        <w:rPr>
          <w:szCs w:val="24"/>
        </w:rPr>
      </w:pPr>
      <w:r w:rsidRPr="00662E51">
        <w:rPr>
          <w:szCs w:val="24"/>
        </w:rPr>
        <w:t>If there were people who were supporting [the HDV], then they were in such a minority would have been, you know, I could have counted them on one hand, you know, and we're talking a part of like, hundreds</w:t>
      </w:r>
      <w:r w:rsidR="00CD4B7E" w:rsidRPr="00662E51">
        <w:rPr>
          <w:szCs w:val="24"/>
        </w:rPr>
        <w:t xml:space="preserve"> [opposing it]..</w:t>
      </w:r>
      <w:r w:rsidRPr="00662E51">
        <w:rPr>
          <w:szCs w:val="24"/>
        </w:rPr>
        <w:t>.</w:t>
      </w:r>
      <w:r w:rsidR="00CD4B7E" w:rsidRPr="00662E51">
        <w:rPr>
          <w:szCs w:val="24"/>
        </w:rPr>
        <w:t xml:space="preserve"> </w:t>
      </w:r>
      <w:r w:rsidR="00A152E0" w:rsidRPr="00662E51">
        <w:rPr>
          <w:szCs w:val="24"/>
        </w:rPr>
        <w:t>I I didn't see any public support for it… I suppose the only type of people that did seem to support it [were] fairly business oriented people that didn't really care for any kind of state or any kind of, you know, anything like that</w:t>
      </w:r>
      <w:r w:rsidR="00B1095F" w:rsidRPr="00662E51">
        <w:rPr>
          <w:szCs w:val="24"/>
        </w:rPr>
        <w:t>.</w:t>
      </w:r>
      <w:r w:rsidR="00A152E0" w:rsidRPr="00662E51">
        <w:rPr>
          <w:szCs w:val="24"/>
        </w:rPr>
        <w:t xml:space="preserve"> They were quite happy to hand everything over to private developers.</w:t>
      </w:r>
    </w:p>
    <w:p w14:paraId="0FB14B08" w14:textId="77777777" w:rsidR="00112E8B" w:rsidRPr="00662E51" w:rsidRDefault="00112E8B" w:rsidP="00112E8B">
      <w:pPr>
        <w:ind w:left="720"/>
        <w:rPr>
          <w:szCs w:val="24"/>
        </w:rPr>
      </w:pPr>
    </w:p>
    <w:p w14:paraId="50F5729B" w14:textId="232DE211" w:rsidR="00A1577B" w:rsidRPr="00662E51" w:rsidRDefault="00A1577B" w:rsidP="00A152E0">
      <w:pPr>
        <w:spacing w:line="360" w:lineRule="auto"/>
        <w:ind w:left="0"/>
      </w:pPr>
      <w:r w:rsidRPr="76AC1BCB">
        <w:t>In Melissa’s mind, Kober was “more of a political manager” who had “came on to steady the ship” after previous council controversies,</w:t>
      </w:r>
      <w:r w:rsidRPr="00BD17AF">
        <w:rPr>
          <w:rStyle w:val="FootnoteReference"/>
        </w:rPr>
        <w:footnoteReference w:id="55"/>
      </w:r>
      <w:r w:rsidRPr="76AC1BCB">
        <w:t xml:space="preserve"> rather than someone who could handle genuine resistance. Resistance within the council was likewise minimal. One reason for a compliant council is the selection process, which favours long-standing members, their familial connections, and institutional leaders rather than a truly democratic process </w:t>
      </w:r>
      <w:r w:rsidRPr="00662E51">
        <w:rPr>
          <w:szCs w:val="24"/>
        </w:rPr>
        <w:fldChar w:fldCharType="begin"/>
      </w:r>
      <w:r w:rsidR="008835AB" w:rsidRPr="00662E51">
        <w:rPr>
          <w:szCs w:val="24"/>
        </w:rPr>
        <w:instrText xml:space="preserve"> ADDIN ZOTERO_ITEM CSL_CITATION {"citationID":"Jnjo6V9e","properties":{"formattedCitation":"(Cockburn 1980; Horton and Penny 2024; Ormerod 2021)","plainCitation":"(Cockburn 1980; Horton and Penny 2024; Ormerod 2021)","noteIndex":0},"citationItems":[{"id":5811,"uris":["http://zotero.org/users/8977980/items/U5ZYVUT5"],"itemData":{"id":5811,"type":"book","edition":"Repr","ISBN":"978-0-904383-48-5","language":"eng","number-of-pages":"207","publisher":"Pluto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95662D" w:rsidRPr="00662E51">
        <w:t>(Cockburn 1980; Horton and Penny 2024; Ormerod 2021)</w:t>
      </w:r>
      <w:r w:rsidRPr="00662E51">
        <w:rPr>
          <w:szCs w:val="24"/>
        </w:rPr>
        <w:fldChar w:fldCharType="end"/>
      </w:r>
      <w:r w:rsidRPr="00662E51">
        <w:rPr>
          <w:szCs w:val="24"/>
        </w:rPr>
        <w:t xml:space="preserve">. </w:t>
      </w:r>
      <w:r w:rsidR="0042005D" w:rsidRPr="76AC1BCB">
        <w:t>The importance of these familial</w:t>
      </w:r>
      <w:r w:rsidR="007D75FF" w:rsidRPr="76AC1BCB">
        <w:t xml:space="preserve">, personal, and romantic </w:t>
      </w:r>
      <w:r w:rsidR="0042005D" w:rsidRPr="76AC1BCB">
        <w:t>connections cannot be overstated. A</w:t>
      </w:r>
      <w:r w:rsidR="00DC02CE" w:rsidRPr="76AC1BCB">
        <w:t>s is mentioned above (and in Section 3.2),</w:t>
      </w:r>
      <w:r w:rsidR="000B4CF9" w:rsidRPr="76AC1BCB">
        <w:t xml:space="preserve"> these </w:t>
      </w:r>
      <w:r w:rsidR="000B4CF9" w:rsidRPr="76AC1BCB">
        <w:lastRenderedPageBreak/>
        <w:t>connections directly influenced the way councillors voted</w:t>
      </w:r>
      <w:r w:rsidR="00E46332" w:rsidRPr="76AC1BCB">
        <w:t>—recall John’s discussion of the councillor selection in his ward (Section 6.4).</w:t>
      </w:r>
      <w:r w:rsidR="00E00C05" w:rsidRPr="76AC1BCB">
        <w:t xml:space="preserve"> Indeed, </w:t>
      </w:r>
      <w:r w:rsidR="000713CF" w:rsidRPr="76AC1BCB">
        <w:t>the “small p-politics”</w:t>
      </w:r>
      <w:r w:rsidR="00467314" w:rsidRPr="76AC1BCB">
        <w:t xml:space="preserve"> that John mentioned hinged exactly on these relationshi</w:t>
      </w:r>
      <w:r w:rsidR="001A3C10" w:rsidRPr="76AC1BCB">
        <w:t>ps</w:t>
      </w:r>
      <w:r w:rsidR="004B47C8" w:rsidRPr="76AC1BCB">
        <w:t>: f</w:t>
      </w:r>
      <w:r w:rsidR="001A3C10" w:rsidRPr="76AC1BCB">
        <w:t>or ‘party</w:t>
      </w:r>
      <w:r w:rsidR="007D7A80">
        <w:rPr>
          <w:szCs w:val="24"/>
        </w:rPr>
        <w:t xml:space="preserve"> </w:t>
      </w:r>
      <w:r w:rsidR="001B2CAA">
        <w:rPr>
          <w:szCs w:val="24"/>
        </w:rPr>
        <w:fldChar w:fldCharType="begin"/>
      </w:r>
      <w:r w:rsidR="001B2CAA">
        <w:rPr>
          <w:szCs w:val="24"/>
        </w:rPr>
        <w:instrText xml:space="preserve"> ADDIN ZOTERO_ITEM CSL_CITATION {"citationID":"9fvTfV4h","properties":{"formattedCitation":"(Copus 2023)","plainCitation":"(Copus 2023)","noteIndex":0},"citationItems":[{"id":6769,"uris":["http://zotero.org/users/8977980/items/DFD3QFVU"],"itemData":{"id":6769,"type":"chapter","abstract":"Chapter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schema":"https://github.com/citation-style-language/schema/raw/master/csl-citation.json"} </w:instrText>
      </w:r>
      <w:r w:rsidR="001B2CAA">
        <w:rPr>
          <w:szCs w:val="24"/>
        </w:rPr>
        <w:fldChar w:fldCharType="separate"/>
      </w:r>
      <w:r w:rsidR="001B2CAA" w:rsidRPr="001B2CAA">
        <w:t>￼</w:t>
      </w:r>
      <w:r w:rsidR="001B2CAA">
        <w:rPr>
          <w:szCs w:val="24"/>
        </w:rPr>
        <w:fldChar w:fldCharType="end"/>
      </w:r>
      <w:r w:rsidR="008F2CA6" w:rsidRPr="76AC1BCB">
        <w:t>￼</w:t>
      </w:r>
      <w:r w:rsidR="008F2CA6">
        <w:rPr>
          <w:szCs w:val="24"/>
        </w:rPr>
        <w:t xml:space="preserve">, </w:t>
      </w:r>
      <w:r w:rsidR="007D7A80" w:rsidRPr="76AC1BCB">
        <w:t xml:space="preserve">the work of being a councillor was inseparable from </w:t>
      </w:r>
      <w:r w:rsidR="00871EF0" w:rsidRPr="76AC1BCB">
        <w:t xml:space="preserve">their most </w:t>
      </w:r>
      <w:r w:rsidR="001B2BFE">
        <w:rPr>
          <w:rStyle w:val="FootnoteReference"/>
          <w:szCs w:val="24"/>
        </w:rPr>
        <w:footnoteReference w:id="56"/>
      </w:r>
      <w:r w:rsidR="001B2BFE" w:rsidRPr="76AC1BCB">
        <w:t>￼</w:t>
      </w:r>
      <w:r w:rsidR="004204CA">
        <w:rPr>
          <w:szCs w:val="24"/>
        </w:rPr>
        <w:t xml:space="preserve"> </w:t>
      </w:r>
      <w:r w:rsidR="00B0397B" w:rsidRPr="76AC1BCB">
        <w:t xml:space="preserve">These relationships </w:t>
      </w:r>
      <w:r w:rsidR="008D7F5F" w:rsidRPr="76AC1BCB">
        <w:t xml:space="preserve">were reinforced by the Labour Party’s structure: its ward meetings, group of councillors, and the frequent contact that every councillor had with another. </w:t>
      </w:r>
      <w:r w:rsidR="0042005D" w:rsidRPr="76AC1BCB">
        <w:t xml:space="preserve">As a result, in the words of Asif, </w:t>
      </w:r>
      <w:r>
        <w:t xml:space="preserve">many councillors were “more keen to just kind of not really push the boat out, so to speak. You know, not ruffle the feathers and then a lot of them are just not very political,” which meant it was easier for the HDV to be pushed through. </w:t>
      </w:r>
    </w:p>
    <w:p w14:paraId="733A899C" w14:textId="35CAA32C" w:rsidR="00A1577B" w:rsidRDefault="00A1577B" w:rsidP="00F56305">
      <w:pPr>
        <w:spacing w:line="360" w:lineRule="auto"/>
        <w:ind w:left="0" w:firstLine="720"/>
        <w:rPr>
          <w:szCs w:val="24"/>
        </w:rPr>
      </w:pPr>
      <w:r w:rsidRPr="00662E51">
        <w:rPr>
          <w:szCs w:val="24"/>
        </w:rPr>
        <w:t xml:space="preserve">The withdrawal of the HDV thus posed a significant, if momentary, reversal in the hierarchy of voices across the state and party. At its most basic, the end of the Vehicle is the result of the state revolutionary using the powers of the state to subordinate it to the revolutionary’s political will: ending the Vehicle </w:t>
      </w:r>
      <w:r w:rsidRPr="00662E51">
        <w:rPr>
          <w:szCs w:val="24"/>
        </w:rPr>
        <w:fldChar w:fldCharType="begin"/>
      </w:r>
      <w:r w:rsidR="008835AB" w:rsidRPr="00662E51">
        <w:rPr>
          <w:szCs w:val="24"/>
        </w:rPr>
        <w:instrText xml:space="preserve"> ADDIN ZOTERO_ITEM CSL_CITATION {"citationID":"EfEW9X6N","properties":{"formattedCitation":"(Badiou 2018)","plainCitation":"(Badiou 2018)","noteIndex":0},"citationItems":[{"id":5820,"uris":["http://zotero.org/users/8977980/items/3SIEJR4S"],"itemData":{"id":5820,"type":"book","abstract":"Logics of Worlds is the sequel to Alain Badiou's masterpiece, Being and Event. Tackling the questions that had been left open by Being and Event, and answering many of his critics in the process, Badiou supplements his pioneering treatment of multiple being with a daring and complex theory of the worlds in which truths and subjects make their mark - what he calls a materialist dialectic. Drawing on his most ambitious philosophical predecessors - Leibniz, Kant, Hegel, Kierkegaard, Lacan, Deleuze – Badiou ends this important later work with an impassioned call to'live for an Idea'.","collection-title":"Being and Event","ISBN":"978-1-350-04301-5","language":"English","note":"issue: II","publisher":"Bloomsbury Academic","publisher-place":"London","source":"EBSCOhost","title":"Logics of Worlds : Being and Event II","title-short":"Logics of Worlds","author":[{"family":"Badiou","given":"Alain"}],"accessed":{"date-parts":[["2024",9,4]]},"issued":{"date-parts":[["2018"]]}}}],"schema":"https://github.com/citation-style-language/schema/raw/master/csl-citation.json"} </w:instrText>
      </w:r>
      <w:r w:rsidRPr="00662E51">
        <w:rPr>
          <w:szCs w:val="24"/>
        </w:rPr>
        <w:fldChar w:fldCharType="separate"/>
      </w:r>
      <w:r w:rsidR="0095662D" w:rsidRPr="00662E51">
        <w:t>(Badiou 2018)</w:t>
      </w:r>
      <w:r w:rsidRPr="00662E51">
        <w:rPr>
          <w:szCs w:val="24"/>
        </w:rPr>
        <w:fldChar w:fldCharType="end"/>
      </w:r>
      <w:r w:rsidRPr="00662E51">
        <w:rPr>
          <w:szCs w:val="24"/>
        </w:rPr>
        <w:t xml:space="preserve">. It also “confirm[ed] that collective grassroots power had successfully disrupted this totemic expression of the speculative city” </w:t>
      </w:r>
      <w:r w:rsidRPr="00662E51">
        <w:rPr>
          <w:szCs w:val="24"/>
        </w:rPr>
        <w:fldChar w:fldCharType="begin"/>
      </w:r>
      <w:r w:rsidR="008835AB" w:rsidRPr="00662E51">
        <w:rPr>
          <w:szCs w:val="24"/>
        </w:rPr>
        <w:instrText xml:space="preserve"> ADDIN ZOTERO_ITEM CSL_CITATION {"citationID":"aWKt9sz7","properties":{"formattedCitation":"(Horton and Penny 2024, 119)","plainCitation":"(Horton and Penny 2024, 119)","noteIndex":0},"citationItems":[{"id":5697,"uris":["http://zotero.org/users/8977980/items/ZPYXM7A6"],"itemData":{"id":5697,"type":"book","ISBN":"978-1-80008-710-1","language":"eng","note":"OCLC: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CITY","URL":"https://www.uclpress.co.uk/products/240669","author":[{"family":"Horton","given":"Amy"},{"family":"Penny","given":"Joe"}],"issued":{"date-parts":[["2024"]]}},"locator":"119"}],"schema":"https://github.com/citation-style-language/schema/raw/master/csl-citation.json"} </w:instrText>
      </w:r>
      <w:r w:rsidRPr="00662E51">
        <w:rPr>
          <w:szCs w:val="24"/>
        </w:rPr>
        <w:fldChar w:fldCharType="separate"/>
      </w:r>
      <w:r w:rsidR="0095662D" w:rsidRPr="00662E51">
        <w:t>(Horton and Penny 2024, 119)</w:t>
      </w:r>
      <w:r w:rsidRPr="00662E51">
        <w:rPr>
          <w:szCs w:val="24"/>
        </w:rPr>
        <w:fldChar w:fldCharType="end"/>
      </w:r>
      <w:r w:rsidRPr="00662E51">
        <w:rPr>
          <w:szCs w:val="24"/>
        </w:rPr>
        <w:t xml:space="preserve">.  But it was more than this. In the words of John, the HDV’s cancellation reflected a time “when effectively the old order was overthrown,” specifically referring to Ejiofor’s selection as council leader. John also noted the manifesto development process was new and transformative. He said it was a new and “truly engaging process with party members where there was a lot of negotiation.” John further suggested this was “something that was actually very, very important that enabled us to defeat the HDV” as it provided a legal and political basis for voting to terminate the proposal. These party members were not the cliquish </w:t>
      </w:r>
      <w:r w:rsidR="000B0E94">
        <w:rPr>
          <w:szCs w:val="24"/>
        </w:rPr>
        <w:t xml:space="preserve">partners, </w:t>
      </w:r>
      <w:r w:rsidRPr="00662E51">
        <w:rPr>
          <w:szCs w:val="24"/>
        </w:rPr>
        <w:t>family</w:t>
      </w:r>
      <w:r w:rsidR="000B0E94">
        <w:rPr>
          <w:szCs w:val="24"/>
        </w:rPr>
        <w:t xml:space="preserve">, </w:t>
      </w:r>
      <w:r w:rsidRPr="00662E51">
        <w:rPr>
          <w:szCs w:val="24"/>
        </w:rPr>
        <w:t xml:space="preserve">and friends of pre-Corbyn councillors </w:t>
      </w:r>
      <w:r w:rsidR="00EF564E" w:rsidRPr="00662E51">
        <w:rPr>
          <w:szCs w:val="24"/>
        </w:rPr>
        <w:fldChar w:fldCharType="begin"/>
      </w:r>
      <w:r w:rsidR="00F15CF8">
        <w:rPr>
          <w:szCs w:val="24"/>
        </w:rPr>
        <w:instrText xml:space="preserve"> ADDIN ZOTERO_ITEM CSL_CITATION {"citationID":"5vrGZZNI","properties":{"formattedCitation":"(Copus 2004, 2015, 2023)","plainCitation":"(Copus 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schema":"https://github.com/citation-style-language/schema/raw/master/csl-citation.json"} </w:instrText>
      </w:r>
      <w:r w:rsidR="00EF564E" w:rsidRPr="00662E51">
        <w:rPr>
          <w:szCs w:val="24"/>
        </w:rPr>
        <w:fldChar w:fldCharType="separate"/>
      </w:r>
      <w:r w:rsidR="00F15CF8" w:rsidRPr="00F15CF8">
        <w:t>(Copus 2004, 2015, 2023)</w:t>
      </w:r>
      <w:r w:rsidR="00EF564E" w:rsidRPr="00662E51">
        <w:rPr>
          <w:szCs w:val="24"/>
        </w:rPr>
        <w:fldChar w:fldCharType="end"/>
      </w:r>
      <w:r w:rsidR="00EF564E" w:rsidRPr="00662E51">
        <w:rPr>
          <w:szCs w:val="24"/>
        </w:rPr>
        <w:t xml:space="preserve">. </w:t>
      </w:r>
      <w:r w:rsidRPr="00662E51">
        <w:rPr>
          <w:szCs w:val="24"/>
        </w:rPr>
        <w:t xml:space="preserve"> Rather, as Melissa indicates, they were both numerous and “ready to be mobilised, ready to be engaged” against the Vehicle. Lilliana equally remembered, “in 2018, all anybody wanted to talk about was the HDV, the scale of it,” and the people she </w:t>
      </w:r>
      <w:r w:rsidRPr="00662E51">
        <w:rPr>
          <w:szCs w:val="24"/>
        </w:rPr>
        <w:lastRenderedPageBreak/>
        <w:t xml:space="preserve">spoke to were </w:t>
      </w:r>
      <w:r w:rsidR="00893611" w:rsidRPr="00662E51">
        <w:rPr>
          <w:szCs w:val="24"/>
        </w:rPr>
        <w:t xml:space="preserve">generally </w:t>
      </w:r>
      <w:r w:rsidRPr="00662E51">
        <w:rPr>
          <w:szCs w:val="24"/>
        </w:rPr>
        <w:t>opposed to the scheme. For Melissa, the change from Kober’s leadership to Ejiofor’s was total. She remarked, in the Kober era “no one [came] to the meetings, no one challenge[d]” Kober’s “extreme kind of neoliberal politics.” This completely changed,</w:t>
      </w:r>
    </w:p>
    <w:p w14:paraId="6BC7C402" w14:textId="77777777" w:rsidR="00112E8B" w:rsidRPr="00662E51" w:rsidRDefault="00112E8B" w:rsidP="00112E8B">
      <w:pPr>
        <w:ind w:left="0" w:firstLine="720"/>
        <w:rPr>
          <w:szCs w:val="24"/>
        </w:rPr>
      </w:pPr>
    </w:p>
    <w:p w14:paraId="368F48AA" w14:textId="77777777" w:rsidR="00796996" w:rsidRDefault="00A1577B" w:rsidP="00112E8B">
      <w:pPr>
        <w:ind w:left="720"/>
        <w:rPr>
          <w:szCs w:val="24"/>
        </w:rPr>
      </w:pPr>
      <w:r w:rsidRPr="00662E51">
        <w:rPr>
          <w:szCs w:val="24"/>
        </w:rPr>
        <w:t xml:space="preserve">In 2015 when you got this big influx of people… The majority were left wing, so we elected branch chairs and everything. We took over the party in the sense that we… elected leadership of the party that reflected the membership of the party and then it became a much broader and more democratic thing. </w:t>
      </w:r>
      <w:r w:rsidR="006B4215" w:rsidRPr="00662E51">
        <w:rPr>
          <w:szCs w:val="24"/>
        </w:rPr>
        <w:t>We were able to influence politics in the way… influence the Labour Party, who got selected [as councillor candidates].</w:t>
      </w:r>
    </w:p>
    <w:p w14:paraId="3F55C228" w14:textId="77777777" w:rsidR="00112E8B" w:rsidRPr="00662E51" w:rsidRDefault="00112E8B" w:rsidP="00112E8B">
      <w:pPr>
        <w:ind w:left="720"/>
        <w:rPr>
          <w:szCs w:val="24"/>
        </w:rPr>
      </w:pPr>
    </w:p>
    <w:p w14:paraId="4252F00E" w14:textId="48C5CB00" w:rsidR="00A1577B" w:rsidRPr="00662E51" w:rsidRDefault="00A1577B" w:rsidP="00796996">
      <w:pPr>
        <w:spacing w:line="360" w:lineRule="auto"/>
        <w:ind w:left="0"/>
        <w:rPr>
          <w:szCs w:val="24"/>
        </w:rPr>
      </w:pPr>
      <w:r w:rsidRPr="00662E51">
        <w:rPr>
          <w:szCs w:val="24"/>
        </w:rPr>
        <w:t xml:space="preserve">In Melissa’s mind, then, the StopHDV movement was intrinsically related to the council campaign and Corbyn’s elevation. It fundamentally reworked both the party and the state’s hierarchies. The reversal in the </w:t>
      </w:r>
      <w:r w:rsidRPr="00662E51">
        <w:rPr>
          <w:i/>
          <w:iCs/>
          <w:szCs w:val="24"/>
        </w:rPr>
        <w:t>party</w:t>
      </w:r>
      <w:r w:rsidRPr="00662E51">
        <w:rPr>
          <w:szCs w:val="24"/>
        </w:rPr>
        <w:t xml:space="preserve"> is obvious: she states that it became democratic. The reversal in the </w:t>
      </w:r>
      <w:r w:rsidRPr="00662E51">
        <w:rPr>
          <w:i/>
          <w:iCs/>
          <w:szCs w:val="24"/>
        </w:rPr>
        <w:t>state</w:t>
      </w:r>
      <w:r w:rsidRPr="00662E51">
        <w:rPr>
          <w:szCs w:val="24"/>
        </w:rPr>
        <w:t xml:space="preserve"> lies in that the Labour party has historically been the ruling party. Melissa felt that StopHDV was successful “in like shifting the Council to the left,” that is, more in line with anti-HDV voices. Yet, as aforementioned, community representatives saw public consultations as a sham </w:t>
      </w:r>
      <w:r w:rsidRPr="00662E51">
        <w:rPr>
          <w:szCs w:val="24"/>
        </w:rPr>
        <w:fldChar w:fldCharType="begin"/>
      </w:r>
      <w:r w:rsidR="008835AB" w:rsidRPr="00662E51">
        <w:rPr>
          <w:szCs w:val="24"/>
        </w:rPr>
        <w:instrText xml:space="preserve"> ADDIN ZOTERO_ITEM CSL_CITATION {"citationID":"G109zXNM","properties":{"formattedCitation":"(Horton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and Labour leaders seemed to be dismissive of newer party members </w:t>
      </w:r>
      <w:r w:rsidRPr="00662E51">
        <w:rPr>
          <w:szCs w:val="24"/>
        </w:rPr>
        <w:fldChar w:fldCharType="begin"/>
      </w:r>
      <w:r w:rsidR="00557CA9" w:rsidRPr="00662E51">
        <w:rPr>
          <w:szCs w:val="24"/>
        </w:rPr>
        <w:instrText xml:space="preserve"> ADDIN ZOTERO_ITEM CSL_CITATION {"citationID":"N6IVbBqP","properties":{"formattedCitation":"(Aitkenhead 2018)","plainCitation":"(Aitkenhead 2018)","noteIndex":0},"citationItems":[{"id":6012,"uris":["http://zotero.org/users/8977980/items/PHZHYE36"],"itemData":{"id":6012,"type":"article-newspaper","abstract":"The London council leader has resigned amid claims of sexist bullying by Momentum members. Was she just the loser in a local politics row about regeneration – or is this the future of the Labour party?","container-title":"The Guardian","ISSN":"0261-3077","language":"en-GB","section":"Politics","source":"The Guardian","title":"Haringey boss Claire Kober: 'The argument that I’m incompetent would not have been used if I were a man'","title-short":"Haringey boss Claire Kober","URL":"https://www.theguardian.com/politics/2018/feb/02/haringey-boss-claire-kober-the-argument-that-im-incompetent-would-not-have-been-used-if-i-were-a-man","author":[{"family":"Aitkenhead","given":"Decca"}],"accessed":{"date-parts":[["2024",10,2]]},"issued":{"date-parts":[["2018",2,2]]}}}],"schema":"https://github.com/citation-style-language/schema/raw/master/csl-citation.json"} </w:instrText>
      </w:r>
      <w:r w:rsidRPr="00662E51">
        <w:rPr>
          <w:szCs w:val="24"/>
        </w:rPr>
        <w:fldChar w:fldCharType="separate"/>
      </w:r>
      <w:r w:rsidR="0095662D" w:rsidRPr="00662E51">
        <w:t>(Aitkenhead 2018)</w:t>
      </w:r>
      <w:r w:rsidRPr="00662E51">
        <w:rPr>
          <w:szCs w:val="24"/>
        </w:rPr>
        <w:fldChar w:fldCharType="end"/>
      </w:r>
      <w:r w:rsidRPr="00662E51">
        <w:rPr>
          <w:szCs w:val="24"/>
        </w:rPr>
        <w:t xml:space="preserve">. Therefore, the StopHDV movement and the Vehicle’s withdrawal can be read as a moment when the dismissed anti-HDV voices became powerful using the state against its previous actions. It is these voices—not those who wanted to implement the Vehicle—that became maximally existent. It is therefore no surprise that the community-led aspect of the StopHDV campaign demonstrates how the least powerful voices became the most powerful </w:t>
      </w:r>
      <w:r w:rsidRPr="00662E51">
        <w:rPr>
          <w:szCs w:val="24"/>
        </w:rPr>
        <w:fldChar w:fldCharType="begin"/>
      </w:r>
      <w:r w:rsidR="008835AB" w:rsidRPr="00662E51">
        <w:rPr>
          <w:szCs w:val="24"/>
        </w:rPr>
        <w:instrText xml:space="preserve"> ADDIN ZOTERO_ITEM CSL_CITATION {"citationID":"yluPraQk","properties":{"formattedCitation":"(Dignan 2021; Horton and Penny 2024)","plainCitation":"(Dignan 2021; Horton and Penny 2024)","noteIndex":0},"citationItems":[{"id":2039,"uris":["http://zotero.org/groups/4816685/items/FHF7UGFX"],"itemData":{"id":2039,"type":"article-magazine","abstract":"The party needs to pull together to take on the challenges facing the borough.","container-title":"New Statesman","language":"en-US","title":"Local people stopped the Haringey Development Vehicle - now it’s time for unity","URL":"https://www.newstatesman.com/politics/2018/01/local-people-stopped-haringey-development-vehicle-now-its-time-unity","author":[{"family":"Dignan","given":"Celia"}],"accessed":{"date-parts":[["2022",8,1]]},"issued":{"date-parts":[["2021",6,9]]}}},{"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(Dignan 2021; Horton and Penny 2024)</w:t>
      </w:r>
      <w:r w:rsidRPr="00662E51">
        <w:rPr>
          <w:szCs w:val="24"/>
        </w:rPr>
        <w:fldChar w:fldCharType="end"/>
      </w:r>
      <w:r w:rsidRPr="00662E51">
        <w:rPr>
          <w:szCs w:val="24"/>
        </w:rPr>
        <w:t xml:space="preserve">.  </w:t>
      </w:r>
    </w:p>
    <w:p w14:paraId="02D0313E" w14:textId="37B53600" w:rsidR="00A1577B" w:rsidRDefault="00A1577B" w:rsidP="00F56305">
      <w:pPr>
        <w:spacing w:line="360" w:lineRule="auto"/>
        <w:ind w:left="0" w:firstLine="720"/>
        <w:rPr>
          <w:szCs w:val="24"/>
        </w:rPr>
      </w:pPr>
      <w:r w:rsidRPr="00662E51">
        <w:rPr>
          <w:szCs w:val="24"/>
        </w:rPr>
        <w:t xml:space="preserve">StopHDV’s short-term impacts have largely been portrayed positively while the longer-term outcomes are more mixed. My interviewees sometimes expressed despair, but there does seem to be some hope for Haringey’s left. While commentators </w:t>
      </w:r>
      <w:r w:rsidR="000528A6">
        <w:rPr>
          <w:szCs w:val="24"/>
        </w:rPr>
        <w:fldChar w:fldCharType="begin"/>
      </w:r>
      <w:r w:rsidR="000528A6">
        <w:rPr>
          <w:szCs w:val="24"/>
        </w:rPr>
        <w:instrText xml:space="preserve"> ADDIN ZOTERO_ITEM CSL_CITATION {"citationID":"7PzLM5jP","properties":{"formattedCitation":"(Gilbert 2023; Holden 2025)","plainCitation":"(Gilbert 2023; Holden 2025)","noteIndex":0},"citationItems":[{"id":5842,"uris":["http://zotero.org/users/8977980/items/QZRKMUSZ"],"itemData":{"id":5842,"type":"article-newspaper","abstract":"In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7179,"uris":["http://zotero.org/users/8977980/items/KXFN8SZS"],"itemData":{"id":7179,"type":"book","abstract":"Based on Labour Party files, including some never before publicly seen, this explosive investigation lays bare the intrigues, stratagems and deceits that helped deliver Sir Keir Starmer to Downing Street. Paul Holden shows how Starmer has been the frontman for a ruthless, right-wing political project headed by Morgan McSweeney, now chief of staff in Number 10 and arguably the most powerful man in Britain. Having conquered the party on false pretences, McSweeney and his allies set about purging opponents, marginalising the membership and dragging party policy to the right. These machinations were made possible by financial donations that McSweeney did not disclose - a violation of the law that arguably subverted Britain's democratic system","ISBN":"978-1-68219-598-7","language":"eng","note":"OCLC: 1547942173","publisher":"OR Books","publisher-place":"New York","source":"Open WorldCat","title":"The Fraud: Keir Starmer, Morgan McSweeney, and the crisis of British democracy","title-short":"The fraud","author":[{"family":"Holden","given":"Paul"}],"issued":{"date-parts":[["2025"]]}}}],"schema":"https://github.com/citation-style-language/schema/raw/master/csl-citation.json"} </w:instrText>
      </w:r>
      <w:r w:rsidR="000528A6">
        <w:rPr>
          <w:szCs w:val="24"/>
        </w:rPr>
        <w:fldChar w:fldCharType="separate"/>
      </w:r>
      <w:r w:rsidR="000528A6" w:rsidRPr="000528A6">
        <w:t>(Gilbert 2023; Holden 2025)</w:t>
      </w:r>
      <w:r w:rsidR="000528A6">
        <w:rPr>
          <w:szCs w:val="24"/>
        </w:rPr>
        <w:fldChar w:fldCharType="end"/>
      </w:r>
      <w:r w:rsidR="000528A6">
        <w:rPr>
          <w:szCs w:val="24"/>
        </w:rPr>
        <w:t xml:space="preserve"> </w:t>
      </w:r>
      <w:r w:rsidRPr="00662E51">
        <w:rPr>
          <w:szCs w:val="24"/>
        </w:rPr>
        <w:t xml:space="preserve">contend that the </w:t>
      </w:r>
      <w:r w:rsidR="0090222F" w:rsidRPr="00662E51">
        <w:rPr>
          <w:szCs w:val="24"/>
        </w:rPr>
        <w:t xml:space="preserve">national </w:t>
      </w:r>
      <w:r w:rsidRPr="00662E51">
        <w:rPr>
          <w:szCs w:val="24"/>
        </w:rPr>
        <w:t>Labour Party has been decidedly pulled to the right, I argue that</w:t>
      </w:r>
      <w:r w:rsidR="0090222F" w:rsidRPr="00662E51">
        <w:rPr>
          <w:szCs w:val="24"/>
        </w:rPr>
        <w:t xml:space="preserve">—at least </w:t>
      </w:r>
      <w:r w:rsidR="00344E7E">
        <w:rPr>
          <w:szCs w:val="24"/>
        </w:rPr>
        <w:t>in Haringey</w:t>
      </w:r>
      <w:r w:rsidR="0090222F" w:rsidRPr="00662E51">
        <w:rPr>
          <w:szCs w:val="24"/>
        </w:rPr>
        <w:t>—</w:t>
      </w:r>
      <w:r w:rsidRPr="00662E51">
        <w:rPr>
          <w:szCs w:val="24"/>
        </w:rPr>
        <w:t xml:space="preserve">the new reality reflects a clarification of the undecided situation that preceded the HDV’s cancellation. That is, although the overall direction of the party leans more neoliberal than it did under Corbyn, the leeway for action </w:t>
      </w:r>
      <w:r w:rsidR="00344E7E">
        <w:rPr>
          <w:szCs w:val="24"/>
        </w:rPr>
        <w:t xml:space="preserve">in the borough </w:t>
      </w:r>
      <w:r w:rsidRPr="00662E51">
        <w:rPr>
          <w:szCs w:val="24"/>
        </w:rPr>
        <w:t xml:space="preserve">has </w:t>
      </w:r>
      <w:r w:rsidRPr="00662E51">
        <w:rPr>
          <w:szCs w:val="24"/>
        </w:rPr>
        <w:lastRenderedPageBreak/>
        <w:t xml:space="preserve">narrowed because of the council takeover. For example, when I asked Melissa what the legacy of the HDV was, she remarked, “a lot of people who would like be ideological cheerleaders of privatisation are generally not a legitimate political force now in Haringey from what I can see.” This contrasted with Asif’s perception that Haringey </w:t>
      </w:r>
      <w:r w:rsidR="001A5A2A" w:rsidRPr="00662E51">
        <w:rPr>
          <w:szCs w:val="24"/>
        </w:rPr>
        <w:t xml:space="preserve">always </w:t>
      </w:r>
      <w:r w:rsidRPr="00662E51">
        <w:rPr>
          <w:szCs w:val="24"/>
        </w:rPr>
        <w:t>had had a “strong Blairite, right wing flank” in the council.  He continued, “the whole direction of the council shifted” after the HDV was cancelled. Discussing the Lib</w:t>
      </w:r>
      <w:r w:rsidR="004A3DD4" w:rsidRPr="00662E51">
        <w:rPr>
          <w:szCs w:val="24"/>
        </w:rPr>
        <w:t>eral</w:t>
      </w:r>
      <w:r w:rsidRPr="00662E51">
        <w:rPr>
          <w:szCs w:val="24"/>
        </w:rPr>
        <w:t xml:space="preserve"> Dem</w:t>
      </w:r>
      <w:r w:rsidR="004A3DD4" w:rsidRPr="00662E51">
        <w:rPr>
          <w:szCs w:val="24"/>
        </w:rPr>
        <w:t>ocrat</w:t>
      </w:r>
      <w:r w:rsidRPr="00662E51">
        <w:rPr>
          <w:szCs w:val="24"/>
        </w:rPr>
        <w:t>s, Liliana suggested that her party was more radical than other parties due “to some influence from the 2018 election because a lot of the councillors that got elected that year were very much built on this kind of anti-HDV thing... the kind of people who came to the fore from that were a little bit more left-leaning because they were opposed to the HDV.” Several interviewees believed that the StopHDV movement frightened other councils from executing similar policies. Asif illustrated: the HDV’s withdrawal</w:t>
      </w:r>
    </w:p>
    <w:p w14:paraId="6E276B47" w14:textId="77777777" w:rsidR="00A16CD0" w:rsidRPr="00662E51" w:rsidRDefault="00A16CD0" w:rsidP="00A16CD0">
      <w:pPr>
        <w:ind w:left="0" w:firstLine="720"/>
        <w:rPr>
          <w:szCs w:val="24"/>
        </w:rPr>
      </w:pPr>
    </w:p>
    <w:p w14:paraId="07FDB712" w14:textId="67DC15D8" w:rsidR="00A1577B" w:rsidRDefault="00A1577B" w:rsidP="00A16CD0">
      <w:pPr>
        <w:ind w:left="720"/>
        <w:rPr>
          <w:szCs w:val="24"/>
        </w:rPr>
      </w:pPr>
      <w:r w:rsidRPr="00662E51">
        <w:rPr>
          <w:szCs w:val="24"/>
        </w:rPr>
        <w:t xml:space="preserve">played a part… in changing the way councils like Southwark for example, or other Labour[-led] councils who wanted really neoliberal housing policies and redevelopment programs. It pushed them back from that [and] encourage[d] some more progressive voices and tones in their leadership </w:t>
      </w:r>
      <w:r w:rsidRPr="00662E51">
        <w:rPr>
          <w:szCs w:val="24"/>
        </w:rPr>
        <w:fldChar w:fldCharType="begin"/>
      </w:r>
      <w:r w:rsidR="008835AB" w:rsidRPr="00662E51">
        <w:rPr>
          <w:szCs w:val="24"/>
        </w:rPr>
        <w:instrText xml:space="preserve"> ADDIN ZOTERO_ITEM CSL_CITATION {"citationID":"nujEzm2A","properties":{"formattedCitation":"(see also Horton and Penny 2024, 133)","plainCitation":"(see also Horton and Penny 2024, 133)","noteIndex":0},"citationItems":[{"id":5697,"uris":["http://zotero.org/users/8977980/items/ZPYXM7A6"],"itemData":{"id":5697,"type":"book","ISBN":"978-1-80008-710-1","language":"eng","note":"OCLC: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CITY","URL":"https://www.uclpress.co.uk/products/240669","author":[{"family":"Horton","given":"Amy"},{"family":"Penny","given":"Joe"}],"issued":{"date-parts":[["2024"]]}},"locator":"133","label":"page","prefix":"see also"}],"schema":"https://github.com/citation-style-language/schema/raw/master/csl-citation.json"} </w:instrText>
      </w:r>
      <w:r w:rsidRPr="00662E51">
        <w:rPr>
          <w:szCs w:val="24"/>
        </w:rPr>
        <w:fldChar w:fldCharType="separate"/>
      </w:r>
      <w:r w:rsidR="0095662D" w:rsidRPr="00662E51">
        <w:t>(see also Horton and Penny 2024, 133)</w:t>
      </w:r>
      <w:r w:rsidRPr="00662E51">
        <w:rPr>
          <w:szCs w:val="24"/>
        </w:rPr>
        <w:fldChar w:fldCharType="end"/>
      </w:r>
      <w:r w:rsidRPr="00662E51">
        <w:rPr>
          <w:szCs w:val="24"/>
        </w:rPr>
        <w:t>.</w:t>
      </w:r>
    </w:p>
    <w:p w14:paraId="5F91721B" w14:textId="77777777" w:rsidR="00A16CD0" w:rsidRPr="00662E51" w:rsidRDefault="00A16CD0" w:rsidP="00A16CD0">
      <w:pPr>
        <w:ind w:left="720"/>
        <w:rPr>
          <w:szCs w:val="24"/>
        </w:rPr>
      </w:pPr>
    </w:p>
    <w:p w14:paraId="2B64F314" w14:textId="0E2FE602" w:rsidR="00A1577B" w:rsidRDefault="00A1577B" w:rsidP="00F56305">
      <w:pPr>
        <w:spacing w:line="360" w:lineRule="auto"/>
        <w:ind w:left="0"/>
        <w:rPr>
          <w:szCs w:val="24"/>
        </w:rPr>
      </w:pPr>
      <w:r w:rsidRPr="00662E51">
        <w:rPr>
          <w:szCs w:val="24"/>
        </w:rPr>
        <w:t xml:space="preserve">However, regeneration in Haringey does continue, most notably with the High Road West (HRW) scheme </w:t>
      </w:r>
      <w:r w:rsidR="00D8388B" w:rsidRPr="00662E51">
        <w:rPr>
          <w:szCs w:val="24"/>
        </w:rPr>
        <w:t xml:space="preserve">(Chapter 7) </w:t>
      </w:r>
      <w:r w:rsidRPr="00662E51">
        <w:rPr>
          <w:szCs w:val="24"/>
        </w:rPr>
        <w:t xml:space="preserve">The scheme’s critics position it as a “piecemeal” version of the Vehicle that is underpinned by the same neoliberal logics. Yet, critics’ belief that the HRW scheme is cancellable “had there been stronger local opposition” overlooks the enmeshed nature of urban development </w:t>
      </w:r>
      <w:r w:rsidRPr="00662E51">
        <w:rPr>
          <w:szCs w:val="24"/>
        </w:rPr>
        <w:fldChar w:fldCharType="begin"/>
      </w:r>
      <w:r w:rsidR="008835AB" w:rsidRPr="00662E51">
        <w:rPr>
          <w:szCs w:val="24"/>
        </w:rPr>
        <w:instrText xml:space="preserve"> ADDIN ZOTERO_ITEM CSL_CITATION {"citationID":"A6MDd1Xx","properties":{"formattedCitation":"(Horton and Penny 2024, 132)","plainCitation":"(Horton and Penny 2024, 132)","noteIndex":0},"citationItems":[{"id":5697,"uris":["http://zotero.org/users/8977980/items/ZPYXM7A6"],"itemData":{"id":5697,"type":"book","ISBN":"978-1-80008-710-1","language":"eng","note":"OCLC: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CITY","URL":"https://www.uclpress.co.uk/products/240669","author":[{"family":"Horton","given":"Amy"},{"family":"Penny","given":"Joe"}],"issued":{"date-parts":[["2024"]]}},"locator":"132"}],"schema":"https://github.com/citation-style-language/schema/raw/master/csl-citation.json"} </w:instrText>
      </w:r>
      <w:r w:rsidRPr="00662E51">
        <w:rPr>
          <w:szCs w:val="24"/>
        </w:rPr>
        <w:fldChar w:fldCharType="separate"/>
      </w:r>
      <w:r w:rsidR="0095662D" w:rsidRPr="00662E51">
        <w:t>(Horton and Penny 2024, 132)</w:t>
      </w:r>
      <w:r w:rsidRPr="00662E51">
        <w:rPr>
          <w:szCs w:val="24"/>
        </w:rPr>
        <w:fldChar w:fldCharType="end"/>
      </w:r>
      <w:r w:rsidRPr="00662E51">
        <w:rPr>
          <w:szCs w:val="24"/>
        </w:rPr>
        <w:t xml:space="preserve">. For instance, more than one councillor reported that they were not necessarily opposed to HRW. Asif was emphatic that “the High Road West scheme is actually nothing like” the HDV both because of the “net gain” in council homes and that </w:t>
      </w:r>
      <w:r w:rsidR="00767477">
        <w:rPr>
          <w:szCs w:val="24"/>
        </w:rPr>
        <w:t xml:space="preserve">the </w:t>
      </w:r>
      <w:r w:rsidRPr="00662E51">
        <w:rPr>
          <w:szCs w:val="24"/>
        </w:rPr>
        <w:t>Ejiofor-led council—</w:t>
      </w:r>
      <w:r w:rsidR="00767477">
        <w:rPr>
          <w:szCs w:val="24"/>
        </w:rPr>
        <w:t>the so-called ‘Corbyn Council’—</w:t>
      </w:r>
      <w:r w:rsidRPr="00662E51">
        <w:rPr>
          <w:szCs w:val="24"/>
        </w:rPr>
        <w:t xml:space="preserve">had been able to force some revisions on the plan. In discussing her own positionality as a councillor, Melissa reminded me that she could only consider objections to the scheme based on its suitability within planning terms, rather than its politics. Lastly, Melissa recounted many conversations she had with residents and party members impacted by the scheme, who “really want[ed] this </w:t>
      </w:r>
      <w:r w:rsidRPr="00662E51">
        <w:rPr>
          <w:szCs w:val="24"/>
        </w:rPr>
        <w:lastRenderedPageBreak/>
        <w:t xml:space="preserve">scheme to go ahead” as they believed they would benefit. The complexity surrounding the scheme is not to deny its very real potential for harm. Rather, my brief review of HRW is to insist on attending to the complex relations that make up the state </w:t>
      </w:r>
      <w:r w:rsidRPr="00662E51">
        <w:rPr>
          <w:szCs w:val="24"/>
        </w:rPr>
        <w:fldChar w:fldCharType="begin"/>
      </w:r>
      <w:r w:rsidR="00557CA9" w:rsidRPr="00662E51">
        <w:rPr>
          <w:szCs w:val="24"/>
        </w:rPr>
        <w:instrText xml:space="preserve"> ADDIN ZOTERO_ITEM CSL_CITATION {"citationID":"xFkk1uzA","properties":{"formattedCitation":"(Ormerod 2021)","plainCitation":"(Ormerod 2021)","noteIndex":0},"citationItems":[{"id":3295,"uris":["http://zotero.org/users/8977980/items/UP7CRFTK"],"itemData":{"id":3295,"type":"article-journal","abstract":"This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95662D" w:rsidRPr="00662E51">
        <w:t>(Ormerod 2021)</w:t>
      </w:r>
      <w:r w:rsidRPr="00662E51">
        <w:rPr>
          <w:szCs w:val="24"/>
        </w:rPr>
        <w:fldChar w:fldCharType="end"/>
      </w:r>
      <w:r w:rsidRPr="00662E51">
        <w:rPr>
          <w:szCs w:val="24"/>
        </w:rPr>
        <w:t>. As seen in the HDV and the HRW schemes, these relations can be used to invert a hierarchy of voices. Asif argued that councillors could be savvier than simply approving a proposal. He said,</w:t>
      </w:r>
    </w:p>
    <w:p w14:paraId="5F00B571" w14:textId="77777777" w:rsidR="002E12F0" w:rsidRPr="00662E51" w:rsidRDefault="002E12F0" w:rsidP="002E12F0">
      <w:pPr>
        <w:ind w:left="0"/>
        <w:rPr>
          <w:szCs w:val="24"/>
        </w:rPr>
      </w:pPr>
    </w:p>
    <w:p w14:paraId="5ACDFFF3" w14:textId="77777777" w:rsidR="00A1577B" w:rsidRDefault="00A1577B" w:rsidP="002E12F0">
      <w:pPr>
        <w:ind w:left="720"/>
        <w:rPr>
          <w:szCs w:val="24"/>
        </w:rPr>
      </w:pPr>
      <w:r w:rsidRPr="00662E51">
        <w:rPr>
          <w:szCs w:val="24"/>
        </w:rPr>
        <w:t xml:space="preserve">you don't have to like politically ally with a developer… there's ways you can play that as a more sort of complex political hand, right? You don't be like ‘I'm gonna, you know, not I'm going to oppose this,’ but push them while also recognising it's very difficult to make a decision that at the moment that would stop a development.  </w:t>
      </w:r>
    </w:p>
    <w:p w14:paraId="08CE8248" w14:textId="77777777" w:rsidR="002E12F0" w:rsidRPr="00662E51" w:rsidRDefault="002E12F0" w:rsidP="002E12F0">
      <w:pPr>
        <w:ind w:left="720"/>
        <w:rPr>
          <w:szCs w:val="24"/>
        </w:rPr>
      </w:pPr>
    </w:p>
    <w:p w14:paraId="2BE0F8FD" w14:textId="31FDFFDD" w:rsidR="00A1577B" w:rsidRPr="00662E51" w:rsidRDefault="00A1577B" w:rsidP="00F56305">
      <w:pPr>
        <w:spacing w:line="360" w:lineRule="auto"/>
        <w:ind w:left="0"/>
        <w:rPr>
          <w:szCs w:val="24"/>
        </w:rPr>
      </w:pPr>
      <w:r w:rsidRPr="00662E51">
        <w:rPr>
          <w:szCs w:val="24"/>
        </w:rPr>
        <w:t xml:space="preserve">While he acknowledges the current, complex nature of council finances, Asif suggests that councillors must be shrewd in their dealings with developers and those who wish to maintain a hierarchy of voices if activist-councillors are to </w:t>
      </w:r>
      <w:r w:rsidR="00BC65DF">
        <w:rPr>
          <w:szCs w:val="24"/>
        </w:rPr>
        <w:t>cause</w:t>
      </w:r>
      <w:r w:rsidRPr="00662E51">
        <w:rPr>
          <w:szCs w:val="24"/>
        </w:rPr>
        <w:t xml:space="preserve"> a reversal in that hierarchy. </w:t>
      </w:r>
    </w:p>
    <w:p w14:paraId="70BCCCB0" w14:textId="654249FF" w:rsidR="00A1577B" w:rsidRPr="00662E51" w:rsidRDefault="00A1577B" w:rsidP="00F56305">
      <w:pPr>
        <w:spacing w:line="360" w:lineRule="auto"/>
        <w:ind w:left="0" w:firstLine="720"/>
        <w:rPr>
          <w:szCs w:val="24"/>
        </w:rPr>
      </w:pPr>
      <w:r w:rsidRPr="00662E51">
        <w:rPr>
          <w:szCs w:val="24"/>
        </w:rPr>
        <w:t>Finally, the Ahmet</w:t>
      </w:r>
      <w:r w:rsidR="008139D2" w:rsidRPr="00662E51">
        <w:rPr>
          <w:szCs w:val="24"/>
        </w:rPr>
        <w:t>-led</w:t>
      </w:r>
      <w:r w:rsidRPr="00662E51">
        <w:rPr>
          <w:szCs w:val="24"/>
        </w:rPr>
        <w:t xml:space="preserve"> council remains committed to two of the Ejiofor-led council’s key housing policy targets: the building of new council homes and the insourcing of the previously outsourced council house management.</w:t>
      </w:r>
      <w:r w:rsidR="00463B88">
        <w:rPr>
          <w:rStyle w:val="FootnoteReference"/>
          <w:szCs w:val="24"/>
        </w:rPr>
        <w:footnoteReference w:id="57"/>
      </w:r>
      <w:r w:rsidRPr="00662E51">
        <w:rPr>
          <w:szCs w:val="24"/>
        </w:rPr>
        <w:t xml:space="preserve"> Melissa says that this “political direction… is trying to do the right things often, like failing miserably in the delivery, but like I do think, we have the right priorities.” She continues, “it’s an ambitious, needed agenda.” Even if she disagrees with many of the national party’s positions, “at least there are good things going on locally.” Asif agrees: the continuing council house building program “does tell [him that] we have a majority of councillors who value social housing.” This converging of views on public housing suggests a broad reworking of the existing mindset. It is not the leftward, transformative change that was promised by the StopHDV campaign, but the reworking is indicative of a new reality in Haringey. The Council seems to be in the midst of a more cautious, slower, and less arrogant urban renewal—and yet still undertaking significant regeneration elsewhere</w:t>
      </w:r>
      <w:r w:rsidR="007D0685" w:rsidRPr="00662E51">
        <w:rPr>
          <w:szCs w:val="24"/>
        </w:rPr>
        <w:t xml:space="preserve">. </w:t>
      </w:r>
      <w:r w:rsidRPr="00662E51">
        <w:rPr>
          <w:szCs w:val="24"/>
        </w:rPr>
        <w:t xml:space="preserve">Conversely, Asif believes that the mindset of Haringey’s councillors can be “quite paternalistic” and that </w:t>
      </w:r>
      <w:r w:rsidRPr="00662E51">
        <w:rPr>
          <w:szCs w:val="24"/>
        </w:rPr>
        <w:lastRenderedPageBreak/>
        <w:t>“snobbery was part of the story as well” revolving around council housing. He thinks it is a “systemic thing” due to a decline in the stature of council housing in Britain. As such, the Ahmet</w:t>
      </w:r>
      <w:r w:rsidR="00F424D4" w:rsidRPr="00662E51">
        <w:rPr>
          <w:szCs w:val="24"/>
        </w:rPr>
        <w:t>-led</w:t>
      </w:r>
      <w:r w:rsidRPr="00662E51">
        <w:rPr>
          <w:szCs w:val="24"/>
        </w:rPr>
        <w:t xml:space="preserve"> council’s commitment to maintaining the building program can be read in two ways. One, as simple political opportunism; in another, the event of the 2018 election (that ushered in a stronger leftist bloc) clarified the general and undecided situation that preceded it. That is, it—for a moment—“effect[ed] the reversal of the structure” of the conditions that made the HDV a potential future </w:t>
      </w:r>
      <w:r w:rsidRPr="00662E51">
        <w:rPr>
          <w:szCs w:val="24"/>
        </w:rPr>
        <w:fldChar w:fldCharType="begin"/>
      </w:r>
      <w:r w:rsidR="008835AB" w:rsidRPr="00662E51">
        <w:rPr>
          <w:szCs w:val="24"/>
        </w:rPr>
        <w:instrText xml:space="preserve"> ADDIN ZOTERO_ITEM CSL_CITATION {"citationID":"x7QZDFzI","properties":{"formattedCitation":"(Paccoud 2019, 343)","plainCitation":"(Paccoud 2019, 343)","noteIndex":0},"citationItems":[{"id":5584,"uris":["http://zotero.org/users/8977980/items/ASA2TBJM"],"itemData":{"id":5584,"type":"article-journal","abstract":"The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Saint-Simon","volume":"18","author":[{"family":"Paccoud","given":"Antoine"}],"issued":{"date-parts":[["2019",8,1]]}},"locator":"343"}],"schema":"https://github.com/citation-style-language/schema/raw/master/csl-citation.json"} </w:instrText>
      </w:r>
      <w:r w:rsidRPr="00662E51">
        <w:rPr>
          <w:szCs w:val="24"/>
        </w:rPr>
        <w:fldChar w:fldCharType="separate"/>
      </w:r>
      <w:r w:rsidR="0095662D" w:rsidRPr="00662E51">
        <w:t>(Paccoud 2019, 343)</w:t>
      </w:r>
      <w:r w:rsidRPr="00662E51">
        <w:rPr>
          <w:szCs w:val="24"/>
        </w:rPr>
        <w:fldChar w:fldCharType="end"/>
      </w:r>
      <w:r w:rsidRPr="00662E51">
        <w:rPr>
          <w:szCs w:val="24"/>
        </w:rPr>
        <w:t xml:space="preserve">. Whilst the HDV’s death “created a political vacuum in Haringey that was filled by factionalism, uncertainty and ambiguity” as seen in my interviews with Asif and Melissa, the campaign’s success also set the tenor of future conversations around housing </w:t>
      </w:r>
      <w:r w:rsidRPr="00662E51">
        <w:rPr>
          <w:szCs w:val="24"/>
        </w:rPr>
        <w:fldChar w:fldCharType="begin"/>
      </w:r>
      <w:r w:rsidR="008835AB" w:rsidRPr="00662E51">
        <w:rPr>
          <w:szCs w:val="24"/>
        </w:rPr>
        <w:instrText xml:space="preserve"> ADDIN ZOTERO_ITEM CSL_CITATION {"citationID":"XbXczbEj","properties":{"formattedCitation":"(Horton and Penny 2024, 120)","plainCitation":"(Horton and Penny 2024, 120)","noteIndex":0},"citationItems":[{"id":5697,"uris":["http://zotero.org/users/8977980/items/ZPYXM7A6"],"itemData":{"id":5697,"type":"book","ISBN":"978-1-80008-710-1","language":"eng","note":"OCLC: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CITY","URL":"https://www.uclpress.co.uk/products/240669","author":[{"family":"Horton","given":"Amy"},{"family":"Penny","given":"Joe"}],"issued":{"date-parts":[["2024"]]}},"locator":"120"}],"schema":"https://github.com/citation-style-language/schema/raw/master/csl-citation.json"} </w:instrText>
      </w:r>
      <w:r w:rsidRPr="00662E51">
        <w:rPr>
          <w:szCs w:val="24"/>
        </w:rPr>
        <w:fldChar w:fldCharType="separate"/>
      </w:r>
      <w:r w:rsidR="0095662D" w:rsidRPr="00662E51">
        <w:t>(Horton and Penny 2024, 120)</w:t>
      </w:r>
      <w:r w:rsidRPr="00662E51">
        <w:rPr>
          <w:szCs w:val="24"/>
        </w:rPr>
        <w:fldChar w:fldCharType="end"/>
      </w:r>
      <w:r w:rsidRPr="00662E51">
        <w:rPr>
          <w:szCs w:val="24"/>
        </w:rPr>
        <w:t xml:space="preserve">. Liliana, discussing the Liberal Democrats, says that they are “fairly left wing group” who “attack Labour from the left” on issues like “building enough council homes, [and] aren't protecting residents.” As the policy’s termination was only possible by contestation within the Labour Party, StopHDV’s successful strategy of influencing elections must be read as a momentary and evental reversal of the pre-existing political structure. Indeed as Horton and Penny </w:t>
      </w:r>
      <w:r w:rsidRPr="00662E51">
        <w:rPr>
          <w:szCs w:val="24"/>
        </w:rPr>
        <w:fldChar w:fldCharType="begin"/>
      </w:r>
      <w:r w:rsidR="008835AB" w:rsidRPr="00662E51">
        <w:rPr>
          <w:szCs w:val="24"/>
        </w:rPr>
        <w:instrText xml:space="preserve"> ADDIN ZOTERO_ITEM CSL_CITATION {"citationID":"wIt2dUhO","properties":{"formattedCitation":"(2024, 104)","plainCitation":"(2024, 104)","noteIndex":0},"citationItems":[{"id":5697,"uris":["http://zotero.org/users/8977980/items/ZPYXM7A6"],"itemData":{"id":5697,"type":"book","ISBN":"978-1-80008-710-1","language":"eng","note":"OCLC: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ocator":"104","label":"page","suppress-author":true}],"schema":"https://github.com/citation-style-language/schema/raw/master/csl-citation.json"} </w:instrText>
      </w:r>
      <w:r w:rsidRPr="00662E51">
        <w:rPr>
          <w:szCs w:val="24"/>
        </w:rPr>
        <w:fldChar w:fldCharType="separate"/>
      </w:r>
      <w:r w:rsidR="0095662D" w:rsidRPr="00662E51">
        <w:t>(2024, 104)</w:t>
      </w:r>
      <w:r w:rsidRPr="00662E51">
        <w:rPr>
          <w:szCs w:val="24"/>
        </w:rPr>
        <w:fldChar w:fldCharType="end"/>
      </w:r>
      <w:r w:rsidRPr="00662E51">
        <w:rPr>
          <w:szCs w:val="24"/>
        </w:rPr>
        <w:t xml:space="preserve"> write, “with one foot in the state and the other on the streets, [StopHDV] forensically scrutinised and dramatically contested the HDV.” While it is true that StopHDV was </w:t>
      </w:r>
      <w:r w:rsidRPr="00662E51">
        <w:rPr>
          <w:i/>
          <w:iCs/>
          <w:szCs w:val="24"/>
        </w:rPr>
        <w:t xml:space="preserve">not solely </w:t>
      </w:r>
      <w:r w:rsidRPr="00662E51">
        <w:rPr>
          <w:szCs w:val="24"/>
        </w:rPr>
        <w:t xml:space="preserve">a party-project, it is equally true that working through the existing political institution of the Labour Party was </w:t>
      </w:r>
      <w:r w:rsidRPr="00662E51">
        <w:rPr>
          <w:i/>
          <w:iCs/>
          <w:szCs w:val="24"/>
        </w:rPr>
        <w:t>the only way</w:t>
      </w:r>
      <w:r w:rsidRPr="00662E51">
        <w:rPr>
          <w:szCs w:val="24"/>
        </w:rPr>
        <w:t xml:space="preserve"> to stop the HDV. </w:t>
      </w:r>
    </w:p>
    <w:p w14:paraId="1605606B" w14:textId="77777777" w:rsidR="00A1577B" w:rsidRPr="00662E51" w:rsidRDefault="00A1577B" w:rsidP="00F56305">
      <w:pPr>
        <w:spacing w:line="360" w:lineRule="auto"/>
        <w:ind w:left="0" w:firstLine="720"/>
        <w:rPr>
          <w:szCs w:val="24"/>
        </w:rPr>
      </w:pPr>
    </w:p>
    <w:p w14:paraId="6750B2AC" w14:textId="5270644D" w:rsidR="00A1577B" w:rsidRPr="00662E51" w:rsidRDefault="00A1577B" w:rsidP="00F56305">
      <w:pPr>
        <w:pStyle w:val="Heading2"/>
      </w:pPr>
      <w:bookmarkStart w:id="417" w:name="_Toc213173978"/>
      <w:bookmarkStart w:id="418" w:name="_Toc216096179"/>
      <w:bookmarkStart w:id="419" w:name="_Toc221184367"/>
      <w:bookmarkStart w:id="420" w:name="_Toc231215285"/>
      <w:r w:rsidRPr="00662E51">
        <w:t>Conclusion</w:t>
      </w:r>
      <w:bookmarkEnd w:id="417"/>
      <w:bookmarkEnd w:id="418"/>
      <w:bookmarkEnd w:id="419"/>
      <w:r w:rsidR="00836748">
        <w:t>:</w:t>
      </w:r>
      <w:bookmarkEnd w:id="420"/>
    </w:p>
    <w:p w14:paraId="1DE36D78" w14:textId="1BAB2C83" w:rsidR="00A1577B" w:rsidRPr="00662E51" w:rsidRDefault="00A1577B" w:rsidP="00F56305">
      <w:pPr>
        <w:spacing w:line="360" w:lineRule="auto"/>
        <w:ind w:left="0"/>
        <w:rPr>
          <w:szCs w:val="24"/>
        </w:rPr>
      </w:pPr>
      <w:r w:rsidRPr="00662E51">
        <w:rPr>
          <w:szCs w:val="24"/>
        </w:rPr>
        <w:t xml:space="preserve">The London Edinburgh Weekend Return Group </w:t>
      </w:r>
      <w:r w:rsidRPr="00662E51">
        <w:rPr>
          <w:szCs w:val="24"/>
        </w:rPr>
        <w:fldChar w:fldCharType="begin"/>
      </w:r>
      <w:r w:rsidR="008835AB" w:rsidRPr="00662E51">
        <w:rPr>
          <w:szCs w:val="24"/>
        </w:rPr>
        <w:instrText xml:space="preserve"> ADDIN ZOTERO_ITEM CSL_CITATION {"citationID":"5PYTESvL","properties":{"formattedCitation":"([1980] 2021)","plainCitation":"([1980] 2021)","noteIndex":0},"citationItems":[{"id":5812,"uris":["http://zotero.org/users/8977980/items/UXF4CXWN"],"itemData":{"id":5812,"type":"book","abstract":"Originally published as a pamphlet in 1979 and again by Pluto in 1980, In and Against the State brought together questions of working class struggle and state power, exploring how revolutionary socialists might reconcile working in the public sector with their radical politics. Informed by autonomist political ideas and practices that were central to the protests of 1968, the book's authors spoke to a generation of activists wrestling with where to place their energies. Forty years have passed, yet the questions it posed are still to be answered. Socialist activists continue to face a wave of Tory-led austerity measures involving hospital closures, a deepening housing crisis and attacks on social welfare provision. However, a new form of politics is emerging in the shadow of the neoliberal assault, one that may yet provide solutions. This edition includes a new introduction by Seth Wheeler and an interview with John McDonnell that reflect on the continuing relevance of In and Against the State and the questions it raises","edition":"New edition","ISBN":"978-0-7453-4181-1","language":"eng","number-of-pages":"154","publisher":"Pluto Press","publisher-place":"London","source":"K10plus ISBN","title":"In and against the state: discussion notes for socialists","title-short":"In and against the state","author":[{"literal":"London Edinburgh Weekend Return Group"}],"editor":[{"family":"Wheeler","given":"Seth"}],"issued":{"date-parts":[["2021"]]},"original-date":{"date-parts":[["1980"]]}},"label":"page","suppress-author":true}],"schema":"https://github.com/citation-style-language/schema/raw/master/csl-citation.json"} </w:instrText>
      </w:r>
      <w:r w:rsidRPr="00662E51">
        <w:rPr>
          <w:szCs w:val="24"/>
        </w:rPr>
        <w:fldChar w:fldCharType="separate"/>
      </w:r>
      <w:r w:rsidR="0095662D" w:rsidRPr="00662E51">
        <w:t>([1980] 2021)</w:t>
      </w:r>
      <w:r w:rsidRPr="00662E51">
        <w:rPr>
          <w:szCs w:val="24"/>
        </w:rPr>
        <w:fldChar w:fldCharType="end"/>
      </w:r>
      <w:r w:rsidRPr="00662E51">
        <w:rPr>
          <w:szCs w:val="24"/>
        </w:rPr>
        <w:t xml:space="preserve"> outline several “oppositional possibilities” that can form one part of a wider network of socialist struggle against an oppressive state. Arguing against simply defending the state as it is, they </w:t>
      </w:r>
      <w:r w:rsidRPr="00662E51">
        <w:rPr>
          <w:szCs w:val="24"/>
        </w:rPr>
        <w:fldChar w:fldCharType="begin"/>
      </w:r>
      <w:r w:rsidR="008835AB" w:rsidRPr="00662E51">
        <w:rPr>
          <w:szCs w:val="24"/>
        </w:rPr>
        <w:instrText xml:space="preserve"> ADDIN ZOTERO_ITEM CSL_CITATION {"citationID":"ihqxXzpm","properties":{"formattedCitation":"([1980] 2021, 96)","plainCitation":"([1980] 2021, 96)","noteIndex":0},"citationItems":[{"id":5812,"uris":["http://zotero.org/users/8977980/items/UXF4CXWN"],"itemData":{"id":5812,"type":"book","abstract":"Originally published as a pamphlet in 1979 and again by Pluto in 1980, In and Against the State brought together questions of working class struggle and state power, exploring how revolutionary socialists might reconcile working in the public sector with their radical politics. Informed by autonomist political ideas and practices that were central to the protests of 1968, the book's authors spoke to a generation of activists wrestling with where to place their energies. Forty years have passed, yet the questions it posed are still to be answered. Socialist activists continue to face a wave of Tory-led austerity measures involving hospital closures, a deepening housing crisis and attacks on social welfare provision. However, a new form of politics is emerging in the shadow of the neoliberal assault, one that may yet provide solutions. This edition includes a new introduction by Seth Wheeler and an interview with John McDonnell that reflect on the continuing relevance of In and Against the State and the questions it raises","edition":"New edition","ISBN":"978-0-7453-4181-1","language":"eng","number-of-pages":"154","publisher":"Pluto Press","publisher-place":"London","source":"K10plus ISBN","title":"In and against the state: discussion notes for socialists","title-short":"In and against the state","author":[{"literal":"London Edinburgh Weekend Return Group"}],"editor":[{"family":"Wheeler","given":"Seth"}],"issued":{"date-parts":[["2021"]]},"original-date":{"date-parts":[["1980"]]}},"locator":"96","label":"page","suppress-author":true}],"schema":"https://github.com/citation-style-language/schema/raw/master/csl-citation.json"} </w:instrText>
      </w:r>
      <w:r w:rsidRPr="00662E51">
        <w:rPr>
          <w:szCs w:val="24"/>
        </w:rPr>
        <w:fldChar w:fldCharType="separate"/>
      </w:r>
      <w:r w:rsidR="0095662D" w:rsidRPr="00662E51">
        <w:t>([1980] 2021, 96)</w:t>
      </w:r>
      <w:r w:rsidRPr="00662E51">
        <w:rPr>
          <w:szCs w:val="24"/>
        </w:rPr>
        <w:fldChar w:fldCharType="end"/>
      </w:r>
      <w:r w:rsidRPr="00662E51">
        <w:rPr>
          <w:szCs w:val="24"/>
        </w:rPr>
        <w:t xml:space="preserve"> conclude, “the mass of people are aware that they are not ‘our’ hospitals or ‘our’ services. These are not our institutions but </w:t>
      </w:r>
      <w:r w:rsidRPr="00662E51">
        <w:rPr>
          <w:i/>
          <w:iCs/>
          <w:szCs w:val="24"/>
        </w:rPr>
        <w:t>theirs</w:t>
      </w:r>
      <w:r w:rsidRPr="00662E51">
        <w:rPr>
          <w:szCs w:val="24"/>
        </w:rPr>
        <w:t xml:space="preserve">.” Namely, LEWRG </w:t>
      </w:r>
      <w:r w:rsidRPr="00662E51">
        <w:rPr>
          <w:szCs w:val="24"/>
        </w:rPr>
        <w:fldChar w:fldCharType="begin"/>
      </w:r>
      <w:r w:rsidR="008835AB" w:rsidRPr="00662E51">
        <w:rPr>
          <w:szCs w:val="24"/>
        </w:rPr>
        <w:instrText xml:space="preserve"> ADDIN ZOTERO_ITEM CSL_CITATION {"citationID":"W6krtRps","properties":{"formattedCitation":"([1980] 2021)","plainCitation":"([1980] 2021)","noteIndex":0},"citationItems":[{"id":5812,"uris":["http://zotero.org/users/8977980/items/UXF4CXWN"],"itemData":{"id":5812,"type":"book","abstract":"Originally published as a pamphlet in 1979 and again by Pluto in 1980, In and Against the State brought together questions of working class struggle and state power, exploring how revolutionary socialists might reconcile working in the public sector with their radical politics. Informed by autonomist political ideas and practices that were central to the protests of 1968, the book's authors spoke to a generation of activists wrestling with where to place their energies. Forty years have passed, yet the questions it posed are still to be answered. Socialist activists continue to face a wave of Tory-led austerity measures involving hospital closures, a deepening housing crisis and attacks on social welfare provision. However, a new form of politics is emerging in the shadow of the neoliberal assault, one that may yet provide solutions. This edition includes a new introduction by Seth Wheeler and an interview with John McDonnell that reflect on the continuing relevance of In and Against the State and the questions it raises","edition":"New edition","ISBN":"978-0-7453-4181-1","language":"eng","number-of-pages":"154","publisher":"Pluto Press","publisher-place":"London","source":"K10plus ISBN","title":"In and against the state: discussion notes for socialists","title-short":"In and against the state","author":[{"literal":"London Edinburgh Weekend Return Group"}],"editor":[{"family":"Wheeler","given":"Seth"}],"issued":{"date-parts":[["2021"]]},"original-date":{"date-parts":[["1980"]]}},"label":"page","suppress-author":true}],"schema":"https://github.com/citation-style-language/schema/raw/master/csl-citation.json"} </w:instrText>
      </w:r>
      <w:r w:rsidRPr="00662E51">
        <w:rPr>
          <w:szCs w:val="24"/>
        </w:rPr>
        <w:fldChar w:fldCharType="separate"/>
      </w:r>
      <w:r w:rsidR="0095662D" w:rsidRPr="00662E51">
        <w:t>([1980] 2021)</w:t>
      </w:r>
      <w:r w:rsidRPr="00662E51">
        <w:rPr>
          <w:szCs w:val="24"/>
        </w:rPr>
        <w:fldChar w:fldCharType="end"/>
      </w:r>
      <w:r w:rsidRPr="00662E51">
        <w:rPr>
          <w:szCs w:val="24"/>
        </w:rPr>
        <w:t xml:space="preserve"> rightly identify that the state’s capacity for radical change is circumscribed by both relations within and across the state. </w:t>
      </w:r>
    </w:p>
    <w:p w14:paraId="38EB472C" w14:textId="19F8B5EA" w:rsidR="00A1577B" w:rsidRPr="00662E51" w:rsidRDefault="00A1577B" w:rsidP="00F56305">
      <w:pPr>
        <w:spacing w:line="360" w:lineRule="auto"/>
        <w:ind w:left="0" w:firstLine="720"/>
        <w:rPr>
          <w:szCs w:val="24"/>
        </w:rPr>
      </w:pPr>
      <w:r w:rsidRPr="00662E51">
        <w:rPr>
          <w:szCs w:val="24"/>
        </w:rPr>
        <w:t xml:space="preserve">What happens, then, when an outside force captures the state and turns it back on itself? The case of StopHDV and its related takeover of Haringey council </w:t>
      </w:r>
      <w:r w:rsidRPr="00662E51">
        <w:rPr>
          <w:szCs w:val="24"/>
        </w:rPr>
        <w:lastRenderedPageBreak/>
        <w:t xml:space="preserve">offers a unique perspective on the relational ensemble of the state. In this </w:t>
      </w:r>
      <w:r w:rsidR="00B7253B" w:rsidRPr="00662E51">
        <w:rPr>
          <w:szCs w:val="24"/>
        </w:rPr>
        <w:t>chapter,</w:t>
      </w:r>
      <w:r w:rsidRPr="00662E51">
        <w:rPr>
          <w:szCs w:val="24"/>
        </w:rPr>
        <w:t xml:space="preserve"> I analysed the campaign and takeover from the perspective of Badiou’s theories of the event and the state revolutionary. Badiou’s conception of the event is complex but can be explained simply as a reversal in the structure of voices, i.e., of decision-making and power. This does not mean taking into account all present voices in a liberal fashion. Rather it is a process through which missing voices are made “maximally existent” in a given circumstance </w:t>
      </w:r>
      <w:r w:rsidRPr="00662E51">
        <w:rPr>
          <w:szCs w:val="24"/>
        </w:rPr>
        <w:fldChar w:fldCharType="begin"/>
      </w:r>
      <w:r w:rsidR="008835AB" w:rsidRPr="00662E51">
        <w:rPr>
          <w:szCs w:val="24"/>
        </w:rPr>
        <w:instrText xml:space="preserve"> ADDIN ZOTERO_ITEM CSL_CITATION {"citationID":"9ja3f96E","properties":{"formattedCitation":"(Paccoud 2019, 342)","plainCitation":"(Paccoud 2019, 342)","noteIndex":0},"citationItems":[{"id":5584,"uris":["http://zotero.org/users/8977980/items/ASA2TBJM"],"itemData":{"id":5584,"type":"article-journal","abstract":"The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Saint-Simon","volume":"18","author":[{"family":"Paccoud","given":"Antoine"}],"issued":{"date-parts":[["2019",8,1]]}},"locator":"342","label":"page"}],"schema":"https://github.com/citation-style-language/schema/raw/master/csl-citation.json"} </w:instrText>
      </w:r>
      <w:r w:rsidRPr="00662E51">
        <w:rPr>
          <w:szCs w:val="24"/>
        </w:rPr>
        <w:fldChar w:fldCharType="separate"/>
      </w:r>
      <w:r w:rsidR="0095662D" w:rsidRPr="00662E51">
        <w:t>(Paccoud 2019, 342)</w:t>
      </w:r>
      <w:r w:rsidRPr="00662E51">
        <w:rPr>
          <w:szCs w:val="24"/>
        </w:rPr>
        <w:fldChar w:fldCharType="end"/>
      </w:r>
      <w:r w:rsidRPr="00662E51">
        <w:rPr>
          <w:szCs w:val="24"/>
        </w:rPr>
        <w:t xml:space="preserve">. Events are caused by subjects, which, as a formal term, includes all manner of individuals and institutions. The state revolutionary is an evental subject that works </w:t>
      </w:r>
      <w:r w:rsidRPr="00662E51">
        <w:rPr>
          <w:i/>
          <w:iCs/>
          <w:szCs w:val="24"/>
        </w:rPr>
        <w:t xml:space="preserve">through the state, </w:t>
      </w:r>
      <w:r w:rsidRPr="00662E51">
        <w:rPr>
          <w:szCs w:val="24"/>
        </w:rPr>
        <w:t xml:space="preserve">using its powers to invert a structure of voices. </w:t>
      </w:r>
    </w:p>
    <w:p w14:paraId="35162DC4" w14:textId="2BFE0639" w:rsidR="00A1577B" w:rsidRPr="00662E51" w:rsidRDefault="00A1577B" w:rsidP="00F56305">
      <w:pPr>
        <w:spacing w:line="360" w:lineRule="auto"/>
        <w:ind w:left="0" w:firstLine="720"/>
        <w:rPr>
          <w:szCs w:val="24"/>
        </w:rPr>
      </w:pPr>
      <w:r w:rsidRPr="00662E51">
        <w:rPr>
          <w:szCs w:val="24"/>
        </w:rPr>
        <w:t xml:space="preserve">I have demonstrated how Badiou’s conception of state revolutionary </w:t>
      </w:r>
      <w:r w:rsidR="00C81DCD">
        <w:rPr>
          <w:szCs w:val="24"/>
        </w:rPr>
        <w:t xml:space="preserve">helps explain </w:t>
      </w:r>
      <w:r w:rsidRPr="00662E51">
        <w:rPr>
          <w:szCs w:val="24"/>
        </w:rPr>
        <w:t>the relationship(s) between political parties and the local state</w:t>
      </w:r>
      <w:r w:rsidR="00B72615">
        <w:rPr>
          <w:szCs w:val="24"/>
        </w:rPr>
        <w:t xml:space="preserve"> through its elucidation of the category of the event and its </w:t>
      </w:r>
      <w:r w:rsidR="002B36AA">
        <w:rPr>
          <w:szCs w:val="24"/>
        </w:rPr>
        <w:t>undecided nature</w:t>
      </w:r>
      <w:r w:rsidR="00DE4050">
        <w:rPr>
          <w:szCs w:val="24"/>
        </w:rPr>
        <w:t>, as well as the emphasis placed on non-state actors who are part of the StopHDV sub</w:t>
      </w:r>
      <w:r w:rsidR="00B605B5">
        <w:rPr>
          <w:szCs w:val="24"/>
        </w:rPr>
        <w:t>j</w:t>
      </w:r>
      <w:r w:rsidR="00DE4050">
        <w:rPr>
          <w:szCs w:val="24"/>
        </w:rPr>
        <w:t>ect.</w:t>
      </w:r>
      <w:r w:rsidR="002B36AA">
        <w:rPr>
          <w:szCs w:val="24"/>
        </w:rPr>
        <w:t xml:space="preserve"> This approach </w:t>
      </w:r>
      <w:r w:rsidR="00B30CB3">
        <w:rPr>
          <w:szCs w:val="24"/>
        </w:rPr>
        <w:t xml:space="preserve">thus </w:t>
      </w:r>
      <w:r w:rsidR="002B36AA">
        <w:rPr>
          <w:szCs w:val="24"/>
        </w:rPr>
        <w:t xml:space="preserve">differs from others in </w:t>
      </w:r>
      <w:r w:rsidR="00B30CB3">
        <w:rPr>
          <w:szCs w:val="24"/>
        </w:rPr>
        <w:t xml:space="preserve">its expanded conception of the subject and novel interpretation of the event. </w:t>
      </w:r>
      <w:r w:rsidRPr="00662E51">
        <w:rPr>
          <w:szCs w:val="24"/>
        </w:rPr>
        <w:t xml:space="preserve">I started with the murky situation that preceded the event, connecting it the Labour Party’s internal multiplicity exacerbated by Jeremy Corbyn’s ascension to party leader and the subsequent change in the party’s makeup. I next introduced the state revolutionary: the StopHDV subject that cancelled the Vehicle. As subjects can comprise many actors, I only considered councillors and council staff. I recounted how councillors were broadly opposed to the Vehicle as well as how the relations between councillors were fundamental in understanding the Vehicle’s cancellation and the StopHDV campaign. I also relayed the relationships between councillors and council staff, emphasising how state actors often prioritised manufacturing consensus rather than engaging in negotiation. I finally considered the event itself—the cancellation of the Vehicle—and its aftermath. Although any event “will call forth reaction and is ultimately short-lived” </w:t>
      </w:r>
      <w:r w:rsidRPr="00662E51">
        <w:rPr>
          <w:szCs w:val="24"/>
        </w:rPr>
        <w:fldChar w:fldCharType="begin"/>
      </w:r>
      <w:r w:rsidR="008835AB" w:rsidRPr="00662E51">
        <w:rPr>
          <w:szCs w:val="24"/>
        </w:rPr>
        <w:instrText xml:space="preserve"> ADDIN ZOTERO_ITEM CSL_CITATION {"citationID":"gWYpEbpb","properties":{"formattedCitation":"(Paccoud 2019, 355)","plainCitation":"(Paccoud 2019, 355)","noteIndex":0},"citationItems":[{"id":5584,"uris":["http://zotero.org/users/8977980/items/ASA2TBJM"],"itemData":{"id":5584,"type":"article-journal","abstract":"The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Saint-Simon","volume":"18","author":[{"family":"Paccoud","given":"Antoine"}],"issued":{"date-parts":[["2019",8,1]]}},"locator":"355"}],"schema":"https://github.com/citation-style-language/schema/raw/master/csl-citation.json"} </w:instrText>
      </w:r>
      <w:r w:rsidRPr="00662E51">
        <w:rPr>
          <w:szCs w:val="24"/>
        </w:rPr>
        <w:fldChar w:fldCharType="separate"/>
      </w:r>
      <w:r w:rsidR="0095662D" w:rsidRPr="00662E51">
        <w:t>(Paccoud 2019, 355)</w:t>
      </w:r>
      <w:r w:rsidRPr="00662E51">
        <w:rPr>
          <w:szCs w:val="24"/>
        </w:rPr>
        <w:fldChar w:fldCharType="end"/>
      </w:r>
      <w:r w:rsidRPr="00662E51">
        <w:rPr>
          <w:szCs w:val="24"/>
        </w:rPr>
        <w:t xml:space="preserve">, I detailed how the HDV’s withdrawal has had knock-on impacts that have had material impacts on housing development in London. </w:t>
      </w:r>
    </w:p>
    <w:p w14:paraId="2EE67652" w14:textId="3BD196F3" w:rsidR="00A1577B" w:rsidRPr="00662E51" w:rsidRDefault="00A1577B" w:rsidP="00F56305">
      <w:pPr>
        <w:spacing w:line="360" w:lineRule="auto"/>
        <w:ind w:left="0" w:firstLine="720"/>
        <w:rPr>
          <w:szCs w:val="24"/>
        </w:rPr>
      </w:pPr>
      <w:r w:rsidRPr="00662E51">
        <w:rPr>
          <w:szCs w:val="24"/>
        </w:rPr>
        <w:t xml:space="preserve">This analysis emphasised the role of political parties in policy development and implementation, adding to a growing body of literature on the significance of </w:t>
      </w:r>
      <w:r w:rsidRPr="00662E51">
        <w:rPr>
          <w:szCs w:val="24"/>
        </w:rPr>
        <w:lastRenderedPageBreak/>
        <w:t xml:space="preserve">political parties </w:t>
      </w:r>
      <w:r w:rsidRPr="00662E51">
        <w:rPr>
          <w:szCs w:val="24"/>
        </w:rPr>
        <w:fldChar w:fldCharType="begin"/>
      </w:r>
      <w:r w:rsidR="00557CA9" w:rsidRPr="00662E51">
        <w:rPr>
          <w:szCs w:val="24"/>
        </w:rPr>
        <w:instrText xml:space="preserve"> ADDIN ZOTERO_ITEM CSL_CITATION {"citationID":"dPgSsaQo","properties":{"formattedCitation":"(Halvorsen 2020)","plainCitation":"(Halvorsen 2020)","noteIndex":0},"citationItems":[{"id":5547,"uris":["http://zotero.org/users/8977980/items/5PSXDI9P"],"itemData":{"id":5547,"type":"article-journal","abstract":"How and why does geography inform the organisational strategies of political parties?\n              Encuentro por la Democracia y la Equidad\n              (Encounter for Democracy and Equity, hereafter EDE) is a centre</w:instrText>
      </w:r>
      <w:r w:rsidR="00557CA9" w:rsidRPr="00662E51">
        <w:rPr>
          <w:rFonts w:ascii="Cambria Math" w:hAnsi="Cambria Math" w:cs="Cambria Math"/>
          <w:szCs w:val="24"/>
        </w:rPr>
        <w:instrText>‐</w:instrText>
      </w:r>
      <w:r w:rsidR="00557CA9" w:rsidRPr="00662E51">
        <w:rPr>
          <w:szCs w:val="24"/>
        </w:rPr>
        <w:instrText>left Argentine political party that, since arriving in Buenos Aires in 2008, quickly became one of the largest oppositional parties in the city in terms of its activist base and electoral representation. This was achieved by explicitly prioritising a territorial organisational strategy: building the party at the scale of the neighbourhood by opening branches, accumulating activists and constructing linkages with civil society. Through a qualitative analysis of EDE's organisational strategy over 10 years (2008–2018), the paper proposes four dimensions for understanding the relationship between grassroots territorial organising and party strategy: party</w:instrText>
      </w:r>
      <w:r w:rsidR="00557CA9" w:rsidRPr="00662E51">
        <w:rPr>
          <w:rFonts w:ascii="Cambria Math" w:hAnsi="Cambria Math" w:cs="Cambria Math"/>
          <w:szCs w:val="24"/>
        </w:rPr>
        <w:instrText>‐</w:instrText>
      </w:r>
      <w:r w:rsidR="00557CA9" w:rsidRPr="00662E51">
        <w:rPr>
          <w:szCs w:val="24"/>
        </w:rPr>
        <w:instrText>building; electoral success; democratic linkages; and alliance building. The findings are of relevance not only to party</w:instrText>
      </w:r>
      <w:r w:rsidR="00557CA9" w:rsidRPr="00662E51">
        <w:rPr>
          <w:rFonts w:ascii="Cambria Math" w:hAnsi="Cambria Math" w:cs="Cambria Math"/>
          <w:szCs w:val="24"/>
        </w:rPr>
        <w:instrText>‐</w:instrText>
      </w:r>
      <w:r w:rsidR="00557CA9" w:rsidRPr="00662E51">
        <w:rPr>
          <w:szCs w:val="24"/>
        </w:rPr>
        <w:instrText>building in Latin America but also to the recent surge of territorial organising in parties in Europe. The paper makes three contributions to geographical literature. First, it adds to limited Anglophone geographical engagements with Latin American electoral and party politics by highlighting the centrality of spatiality to party</w:instrText>
      </w:r>
      <w:r w:rsidR="00557CA9" w:rsidRPr="00662E51">
        <w:rPr>
          <w:rFonts w:ascii="Cambria Math" w:hAnsi="Cambria Math" w:cs="Cambria Math"/>
          <w:szCs w:val="24"/>
        </w:rPr>
        <w:instrText>‐</w:instrText>
      </w:r>
      <w:r w:rsidR="00557CA9" w:rsidRPr="00662E51">
        <w:rPr>
          <w:szCs w:val="24"/>
        </w:rPr>
        <w:instrText>building. Second, it emphasises sub</w:instrText>
      </w:r>
      <w:r w:rsidR="00557CA9" w:rsidRPr="00662E51">
        <w:rPr>
          <w:rFonts w:ascii="Cambria Math" w:hAnsi="Cambria Math" w:cs="Cambria Math"/>
          <w:szCs w:val="24"/>
        </w:rPr>
        <w:instrText>‐</w:instrText>
      </w:r>
      <w:r w:rsidR="00557CA9" w:rsidRPr="00662E51">
        <w:rPr>
          <w:szCs w:val="24"/>
        </w:rPr>
        <w:instrText xml:space="preserve">national dynamics of party organising, contributing to a dismantling of methodological state centrism that pervades party scholarship. Third, it develops a geographical analytical approach to party organisation that demonstrates how sociospatial relations constitute parties' unfolding relations with the state and civil society.\n            \n          , \n            How and why does geography inform the organisational strategies of political parties? The paper proposes a model for analysing the geography of political parties by focusing on the relationship between territory and party organisation. It draws on empirical work in Buenos Aires to outline four dimensions through which parties strategically organise in and through territory in order to pursue their objectives.","container-title":"Transactions of the Institute of British Geographers","DOI":"10.1111/tran.12343","ISSN":"0020-2754, 1475-5661","issue":"2","journalAbbreviation":"Trans Inst British Geog","language":"en","page":"242-255","source":"DOI.org (Crossref)","title":"The geography of political parties: Territory and organisational strategies in Buenos Aires","title-short":"The geography of political parties","volume":"45","author":[{"family":"Halvorsen","given":"Sam"}],"issued":{"date-parts":[["2020",6]]}}}],"schema":"https://github.com/citation-style-language/schema/raw/master/csl-citation.json"} </w:instrText>
      </w:r>
      <w:r w:rsidRPr="00662E51">
        <w:rPr>
          <w:szCs w:val="24"/>
        </w:rPr>
        <w:fldChar w:fldCharType="separate"/>
      </w:r>
      <w:r w:rsidR="0095662D" w:rsidRPr="00662E51">
        <w:t>(Halvorsen 2020)</w:t>
      </w:r>
      <w:r w:rsidRPr="00662E51">
        <w:rPr>
          <w:szCs w:val="24"/>
        </w:rPr>
        <w:fldChar w:fldCharType="end"/>
      </w:r>
      <w:r w:rsidRPr="00662E51">
        <w:rPr>
          <w:szCs w:val="24"/>
        </w:rPr>
        <w:t xml:space="preserve">. The </w:t>
      </w:r>
      <w:r w:rsidR="009F076A" w:rsidRPr="00662E51">
        <w:rPr>
          <w:szCs w:val="24"/>
        </w:rPr>
        <w:t xml:space="preserve">chapter </w:t>
      </w:r>
      <w:r w:rsidRPr="00662E51">
        <w:rPr>
          <w:szCs w:val="24"/>
        </w:rPr>
        <w:t xml:space="preserve">also further expands our understandings of councillors as policymakers and political representatives, caught in relational webs that structure and are structured by their actions. </w:t>
      </w:r>
      <w:r w:rsidR="00C809B0">
        <w:rPr>
          <w:szCs w:val="24"/>
        </w:rPr>
        <w:t>T</w:t>
      </w:r>
      <w:r w:rsidRPr="00662E51">
        <w:rPr>
          <w:szCs w:val="24"/>
        </w:rPr>
        <w:t xml:space="preserve">his work insists that scholars consider how the state actually governs. Badiou’s theories, then, assisted in tracking these webs—emphasising their contingent and ever-changing nature can be exploited to cause material change </w:t>
      </w:r>
      <w:r w:rsidRPr="00662E51">
        <w:rPr>
          <w:szCs w:val="24"/>
        </w:rPr>
        <w:fldChar w:fldCharType="begin"/>
      </w:r>
      <w:r w:rsidR="008835AB" w:rsidRPr="00662E51">
        <w:rPr>
          <w:szCs w:val="24"/>
        </w:rPr>
        <w:instrText xml:space="preserve"> ADDIN ZOTERO_ITEM CSL_CITATION {"citationID":"IiKbe5Sw","properties":{"formattedCitation":"(Paccoud 2019)","plainCitation":"(Paccoud 2019)","noteIndex":0},"citationItems":[{"id":5584,"uris":["http://zotero.org/users/8977980/items/ASA2TBJM"],"itemData":{"id":5584,"type":"article-journal","abstract":"The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Saint-Simon","volume":"18","author":[{"family":"Paccoud","given":"Antoine"}],"issued":{"date-parts":[["2019",8,1]]}}}],"schema":"https://github.com/citation-style-language/schema/raw/master/csl-citation.json"} </w:instrText>
      </w:r>
      <w:r w:rsidRPr="00662E51">
        <w:rPr>
          <w:szCs w:val="24"/>
        </w:rPr>
        <w:fldChar w:fldCharType="separate"/>
      </w:r>
      <w:r w:rsidR="0095662D" w:rsidRPr="00662E51">
        <w:t>(Paccoud 2019)</w:t>
      </w:r>
      <w:r w:rsidRPr="00662E51">
        <w:rPr>
          <w:szCs w:val="24"/>
        </w:rPr>
        <w:fldChar w:fldCharType="end"/>
      </w:r>
      <w:r w:rsidRPr="00662E51">
        <w:rPr>
          <w:szCs w:val="24"/>
        </w:rPr>
        <w:t xml:space="preserve">. Long-standing local parties have mixed records on engendering material change. Parties often merely engage in managerial tactics, funnelling dissent into acceptable moulds </w:t>
      </w:r>
      <w:r w:rsidRPr="00662E51">
        <w:rPr>
          <w:szCs w:val="24"/>
        </w:rPr>
        <w:fldChar w:fldCharType="begin"/>
      </w:r>
      <w:r w:rsidR="008835AB" w:rsidRPr="00662E51">
        <w:rPr>
          <w:szCs w:val="24"/>
        </w:rPr>
        <w:instrText xml:space="preserve"> ADDIN ZOTERO_ITEM CSL_CITATION {"citationID":"7y2sdEwp","properties":{"formattedCitation":"(Horton and Penny 2024; Ormerod 2021)","plainCitation":"(Horton and Penny 2024; Ormerod 2021)","noteIndex":0},"citationItems":[{"id":5697,"uris":["http://zotero.org/users/8977980/items/ZPYXM7A6"],"itemData":{"id":5697,"type":"book","ISBN":"978-1-80008-710-1","language":"eng","note":"OCLC: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95662D" w:rsidRPr="00662E51">
        <w:t>(Horton and Penny 2024; Ormerod 2021)</w:t>
      </w:r>
      <w:r w:rsidRPr="00662E51">
        <w:rPr>
          <w:szCs w:val="24"/>
        </w:rPr>
        <w:fldChar w:fldCharType="end"/>
      </w:r>
      <w:r w:rsidRPr="00662E51">
        <w:rPr>
          <w:szCs w:val="24"/>
        </w:rPr>
        <w:t xml:space="preserve">. Haringey is no different. Indeed, expecting revolutionary change after a council takeover is naïve. However, this state-phobic perspective ignores the relations that constitute the state as well as the savvy actors who endeavour to turn the state back on itself. Among the Left’s discussions about Britain’s future is a rediscovered sense that the state will often fail at making material change </w:t>
      </w:r>
      <w:r w:rsidRPr="00662E51">
        <w:rPr>
          <w:szCs w:val="24"/>
        </w:rPr>
        <w:fldChar w:fldCharType="begin"/>
      </w:r>
      <w:r w:rsidR="008835AB" w:rsidRPr="00662E51">
        <w:rPr>
          <w:szCs w:val="24"/>
        </w:rPr>
        <w:instrText xml:space="preserve"> ADDIN ZOTERO_ITEM CSL_CITATION {"citationID":"X0YOVhPT","properties":{"formattedCitation":"(LEWRG, [1980] 2021)","plainCitation":"(LEWRG, [1980] 2021)","noteIndex":0},"citationItems":[{"id":5812,"uris":["http://zotero.org/users/8977980/items/UXF4CXWN"],"itemData":{"id":5812,"type":"book","abstract":"Originally published as a pamphlet in 1979 and again by Pluto in 1980, In and Against the State brought together questions of working class struggle and state power, exploring how revolutionary socialists might reconcile working in the public sector with their radical politics. Informed by autonomist political ideas and practices that were central to the protests of 1968, the book's authors spoke to a generation of activists wrestling with where to place their energies. Forty years have passed, yet the questions it posed are still to be answered. Socialist activists continue to face a wave of Tory-led austerity measures involving hospital closures, a deepening housing crisis and attacks on social welfare provision. However, a new form of politics is emerging in the shadow of the neoliberal assault, one that may yet provide solutions. This edition includes a new introduction by Seth Wheeler and an interview with John McDonnell that reflect on the continuing relevance of In and Against the State and the questions it raises","edition":"New edition","ISBN":"978-0-7453-4181-1","language":"eng","number-of-pages":"154","publisher":"Pluto Press","publisher-place":"London","source":"K10plus ISBN","title":"In and against the state: discussion notes for socialists","title-short":"In and against the state","author":[{"literal":"London Edinburgh Weekend Return Group"}],"editor":[{"family":"Wheeler","given":"Seth"}],"issued":{"date-parts":[["2021"]]},"original-date":{"date-parts":[["1980"]]}},"label":"page","suppress-author":true,"prefix":"LEWRG, "}],"schema":"https://github.com/citation-style-language/schema/raw/master/csl-citation.json"} </w:instrText>
      </w:r>
      <w:r w:rsidRPr="00662E51">
        <w:rPr>
          <w:szCs w:val="24"/>
        </w:rPr>
        <w:fldChar w:fldCharType="separate"/>
      </w:r>
      <w:r w:rsidR="0095662D" w:rsidRPr="00662E51">
        <w:t>(LEWRG, [1980] 2021)</w:t>
      </w:r>
      <w:r w:rsidRPr="00662E51">
        <w:rPr>
          <w:szCs w:val="24"/>
        </w:rPr>
        <w:fldChar w:fldCharType="end"/>
      </w:r>
      <w:r w:rsidRPr="00662E51">
        <w:rPr>
          <w:szCs w:val="24"/>
        </w:rPr>
        <w:t xml:space="preserve">. Instead of passing quick judgement on the state, my analysis is an insistence on engaging in deeper investigations of how to make the state ‘work’ at the local level for all </w:t>
      </w:r>
      <w:r w:rsidRPr="00662E51">
        <w:rPr>
          <w:szCs w:val="24"/>
        </w:rPr>
        <w:fldChar w:fldCharType="begin"/>
      </w:r>
      <w:r w:rsidR="00557CA9" w:rsidRPr="00662E51">
        <w:rPr>
          <w:szCs w:val="24"/>
        </w:rPr>
        <w:instrText xml:space="preserve"> ADDIN ZOTERO_ITEM CSL_CITATION {"citationID":"S2y8DeWY","properties":{"formattedCitation":"(Ormerod 2021)","plainCitation":"(Ormerod 2021)","noteIndex":0},"citationItems":[{"id":3295,"uris":["http://zotero.org/users/8977980/items/UP7CRFTK"],"itemData":{"id":3295,"type":"article-journal","abstract":"This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95662D" w:rsidRPr="00662E51">
        <w:t>(Ormerod 2021)</w:t>
      </w:r>
      <w:r w:rsidRPr="00662E51">
        <w:rPr>
          <w:szCs w:val="24"/>
        </w:rPr>
        <w:fldChar w:fldCharType="end"/>
      </w:r>
      <w:r w:rsidRPr="00662E51">
        <w:rPr>
          <w:szCs w:val="24"/>
        </w:rPr>
        <w:t xml:space="preserve">. Such a research agenda reifies neither the state nor the party as an invincible monolith but instead as just another set of relationships that can be exploited in pursuit of radical change. </w:t>
      </w:r>
    </w:p>
    <w:p w14:paraId="5A55F184" w14:textId="77777777" w:rsidR="00A1577B" w:rsidRPr="00662E51" w:rsidRDefault="00A1577B" w:rsidP="00F56305">
      <w:pPr>
        <w:spacing w:line="360" w:lineRule="auto"/>
        <w:rPr>
          <w:szCs w:val="24"/>
        </w:rPr>
      </w:pPr>
      <w:r w:rsidRPr="00662E51">
        <w:rPr>
          <w:szCs w:val="24"/>
        </w:rPr>
        <w:br w:type="page"/>
      </w:r>
    </w:p>
    <w:p w14:paraId="52572F6E" w14:textId="23672DF4" w:rsidR="00621C17" w:rsidRPr="00662E51" w:rsidRDefault="00D60A56" w:rsidP="00DB0DB6">
      <w:pPr>
        <w:pStyle w:val="Style1"/>
      </w:pPr>
      <w:bookmarkStart w:id="421" w:name="_Toc213173979"/>
      <w:bookmarkStart w:id="422" w:name="_Toc216096180"/>
      <w:bookmarkStart w:id="423" w:name="_Toc221184368"/>
      <w:bookmarkStart w:id="424" w:name="_Toc231215286"/>
      <w:r w:rsidRPr="00662E51">
        <w:lastRenderedPageBreak/>
        <w:t xml:space="preserve">Chapter 7: </w:t>
      </w:r>
      <w:r w:rsidR="00B90FFB" w:rsidRPr="00662E51">
        <w:t>Local Parties, Authoritarian Neoliberalism, and Urban Change in Tottenham, London</w:t>
      </w:r>
      <w:bookmarkEnd w:id="421"/>
      <w:r w:rsidR="00D23A6F" w:rsidRPr="00BD17AF">
        <w:rPr>
          <w:rStyle w:val="FootnoteReference"/>
        </w:rPr>
        <w:footnoteReference w:id="58"/>
      </w:r>
      <w:bookmarkEnd w:id="422"/>
      <w:bookmarkEnd w:id="423"/>
      <w:bookmarkEnd w:id="424"/>
    </w:p>
    <w:p w14:paraId="5A57B8FD" w14:textId="5A523B3D" w:rsidR="003A09F2" w:rsidRDefault="003A09F2" w:rsidP="000E7CC1">
      <w:pPr>
        <w:tabs>
          <w:tab w:val="left" w:pos="546"/>
        </w:tabs>
        <w:spacing w:line="360" w:lineRule="auto"/>
        <w:ind w:left="0"/>
        <w:rPr>
          <w:szCs w:val="24"/>
        </w:rPr>
      </w:pPr>
      <w:r>
        <w:rPr>
          <w:szCs w:val="24"/>
        </w:rPr>
        <w:t>This chapter</w:t>
      </w:r>
      <w:r w:rsidR="004601D0">
        <w:rPr>
          <w:szCs w:val="24"/>
        </w:rPr>
        <w:t xml:space="preserve"> investigates</w:t>
      </w:r>
      <w:r w:rsidRPr="003A09F2">
        <w:rPr>
          <w:szCs w:val="24"/>
        </w:rPr>
        <w:t xml:space="preserve"> ongoing regeneration in Tottenham </w:t>
      </w:r>
      <w:r>
        <w:rPr>
          <w:szCs w:val="24"/>
        </w:rPr>
        <w:t xml:space="preserve">through a case study of the </w:t>
      </w:r>
      <w:r w:rsidRPr="003A09F2">
        <w:rPr>
          <w:szCs w:val="24"/>
        </w:rPr>
        <w:t xml:space="preserve">High Road West (HRW) redevelopment scheme. </w:t>
      </w:r>
      <w:r>
        <w:rPr>
          <w:szCs w:val="24"/>
        </w:rPr>
        <w:t xml:space="preserve">Building on Chapter 6, it </w:t>
      </w:r>
      <w:r w:rsidRPr="003A09F2">
        <w:rPr>
          <w:szCs w:val="24"/>
        </w:rPr>
        <w:t xml:space="preserve">also </w:t>
      </w:r>
      <w:r>
        <w:rPr>
          <w:szCs w:val="24"/>
        </w:rPr>
        <w:t xml:space="preserve">responds to </w:t>
      </w:r>
      <w:r w:rsidRPr="003A09F2">
        <w:rPr>
          <w:szCs w:val="24"/>
        </w:rPr>
        <w:t>Research Questions 2 and 3</w:t>
      </w:r>
      <w:r>
        <w:rPr>
          <w:szCs w:val="24"/>
        </w:rPr>
        <w:t>.</w:t>
      </w:r>
    </w:p>
    <w:p w14:paraId="4B89D23C" w14:textId="77777777" w:rsidR="00817BDA" w:rsidRPr="00662E51" w:rsidRDefault="00817BDA" w:rsidP="00817BDA">
      <w:pPr>
        <w:spacing w:line="360" w:lineRule="auto"/>
        <w:ind w:left="0"/>
        <w:jc w:val="center"/>
        <w:rPr>
          <w:szCs w:val="24"/>
        </w:rPr>
      </w:pPr>
      <w:r w:rsidRPr="00662E51">
        <w:rPr>
          <w:sz w:val="32"/>
          <w:szCs w:val="32"/>
        </w:rPr>
        <w:t>† † †</w:t>
      </w:r>
    </w:p>
    <w:p w14:paraId="75C37EAD" w14:textId="695A3740" w:rsidR="00621C17" w:rsidRPr="00662E51" w:rsidRDefault="003A09F2" w:rsidP="000E7CC1">
      <w:pPr>
        <w:tabs>
          <w:tab w:val="left" w:pos="546"/>
        </w:tabs>
        <w:spacing w:line="360" w:lineRule="auto"/>
        <w:ind w:left="0"/>
        <w:rPr>
          <w:szCs w:val="24"/>
        </w:rPr>
      </w:pPr>
      <w:r>
        <w:rPr>
          <w:szCs w:val="24"/>
        </w:rPr>
        <w:tab/>
      </w:r>
      <w:r w:rsidR="00621C17" w:rsidRPr="00662E51">
        <w:rPr>
          <w:szCs w:val="24"/>
        </w:rPr>
        <w:t xml:space="preserve">The last two decades of urban development have not only significantly transformed urban centres across the Global North but also have seen an increasing reliance on financial speculation. This newer form of change, speculative urban transformation, is another stage of neoliberal urban redevelopment that is oriented towards attracting capital back towards city centres. From Los Angeles to </w:t>
      </w:r>
      <w:r w:rsidR="00201508">
        <w:rPr>
          <w:szCs w:val="24"/>
        </w:rPr>
        <w:t>Melbourne</w:t>
      </w:r>
      <w:r w:rsidR="00621C17" w:rsidRPr="00662E51">
        <w:rPr>
          <w:szCs w:val="24"/>
        </w:rPr>
        <w:t xml:space="preserve">, cities have subsequently seen large-scale regeneration, state-led gentrification, and displacement in service of new homes and businesses. However, the internal contradictions in policy have meant that houses remain unaffordable for many. As a result, states have been unable to resolve a growing housing calamity—among other crises—which cumulatively contributed to major political crises across the Global North, engendering a ratcheting up of political action and organising </w:t>
      </w:r>
      <w:r w:rsidR="00621C17" w:rsidRPr="00662E51">
        <w:rPr>
          <w:szCs w:val="24"/>
        </w:rPr>
        <w:fldChar w:fldCharType="begin"/>
      </w:r>
      <w:r w:rsidR="00557CA9" w:rsidRPr="00662E51">
        <w:rPr>
          <w:szCs w:val="24"/>
        </w:rPr>
        <w:instrText xml:space="preserve"> ADDIN ZOTERO_ITEM CSL_CITATION {"citationID":"QZR2TnTM","properties":{"formattedCitation":"(Ormerod 2021)","plainCitation":"(Ormerod 2021)","noteIndex":0},"citationItems":[{"id":3295,"uris":["http://zotero.org/users/8977980/items/UP7CRFTK"],"itemData":{"id":3295,"type":"article-journal","abstract":"This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00621C17" w:rsidRPr="00662E51">
        <w:rPr>
          <w:szCs w:val="24"/>
        </w:rPr>
        <w:fldChar w:fldCharType="separate"/>
      </w:r>
      <w:r w:rsidR="0095662D" w:rsidRPr="00662E51">
        <w:t>(Ormerod 2021)</w:t>
      </w:r>
      <w:r w:rsidR="00621C17" w:rsidRPr="00662E51">
        <w:rPr>
          <w:szCs w:val="24"/>
        </w:rPr>
        <w:fldChar w:fldCharType="end"/>
      </w:r>
      <w:r w:rsidR="00621C17" w:rsidRPr="00662E51">
        <w:rPr>
          <w:szCs w:val="24"/>
        </w:rPr>
        <w:t>.</w:t>
      </w:r>
    </w:p>
    <w:p w14:paraId="67DFAC61" w14:textId="11406131" w:rsidR="00621C17" w:rsidRPr="00662E51" w:rsidRDefault="00621C17" w:rsidP="00F56305">
      <w:pPr>
        <w:tabs>
          <w:tab w:val="left" w:pos="546"/>
        </w:tabs>
        <w:spacing w:line="360" w:lineRule="auto"/>
        <w:ind w:left="0" w:firstLine="720"/>
        <w:rPr>
          <w:szCs w:val="24"/>
        </w:rPr>
      </w:pPr>
      <w:r w:rsidRPr="00662E51">
        <w:rPr>
          <w:szCs w:val="24"/>
        </w:rPr>
        <w:t xml:space="preserve">Notwithstanding activism, state practices of marketisation, labour disciplining, privatisation, and deregulation are reinforced through new practices to quell resistance and ensure neoliberalism’s persistence </w:t>
      </w:r>
      <w:r w:rsidRPr="00662E51">
        <w:rPr>
          <w:szCs w:val="24"/>
        </w:rPr>
        <w:fldChar w:fldCharType="begin"/>
      </w:r>
      <w:r w:rsidR="008835AB" w:rsidRPr="00662E51">
        <w:rPr>
          <w:szCs w:val="24"/>
        </w:rPr>
        <w:instrText xml:space="preserve"> ADDIN ZOTERO_ITEM CSL_CITATION {"citationID":"LTdX5bvL","properties":{"formattedCitation":"(Tansel 2017)","plainCitation":"(Tansel 2017)","noteIndex":0},"citationItems":[{"id":5807,"uris":["http://zotero.org/users/8977980/items/KGMGBNMC"],"itemData":{"id":5807,"type":"book","abstract":"Despite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Burak"}],"issued":{"date-parts":[["2017",2,8]]}}}],"schema":"https://github.com/citation-style-language/schema/raw/master/csl-citation.json"} </w:instrText>
      </w:r>
      <w:r w:rsidRPr="00662E51">
        <w:rPr>
          <w:szCs w:val="24"/>
        </w:rPr>
        <w:fldChar w:fldCharType="separate"/>
      </w:r>
      <w:r w:rsidR="0095662D" w:rsidRPr="00662E51">
        <w:t>(Tansel 2017)</w:t>
      </w:r>
      <w:r w:rsidRPr="00662E51">
        <w:rPr>
          <w:szCs w:val="24"/>
        </w:rPr>
        <w:fldChar w:fldCharType="end"/>
      </w:r>
      <w:r w:rsidRPr="00662E51">
        <w:rPr>
          <w:szCs w:val="24"/>
        </w:rPr>
        <w:t xml:space="preserve">. </w:t>
      </w:r>
      <w:r w:rsidR="003353E9" w:rsidRPr="00662E51">
        <w:rPr>
          <w:szCs w:val="24"/>
        </w:rPr>
        <w:t xml:space="preserve">These </w:t>
      </w:r>
      <w:r w:rsidR="00CE2775" w:rsidRPr="00662E51">
        <w:rPr>
          <w:szCs w:val="24"/>
        </w:rPr>
        <w:t>are authoritarian neoliberalism’s practices of centralisation and insulation</w:t>
      </w:r>
      <w:r w:rsidR="008D08EE" w:rsidRPr="00662E51">
        <w:rPr>
          <w:szCs w:val="24"/>
        </w:rPr>
        <w:t xml:space="preserve">, which </w:t>
      </w:r>
      <w:r w:rsidR="009B182C" w:rsidRPr="00662E51">
        <w:rPr>
          <w:szCs w:val="24"/>
        </w:rPr>
        <w:t>explain how neoliberalism is able to persist even in the face of this political resistance.</w:t>
      </w:r>
      <w:r w:rsidR="00CE2775" w:rsidRPr="00662E51">
        <w:rPr>
          <w:szCs w:val="24"/>
        </w:rPr>
        <w:t xml:space="preserve"> </w:t>
      </w:r>
      <w:r w:rsidR="00B86F0F" w:rsidRPr="00662E51">
        <w:rPr>
          <w:szCs w:val="24"/>
        </w:rPr>
        <w:fldChar w:fldCharType="begin"/>
      </w:r>
      <w:r w:rsidR="008835AB" w:rsidRPr="00662E51">
        <w:rPr>
          <w:szCs w:val="24"/>
        </w:rPr>
        <w:instrText xml:space="preserve"> ADDIN ZOTERO_ITEM CSL_CITATION {"citationID":"9SsZrm5n","properties":{"formattedCitation":"(Bruff 2014; Tansel 2017)","plainCitation":"(Bruff 2014; Tansel 2017)","noteIndex":0},"citationItems":[{"id":5773,"uris":["http://zotero.org/users/8977980/items/YQRZXUST"],"itemData":{"id":5773,"type":"article-journal","container-title":"Rethinking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Burak"}],"issued":{"date-parts":[["2017",2,8]]}}}],"schema":"https://github.com/citation-style-language/schema/raw/master/csl-citation.json"} </w:instrText>
      </w:r>
      <w:r w:rsidR="00B86F0F" w:rsidRPr="00662E51">
        <w:rPr>
          <w:szCs w:val="24"/>
        </w:rPr>
        <w:fldChar w:fldCharType="separate"/>
      </w:r>
      <w:r w:rsidR="00B86F0F" w:rsidRPr="00662E51">
        <w:t>(Bruff 2014; Tansel 2017)</w:t>
      </w:r>
      <w:r w:rsidR="00B86F0F" w:rsidRPr="00662E51">
        <w:rPr>
          <w:szCs w:val="24"/>
        </w:rPr>
        <w:fldChar w:fldCharType="end"/>
      </w:r>
      <w:r w:rsidRPr="00662E51">
        <w:rPr>
          <w:szCs w:val="24"/>
        </w:rPr>
        <w:t xml:space="preserve">. Yet, I argue that the state is not the only organ that maintains AN: political parties play a significant role in policy and are thus important to analyse </w:t>
      </w:r>
      <w:r w:rsidRPr="00662E51">
        <w:rPr>
          <w:szCs w:val="24"/>
        </w:rPr>
        <w:fldChar w:fldCharType="begin"/>
      </w:r>
      <w:r w:rsidR="008835AB" w:rsidRPr="00662E51">
        <w:rPr>
          <w:szCs w:val="24"/>
        </w:rPr>
        <w:instrText xml:space="preserve"> ADDIN ZOTERO_ITEM CSL_CITATION {"citationID":"SBQ6vtO3","properties":{"formattedCitation":"(Ormerod and MacLeod 2019)","plainCitation":"(Ormerod and MacLeod 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0095662D" w:rsidRPr="00662E51">
        <w:t>(Ormerod and MacLeod 2019)</w:t>
      </w:r>
      <w:r w:rsidRPr="00662E51">
        <w:rPr>
          <w:szCs w:val="24"/>
        </w:rPr>
        <w:fldChar w:fldCharType="end"/>
      </w:r>
      <w:r w:rsidRPr="00662E51">
        <w:rPr>
          <w:szCs w:val="24"/>
        </w:rPr>
        <w:t xml:space="preserve">. As Ormerod </w:t>
      </w:r>
      <w:r w:rsidRPr="00662E51">
        <w:rPr>
          <w:szCs w:val="24"/>
        </w:rPr>
        <w:fldChar w:fldCharType="begin"/>
      </w:r>
      <w:r w:rsidRPr="00662E51">
        <w:rPr>
          <w:szCs w:val="24"/>
        </w:rPr>
        <w:instrText xml:space="preserve"> ADDIN ZOTERO_ITEM CSL_CITATION {"citationID":"ZrVv6qBq","properties":{"formattedCitation":"(2021)","plainCitation":"(2021)","noteIndex":0},"citationItems":[{"id":3295,"uris":["http://zotero.org/users/8977980/items/UP7CRFTK"],"itemData":{"id":3295,"type":"article-journal","abstract":"This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abel":"page","suppress-author":true}],"schema":"https://github.com/citation-style-language/schema/raw/master/csl-citation.json"} </w:instrText>
      </w:r>
      <w:r w:rsidRPr="00662E51">
        <w:rPr>
          <w:szCs w:val="24"/>
        </w:rPr>
        <w:fldChar w:fldCharType="separate"/>
      </w:r>
      <w:r w:rsidR="0095662D" w:rsidRPr="00662E51">
        <w:t>(2021)</w:t>
      </w:r>
      <w:r w:rsidRPr="00662E51">
        <w:rPr>
          <w:szCs w:val="24"/>
        </w:rPr>
        <w:fldChar w:fldCharType="end"/>
      </w:r>
      <w:r w:rsidRPr="00662E51">
        <w:rPr>
          <w:szCs w:val="24"/>
        </w:rPr>
        <w:t xml:space="preserve"> indicates, scholars have undertheorised the relationship between the state and the party, particularly at a local level. Though there has been some work in this area </w:t>
      </w:r>
      <w:r w:rsidR="00B41300" w:rsidRPr="00662E51">
        <w:rPr>
          <w:szCs w:val="24"/>
        </w:rPr>
        <w:lastRenderedPageBreak/>
        <w:fldChar w:fldCharType="begin"/>
      </w:r>
      <w:r w:rsidR="00213B80">
        <w:rPr>
          <w:szCs w:val="24"/>
        </w:rPr>
        <w:instrText xml:space="preserve"> ADDIN ZOTERO_ITEM CSL_CITATION {"citationID":"FtIPrNDR","properties":{"formattedCitation":"(e.g., \\uc0\\u214{}zden et al. 2017; J. Ward and Ward 2023)","plainCitation":"(e.g., Özden et al. 2017; J. Ward and Ward 2023)","noteIndex":0},"citationItems":[{"id":6480,"uris":["http://zotero.org/users/8977980/items/XU857UJW"],"itemData":{"id":6480,"type":"chapter","abstract":"Authoritarian neoliberalism : towards a new research agenda / Cemal Burak Tansel -- Authoritarian neoliberalism and the disciplining of labour / Mònica Clua-Losada and Olatz Ribera-Almandoz -- Commodified pacification : police, commercial security and the state / Kendra Briken and Volker Eick -- Bodies in resistance : conversations on gender, body politics and authoritarian neoliberalism / Wendy Harcourt -- The right to starve : hunger, discipline and labour market restructuring under authoritarian neoliberalism / Sébastien Rioux -- Urban transformation under authoritarian neoliberalism / Annalena di Giovanni -- From Mare Nostrum to Triton : humanitarian emergencies and neoliberal migration management in the Mediterranean / Luca Manunza -- Cease to exist? : the European \"social\" model and the hardening of \"soft\" EU law / Ian Bruff -- The authoritarian and disciplinary mechanism of reduced sovereignty in the EU : the case of Greece / Panagiotis Sotiris -- Antinomies of authoritarian neoliberalism in Turkey : the Justice and Development Party era / Baris Alp Özden, Ismet Akça and Ahmet Bekmen -- Resistance and passive revolution in Egypt and Morocco / Brecht De Smet and Koenraad Bogaert -- Klepto-neoliberalism : authoritarianism and patronage in Cambodia / Simon Springer -- Variegated neoliberalization as a function and outcome of neo-authoritarianism in China / Kean Fan Lim -- Postscript / Cynthia Enloe","collection-title":"Transforming capitalism","container-title":"States of discipline: authoritarian neoliberalism and the contested reproduction of capitalist order","ISBN":"978-1-78348-620-5","language":"eng","publisher":"Rowman &amp; Littlefield International","publisher-place":"London","title":"Antinomies of Authoritarian Neoliberalism in Turkey: The Justice and Development Party Era","editor":[{"family":"Tansel","given":"Cemal Burak"}],"author":[{"family":"Özden","given":"Barış Alp"},{"family":"Akça","given":"İsmet"},{"family":"Bekmen","given":"Ahmet"}],"issued":{"date-parts":[["2017"]]}},"prefix":"e.g., "},{"id":7101,"uris":["http://zotero.org/users/8977980/items/4CPII9LX"],"itemData":{"id":7101,"type":"article-journal","abstract":"Many commentators have suggested that the first 18 months of the Johnson government were characterised by a propensity to centralise power. However, few accounts have situated the administration in the historical context of the British state or systematically examined these centralising tendencies. This article attempts to address these omissions. First, through a critical assessment of the literature on authoritarian neoliberalism, the concept of ‘executive centralisation’ is developed within the context of the British state. Second, the article applies this revised framework to the early stages of the Johnson government. While a dominant executive is a long-standing feature of the British political system, it is argued that Johnson has pursued a multifaceted centralisation strategy facilitated by the context of Brexit and COVID-19. In identifying the role of consent in this process, the article augments scholarship on ‘authoritarian neoliberalism’ as a moment in neoliberal governance characterised by the ascendance of coercive governing strategies.","container-title":"Political Studies","DOI":"10.1177/00323217211063730","ISSN":"0032-3217","issue":"4","language":"EN","page":"1171-1189","publisher":"SAGE Publications Ltd","source":"SAGE Journals","title":"From Brexit to COVID-19: The Johnson Government, Executive Centralisation and Authoritarian Populism","title-short":"From Brexit to COVID-19","volume":"71","author":[{"family":"Ward","given":"Joseph"},{"family":"Ward","given":"Bradley"}],"issued":{"date-parts":[["2023",11,1]]}}}],"schema":"https://github.com/citation-style-language/schema/raw/master/csl-citation.json"} </w:instrText>
      </w:r>
      <w:r w:rsidR="00B41300" w:rsidRPr="00662E51">
        <w:rPr>
          <w:szCs w:val="24"/>
        </w:rPr>
        <w:fldChar w:fldCharType="separate"/>
      </w:r>
      <w:r w:rsidR="00213B80" w:rsidRPr="00213B80">
        <w:rPr>
          <w:rFonts w:cs="Times New Roman"/>
          <w:kern w:val="0"/>
        </w:rPr>
        <w:t>(e.g., Özden et al. 2017; J. Ward and Ward 2023)</w:t>
      </w:r>
      <w:r w:rsidR="00B41300" w:rsidRPr="00662E51">
        <w:rPr>
          <w:szCs w:val="24"/>
        </w:rPr>
        <w:fldChar w:fldCharType="end"/>
      </w:r>
      <w:r w:rsidR="00B41300" w:rsidRPr="00662E51">
        <w:rPr>
          <w:szCs w:val="24"/>
        </w:rPr>
        <w:t>,</w:t>
      </w:r>
      <w:r w:rsidRPr="00662E51">
        <w:rPr>
          <w:szCs w:val="24"/>
        </w:rPr>
        <w:t xml:space="preserve"> more is needed to explain how local states are able to continue neoliberal policies in the face of strong opposition.</w:t>
      </w:r>
    </w:p>
    <w:p w14:paraId="0AE4F70F" w14:textId="2A4D49A4" w:rsidR="00621C17" w:rsidRPr="00662E51" w:rsidRDefault="00B32887" w:rsidP="00F56305">
      <w:pPr>
        <w:tabs>
          <w:tab w:val="left" w:pos="546"/>
        </w:tabs>
        <w:spacing w:line="360" w:lineRule="auto"/>
        <w:ind w:left="0" w:firstLine="720"/>
        <w:rPr>
          <w:szCs w:val="24"/>
        </w:rPr>
      </w:pPr>
      <w:r w:rsidRPr="00B32887">
        <w:rPr>
          <w:szCs w:val="24"/>
        </w:rPr>
        <w:t>This chapter examines the question of the persistence of neoliberalism despite opposition by using</w:t>
      </w:r>
      <w:r>
        <w:rPr>
          <w:szCs w:val="24"/>
        </w:rPr>
        <w:t xml:space="preserve"> </w:t>
      </w:r>
      <w:r w:rsidR="00621C17" w:rsidRPr="00662E51">
        <w:rPr>
          <w:szCs w:val="24"/>
        </w:rPr>
        <w:t>authoritarian neoliberalism and theories of the local state to examine High Road West (HRW), an ongoing regeneration scheme in Haringey, London. Overlapping and persisting beyond the Haringey Development Vehicle (</w:t>
      </w:r>
      <w:r w:rsidR="00976152" w:rsidRPr="00662E51">
        <w:rPr>
          <w:szCs w:val="24"/>
        </w:rPr>
        <w:t>Chapter 6</w:t>
      </w:r>
      <w:r w:rsidR="00621C17" w:rsidRPr="00662E51">
        <w:rPr>
          <w:szCs w:val="24"/>
        </w:rPr>
        <w:t>), HRW is a live project.</w:t>
      </w:r>
      <w:r w:rsidR="001138D5" w:rsidRPr="00662E51">
        <w:rPr>
          <w:szCs w:val="24"/>
        </w:rPr>
        <w:t xml:space="preserve"> </w:t>
      </w:r>
      <w:r w:rsidR="00812FD7" w:rsidRPr="00662E51">
        <w:rPr>
          <w:szCs w:val="24"/>
        </w:rPr>
        <w:t>Section 1.</w:t>
      </w:r>
      <w:r w:rsidR="00DD2A9F">
        <w:rPr>
          <w:szCs w:val="24"/>
        </w:rPr>
        <w:t>4.3</w:t>
      </w:r>
      <w:r w:rsidR="00812FD7" w:rsidRPr="00662E51">
        <w:rPr>
          <w:szCs w:val="24"/>
        </w:rPr>
        <w:t xml:space="preserve"> reviews the scheme in more detail but it is important to reiterate that</w:t>
      </w:r>
      <w:r w:rsidR="00F80345" w:rsidRPr="00662E51">
        <w:rPr>
          <w:szCs w:val="24"/>
        </w:rPr>
        <w:t>, unlike the Vehicle,</w:t>
      </w:r>
      <w:r w:rsidR="00812FD7" w:rsidRPr="00662E51">
        <w:rPr>
          <w:szCs w:val="24"/>
        </w:rPr>
        <w:t xml:space="preserve"> HRW is a typical regeneration scheme</w:t>
      </w:r>
      <w:r w:rsidR="00CC49BC" w:rsidRPr="00662E51">
        <w:rPr>
          <w:szCs w:val="24"/>
        </w:rPr>
        <w:t>. However, u</w:t>
      </w:r>
      <w:r w:rsidR="00621C17" w:rsidRPr="00662E51">
        <w:rPr>
          <w:szCs w:val="24"/>
        </w:rPr>
        <w:t>pon its completion, the scheme will significantly reshape the area</w:t>
      </w:r>
      <w:r w:rsidR="00F80345" w:rsidRPr="00662E51">
        <w:rPr>
          <w:szCs w:val="24"/>
        </w:rPr>
        <w:t>—</w:t>
      </w:r>
      <w:r w:rsidR="00444F5E">
        <w:rPr>
          <w:szCs w:val="24"/>
        </w:rPr>
        <w:t>not withstanding significant resistance to the scheme.</w:t>
      </w:r>
      <w:r w:rsidR="00621C17" w:rsidRPr="00662E51">
        <w:rPr>
          <w:szCs w:val="24"/>
        </w:rPr>
        <w:t xml:space="preserve"> As such, HRW is a pertinent illustration to examine the role of local party politics in the development and reproduction of authoritarian neoliberalism. This </w:t>
      </w:r>
      <w:r w:rsidR="00F4699C" w:rsidRPr="00662E51">
        <w:rPr>
          <w:szCs w:val="24"/>
        </w:rPr>
        <w:t>chapter</w:t>
      </w:r>
      <w:r w:rsidR="00621C17" w:rsidRPr="00662E51">
        <w:rPr>
          <w:szCs w:val="24"/>
        </w:rPr>
        <w:t xml:space="preserve"> takes the difference in reception between the two like schemes as a starting point t</w:t>
      </w:r>
      <w:r w:rsidR="005945B9" w:rsidRPr="00662E51">
        <w:rPr>
          <w:szCs w:val="24"/>
        </w:rPr>
        <w:t xml:space="preserve">o explore neoliberalism’s persistence. </w:t>
      </w:r>
    </w:p>
    <w:p w14:paraId="0CE6AA8E" w14:textId="257F9731" w:rsidR="00621C17" w:rsidRPr="00662E51" w:rsidRDefault="00621C17" w:rsidP="00F56305">
      <w:pPr>
        <w:spacing w:line="360" w:lineRule="auto"/>
        <w:ind w:left="0" w:firstLine="720"/>
        <w:rPr>
          <w:szCs w:val="24"/>
        </w:rPr>
      </w:pPr>
      <w:r w:rsidRPr="00662E51">
        <w:rPr>
          <w:szCs w:val="24"/>
        </w:rPr>
        <w:t xml:space="preserve">I consequently have two interrelated aims. One is to explore how the local party and the local state work together to establish a form of </w:t>
      </w:r>
      <w:r w:rsidRPr="00662E51">
        <w:rPr>
          <w:i/>
          <w:iCs/>
          <w:szCs w:val="24"/>
        </w:rPr>
        <w:t>local</w:t>
      </w:r>
      <w:r w:rsidRPr="00662E51">
        <w:rPr>
          <w:szCs w:val="24"/>
        </w:rPr>
        <w:t xml:space="preserve"> authoritarian neoliberalism that rests on </w:t>
      </w:r>
      <w:r w:rsidR="000808C7">
        <w:rPr>
          <w:szCs w:val="24"/>
        </w:rPr>
        <w:t xml:space="preserve">a multiscalar </w:t>
      </w:r>
      <w:r w:rsidRPr="00662E51">
        <w:rPr>
          <w:szCs w:val="24"/>
        </w:rPr>
        <w:t xml:space="preserve">state-party nexus </w:t>
      </w:r>
      <w:r w:rsidR="00474778" w:rsidRPr="00662E51">
        <w:rPr>
          <w:szCs w:val="24"/>
        </w:rPr>
        <w:t>(</w:t>
      </w:r>
      <w:r w:rsidR="00E44919">
        <w:rPr>
          <w:szCs w:val="24"/>
        </w:rPr>
        <w:t xml:space="preserve">see </w:t>
      </w:r>
      <w:r w:rsidR="00474778" w:rsidRPr="00662E51">
        <w:rPr>
          <w:szCs w:val="24"/>
        </w:rPr>
        <w:t>Section 3.</w:t>
      </w:r>
      <w:r w:rsidR="000808C7">
        <w:rPr>
          <w:szCs w:val="24"/>
        </w:rPr>
        <w:t>2</w:t>
      </w:r>
      <w:r w:rsidR="00474778" w:rsidRPr="00662E51">
        <w:rPr>
          <w:szCs w:val="24"/>
        </w:rPr>
        <w:t xml:space="preserve">.3). </w:t>
      </w:r>
      <w:r w:rsidRPr="00662E51">
        <w:rPr>
          <w:szCs w:val="24"/>
        </w:rPr>
        <w:t xml:space="preserve">The second is to explicate the role of the party-state nexus in the legitimation of large-scale urban transformation. My analysis </w:t>
      </w:r>
      <w:r w:rsidR="007A7C61" w:rsidRPr="00662E51">
        <w:rPr>
          <w:szCs w:val="24"/>
        </w:rPr>
        <w:t xml:space="preserve">again </w:t>
      </w:r>
      <w:r w:rsidRPr="00662E51">
        <w:rPr>
          <w:szCs w:val="24"/>
        </w:rPr>
        <w:t>takes the local state—and its relationships with local political parties—as a political, variegated, and complex entity</w:t>
      </w:r>
      <w:r w:rsidR="007A7C61" w:rsidRPr="00662E51">
        <w:rPr>
          <w:szCs w:val="24"/>
        </w:rPr>
        <w:t xml:space="preserve">. </w:t>
      </w:r>
      <w:r w:rsidRPr="00662E51">
        <w:rPr>
          <w:szCs w:val="24"/>
        </w:rPr>
        <w:t xml:space="preserve">This perspective allows me to understand political decision-making processes as contingent and multi-dimensional. The HRW case thus provides a useful illustration to extend theories of the illiberal state to include both the local scale and its relationship with urban transformation </w:t>
      </w:r>
      <w:r w:rsidRPr="00662E51">
        <w:rPr>
          <w:szCs w:val="24"/>
        </w:rPr>
        <w:fldChar w:fldCharType="begin"/>
      </w:r>
      <w:r w:rsidR="008835AB" w:rsidRPr="00662E51">
        <w:rPr>
          <w:szCs w:val="24"/>
        </w:rPr>
        <w:instrText xml:space="preserve"> ADDIN ZOTERO_ITEM CSL_CITATION {"citationID":"FgmRFXNT","properties":{"formattedCitation":"(Di Giovanni 2017)","plainCitation":"(Di Giovanni 2017)","noteIndex":0},"citationItems":[{"id":5760,"uris":["http://zotero.org/users/8977980/items/GSCPPQQZ"],"itemData":{"id":5760,"type":"chapter","abstract":"Authoritarian neoliberalism : towards a new research agenda / Cemal Burak Tansel -- Authoritarian neoliberalism and the disciplining of labour / Mònica Clua-Losada and Olatz Ribera-Almandoz -- Commodified pacification : police, commercial security and the state / Kendra Briken and Volker Eick -- Bodies in resistance : conversations on gender, body politics and authoritarian neoliberalism / Wendy Harcourt -- The right to starve : hunger, discipline and labour market restructuring under authoritarian neoliberalism / Sébastien Rioux -- Urban transformation under authoritarian neoliberalism / Annalena di Giovanni -- From Mare Nostrum to Triton : humanitarian emergencies and neoliberal migration management in the Mediterranean / Luca Manunza -- Cease to exist? : the European \"social\" model and the hardening of \"soft\" EU law / Ian Bruff -- The authoritarian and disciplinary mechanism of reduced sovereignty in the EU : the case of Greece / Panagiotis Sotiris -- Antinomies of authoritarian neoliberalism in Turkey : the Justice and Development Party era / Baris Alp Özden, Ismet Akça and Ahmet Bekmen -- Resistance and passive revolution in Egypt and Morocco / Brecht De Smet and Koenraad Bogaert -- Klepto-neoliberalism : authoritarianism and patronage in Cambodia / Simon Springer -- Variegated neoliberalization as a function and outcome of neo-authoritarianism in China / Kean Fan Lim -- Postscript / Cynthia Enloe","collection-title":"Transforming capitalism","container-title":"States of discipline: authoritarian neoliberalism and the contested reproduction of capitalist order","ISBN":"978-1-78348-620-5","language":"eng","page":"107-124","publisher":"Rowman &amp; Littlefield International","publisher-place":"London ; New York","title":"Urban Transformation under Authoritarian Neoliberalism","editor":[{"family":"Tansel","given":"Cemal Burak"}],"author":[{"family":"Di Giovanni","given":"Annalena"}],"issued":{"date-parts":[["2017"]]}}}],"schema":"https://github.com/citation-style-language/schema/raw/master/csl-citation.json"} </w:instrText>
      </w:r>
      <w:r w:rsidRPr="00662E51">
        <w:rPr>
          <w:szCs w:val="24"/>
        </w:rPr>
        <w:fldChar w:fldCharType="separate"/>
      </w:r>
      <w:r w:rsidR="0095662D" w:rsidRPr="00662E51">
        <w:t>(Di Giovanni 2017)</w:t>
      </w:r>
      <w:r w:rsidRPr="00662E51">
        <w:rPr>
          <w:szCs w:val="24"/>
        </w:rPr>
        <w:fldChar w:fldCharType="end"/>
      </w:r>
      <w:r w:rsidRPr="00662E51">
        <w:rPr>
          <w:szCs w:val="24"/>
        </w:rPr>
        <w:t>.</w:t>
      </w:r>
    </w:p>
    <w:p w14:paraId="47CD77E0" w14:textId="1E0D916E" w:rsidR="00621C17" w:rsidRPr="00662E51" w:rsidRDefault="00621C17" w:rsidP="000E7CC1">
      <w:pPr>
        <w:spacing w:line="360" w:lineRule="auto"/>
        <w:ind w:left="0" w:firstLine="720"/>
        <w:rPr>
          <w:szCs w:val="24"/>
        </w:rPr>
      </w:pPr>
      <w:r w:rsidRPr="00662E51">
        <w:rPr>
          <w:szCs w:val="24"/>
        </w:rPr>
        <w:t xml:space="preserve">This chapter proceeds as follows. </w:t>
      </w:r>
      <w:r w:rsidR="000E7CC1" w:rsidRPr="00662E51">
        <w:rPr>
          <w:szCs w:val="24"/>
        </w:rPr>
        <w:t xml:space="preserve">I provide a brief review of relevant theoretical frameworks. Next, I discuss the methods involved in producing this </w:t>
      </w:r>
      <w:r w:rsidR="008F6AE8" w:rsidRPr="00662E51">
        <w:rPr>
          <w:szCs w:val="24"/>
        </w:rPr>
        <w:t>chapter</w:t>
      </w:r>
      <w:r w:rsidR="000E7CC1" w:rsidRPr="00662E51">
        <w:rPr>
          <w:szCs w:val="24"/>
        </w:rPr>
        <w:t xml:space="preserve">. </w:t>
      </w:r>
      <w:r w:rsidRPr="00662E51">
        <w:rPr>
          <w:szCs w:val="24"/>
        </w:rPr>
        <w:t xml:space="preserve">I then present my findings on HRW’s context, policy, moral and cultural discourses, and finally its community engagement. I conclude with a discussion of my findings.  </w:t>
      </w:r>
    </w:p>
    <w:p w14:paraId="686A5D76" w14:textId="77777777" w:rsidR="00C22114" w:rsidRPr="00662E51" w:rsidRDefault="00C22114" w:rsidP="000E7CC1">
      <w:pPr>
        <w:pStyle w:val="ListParagraph"/>
        <w:keepNext/>
        <w:keepLines/>
        <w:numPr>
          <w:ilvl w:val="0"/>
          <w:numId w:val="5"/>
        </w:numPr>
        <w:spacing w:line="360" w:lineRule="auto"/>
        <w:contextualSpacing w:val="0"/>
        <w:outlineLvl w:val="1"/>
        <w:rPr>
          <w:rFonts w:eastAsiaTheme="majorEastAsia" w:cstheme="majorBidi"/>
          <w:vanish/>
          <w:u w:val="single"/>
          <w:lang w:eastAsia="en-US"/>
        </w:rPr>
      </w:pPr>
      <w:bookmarkStart w:id="425" w:name="_Toc213160141"/>
      <w:bookmarkStart w:id="426" w:name="_Toc213160225"/>
      <w:bookmarkStart w:id="427" w:name="_Toc213170702"/>
      <w:bookmarkStart w:id="428" w:name="_Toc213173980"/>
      <w:bookmarkStart w:id="429" w:name="_Toc216096008"/>
      <w:bookmarkStart w:id="430" w:name="_Toc216096112"/>
      <w:bookmarkStart w:id="431" w:name="_Toc216096181"/>
      <w:bookmarkStart w:id="432" w:name="_Toc216875763"/>
      <w:bookmarkStart w:id="433" w:name="_Toc216875867"/>
      <w:bookmarkStart w:id="434" w:name="_Toc216876644"/>
      <w:bookmarkStart w:id="435" w:name="_Toc216877811"/>
      <w:bookmarkStart w:id="436" w:name="_Toc216878200"/>
      <w:bookmarkStart w:id="437" w:name="_Toc216878551"/>
      <w:bookmarkStart w:id="438" w:name="_Toc216959858"/>
      <w:bookmarkStart w:id="439" w:name="_Toc216960722"/>
      <w:bookmarkStart w:id="440" w:name="_Toc216968061"/>
      <w:bookmarkStart w:id="441" w:name="_Toc216968322"/>
      <w:bookmarkStart w:id="442" w:name="_Toc216968464"/>
      <w:bookmarkStart w:id="443" w:name="_Toc216970136"/>
      <w:bookmarkStart w:id="444" w:name="_Toc216985780"/>
      <w:bookmarkStart w:id="445" w:name="_Toc216985897"/>
      <w:bookmarkStart w:id="446" w:name="_Toc216986014"/>
      <w:bookmarkStart w:id="447" w:name="_Toc216986131"/>
      <w:bookmarkStart w:id="448" w:name="_Toc216986248"/>
      <w:bookmarkStart w:id="449" w:name="_Toc217295468"/>
      <w:bookmarkStart w:id="450" w:name="_Toc220791090"/>
      <w:bookmarkStart w:id="451" w:name="_Toc220922421"/>
      <w:bookmarkStart w:id="452" w:name="_Toc221112542"/>
      <w:bookmarkStart w:id="453" w:name="_Toc221184369"/>
      <w:bookmarkStart w:id="454" w:name="_Toc221195279"/>
      <w:bookmarkStart w:id="455" w:name="_Toc221786863"/>
      <w:bookmarkStart w:id="456" w:name="_Toc231215287"/>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p>
    <w:p w14:paraId="2725C24E" w14:textId="77777777" w:rsidR="005B43C5" w:rsidRPr="00662E51" w:rsidRDefault="005B43C5" w:rsidP="000E7CC1">
      <w:pPr>
        <w:spacing w:line="360" w:lineRule="auto"/>
      </w:pPr>
      <w:bookmarkStart w:id="457" w:name="_Toc213173982"/>
    </w:p>
    <w:p w14:paraId="3140F3E7" w14:textId="3CC4C96C" w:rsidR="001138D5" w:rsidRPr="00662E51" w:rsidRDefault="00993C03" w:rsidP="000E7CC1">
      <w:pPr>
        <w:pStyle w:val="Heading2"/>
      </w:pPr>
      <w:bookmarkStart w:id="458" w:name="_Toc221184370"/>
      <w:bookmarkStart w:id="459" w:name="_Toc231215288"/>
      <w:r>
        <w:lastRenderedPageBreak/>
        <w:t>Understanding urban authoritarian neoliberalism</w:t>
      </w:r>
      <w:bookmarkEnd w:id="458"/>
      <w:r w:rsidR="00836748">
        <w:t>:</w:t>
      </w:r>
      <w:bookmarkEnd w:id="459"/>
    </w:p>
    <w:p w14:paraId="636EFF86" w14:textId="40F74317" w:rsidR="001138D5" w:rsidRPr="00662E51" w:rsidRDefault="001138D5" w:rsidP="0089737F">
      <w:pPr>
        <w:spacing w:line="360" w:lineRule="auto"/>
        <w:ind w:left="0"/>
        <w:rPr>
          <w:szCs w:val="24"/>
        </w:rPr>
      </w:pPr>
      <w:r w:rsidRPr="00662E51">
        <w:rPr>
          <w:szCs w:val="24"/>
        </w:rPr>
        <w:t xml:space="preserve">Before discussing the methods of this chapter, it is important to reiterate a few </w:t>
      </w:r>
      <w:r w:rsidR="00993C03">
        <w:rPr>
          <w:szCs w:val="24"/>
        </w:rPr>
        <w:t>relevant analytical frames</w:t>
      </w:r>
      <w:r w:rsidR="000E7CC1" w:rsidRPr="00662E51">
        <w:rPr>
          <w:szCs w:val="24"/>
        </w:rPr>
        <w:t>. First, this chapter</w:t>
      </w:r>
      <w:r w:rsidR="009574EA" w:rsidRPr="00662E51">
        <w:rPr>
          <w:szCs w:val="24"/>
        </w:rPr>
        <w:t xml:space="preserve"> again</w:t>
      </w:r>
      <w:r w:rsidR="000E7CC1" w:rsidRPr="00662E51">
        <w:rPr>
          <w:szCs w:val="24"/>
        </w:rPr>
        <w:t xml:space="preserve"> </w:t>
      </w:r>
      <w:r w:rsidR="00670CAD">
        <w:rPr>
          <w:szCs w:val="24"/>
        </w:rPr>
        <w:t>uses</w:t>
      </w:r>
      <w:r w:rsidR="000E7CC1" w:rsidRPr="00662E51">
        <w:rPr>
          <w:szCs w:val="24"/>
        </w:rPr>
        <w:t xml:space="preserve"> </w:t>
      </w:r>
      <w:r w:rsidR="00FD696A" w:rsidRPr="00662E51">
        <w:rPr>
          <w:szCs w:val="24"/>
        </w:rPr>
        <w:t xml:space="preserve">authoritarian neoliberalism to interpret HRW, but does so using an </w:t>
      </w:r>
      <w:r w:rsidR="00FD696A" w:rsidRPr="00662E51">
        <w:rPr>
          <w:i/>
          <w:iCs/>
          <w:szCs w:val="24"/>
        </w:rPr>
        <w:t>urban</w:t>
      </w:r>
      <w:r w:rsidR="00FD696A" w:rsidRPr="00662E51">
        <w:rPr>
          <w:szCs w:val="24"/>
        </w:rPr>
        <w:t xml:space="preserve"> or </w:t>
      </w:r>
      <w:r w:rsidR="00FD696A" w:rsidRPr="00662E51">
        <w:rPr>
          <w:i/>
          <w:iCs/>
          <w:szCs w:val="24"/>
        </w:rPr>
        <w:t>local</w:t>
      </w:r>
      <w:r w:rsidR="00FD696A" w:rsidRPr="00662E51">
        <w:rPr>
          <w:szCs w:val="24"/>
        </w:rPr>
        <w:t xml:space="preserve"> understanding of AN. This interpretation</w:t>
      </w:r>
      <w:r w:rsidR="00724492" w:rsidRPr="00662E51">
        <w:rPr>
          <w:szCs w:val="24"/>
        </w:rPr>
        <w:t xml:space="preserve"> foregrounds the local scale as not only a site of neoliberal governance, but also a space through which </w:t>
      </w:r>
      <w:r w:rsidR="000D5082" w:rsidRPr="00662E51">
        <w:rPr>
          <w:szCs w:val="24"/>
        </w:rPr>
        <w:t xml:space="preserve">that governance is reinforced </w:t>
      </w:r>
      <w:r w:rsidR="00CE0BED" w:rsidRPr="00662E51">
        <w:rPr>
          <w:szCs w:val="24"/>
        </w:rPr>
        <w:fldChar w:fldCharType="begin"/>
      </w:r>
      <w:r w:rsidR="008835AB" w:rsidRPr="00662E51">
        <w:rPr>
          <w:szCs w:val="24"/>
        </w:rPr>
        <w:instrText xml:space="preserve"> ADDIN ZOTERO_ITEM CSL_CITATION {"citationID":"2y0LII7k","properties":{"formattedCitation":"(Can et al. 2024; Jenss 2019; Luger and D\\uc0\\u252{}rr 2025; Pileti\\uc0\\u263{} 2022)","plainCitation":"(Can et al. 2024; Jenss 2019; Luger and Dürr 2025; Piletić 2022)","noteIndex":0},"citationItems":[{"id":5762,"uris":["http://zotero.org/users/8977980/items/NKYRYKPW"],"itemData":{"id":5762,"type":"article-journal","abstract":"This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id":5770,"uris":["http://zotero.org/users/8977980/items/3XV9CB2E"],"itemData":{"id":5770,"type":"article-journal","abstract":"There is an increasing consensus that, across the globe, austerity policies have often relegated fiscal pressures from the state to the urban scale. These are sometimes discussed under the label ‘austerity urbanism’. This article explores urban authoritarian neoliberalism through an examination of spatial and scalar manifestations of neoliberal restructuring. It asks how austerity urbanism’s rescaling takes effect in spatially variegated ways in the intermediate city of Oaxaca in Southern Mexico. I argue that Oaxaca’s austerity programmes and its rescaling of security provision are two intertwined, rather than parallel, processes. The paper builds on and aims to advance the authoritarian neoliberalism literature by linking it to literatures on the postcolonial Latin American state and urban studies. The article makes two contributions: first, it identifies and carves out multi-scalar aspects of authoritarian neoliberalism (by speaking to the urban realm); second, it contributes to the authoritarian neoliberalism literature on the ‘South’. Hence, the aim is to reveal the multi-scalar aspects of authoritarian neoliberalism and to illustrate its explanatory power in the global South.","container-title":"Globalizations","DOI":"10.1080/14747731.2018.1502493","ISSN":"1474-7731","issue":"3","note":"_eprint: https://doi.org/10.1080/14747731.2018.1502493","page":"304–319","publisher":"Routledge","source":"Taylor and Francis+NEJM","title":"Authoritarian neoliberal rescaling in Latin America: urban in/security and austerity in Oaxaca","title-short":"Authoritarian neoliberal rescaling in Latin America","volume":"16","author":[{"family":"Jenss","given":"Alke"}],"issued":{"date-parts":[["2019",4,16]]}}},{"id":6500,"uris":["http://zotero.org/users/8977980/items/MCPUJMEQ"],"itemData":{"id":6500,"type":"article-journal","abstract":"Advocating the value of an urban lens for researching and understanding illiberalism, we propose a threefold thematic anchoring for emerging inquiry into cities, framed both planetarily and locally, as containers/facilitators/mediators/conduits/nodes of illiberal ideologies, action, processes and outcomes. Our thematic approaches are: (1) that urban density can catalyse illiberalism, from grassroots coalitions (e.g. neighbourhoods) to top-down urban governance (e.g. public/private management coalitions) and the dense ‘thrown-togetherness’ of daily urban life can intensify tension, instability, fear and antagonism; (2) the urban emergency and urban crises, entangled as they are within ongoing neoliberal urbanism, facilitate illiberal responses (e.g. crises as justifications for reactionary/authoritarian policies, laws and outcomes); and (3) the urban offers a speed and virality that fosters illiberalism (e.g. platform-driven urban processes and ‘fast policies’). We suggest that the speeding-up of urban processes, long a facet of industrial capitalism, has now entered a new phase which is simultaneously catalysed by illiberal entities and ideologies (e.g. the platformed-world building of ‘NRx urbanism’), but also lays the groundwork for illiberal responses, new surveillances and authoritarian intrusions into daily life. We weave these thematic windows together with selected examples of global urban happenings and recent episodes, including in the context during and post-COVID-19. We note the proliferation of globally circulating authoritarian tendencies in urban planning, urban governance and crisis management that point to an uncomfortable reality where the urban question may, inherently, be an illiberal one. Nonetheless, we conclude on an optimistic note that illiberal urban futures are still ripe for contestation.","container-title":"Urban Studies","DOI":"10.1177/00420980251327142","ISSN":"0042-0980","language":"EN","page":"00420980251327142","publisher":"SAGE Publications Ltd","source":"SAGE Journals","title":"The urban question under illiberalism? Three thematic approaches","title-short":"The urban question under illiberalism?","author":[{"family":"Luger","given":"Jason D"},{"family":"Dürr","given":"Miklós János"}],"issued":{"date-parts":[["2025",4,12]]}}},{"id":5764,"uris":["http://zotero.org/users/8977980/items/NAKP7URT"],"itemData":{"id":5764,"type":"article-journal","container-title":"Globalizations","DOI":"10.1080/14747731.2021.1882817","ISSN":"1474-7731, 1474-774X","issue":"2","journalAbbreviation":"Globalizations","language":"en","page":"285-300","source":"DOI.org (Crossref)","title":"The role of the urban scale in anchoring authoritarian neoliberalism: a look at post-2012 neoliberalization in Belgrade, Serbia","title-short":"The role of the urban scale in anchoring authoritarian neoliberalism","volume":"19","author":[{"family":"Piletić","given":"Aleksandra"}],"issued":{"date-parts":[["2022",2,17]]}}}],"schema":"https://github.com/citation-style-language/schema/raw/master/csl-citation.json"} </w:instrText>
      </w:r>
      <w:r w:rsidR="00CE0BED" w:rsidRPr="00662E51">
        <w:rPr>
          <w:szCs w:val="24"/>
        </w:rPr>
        <w:fldChar w:fldCharType="separate"/>
      </w:r>
      <w:r w:rsidR="00945057" w:rsidRPr="00662E51">
        <w:rPr>
          <w:rFonts w:cs="Times New Roman"/>
          <w:kern w:val="0"/>
        </w:rPr>
        <w:t>(Can et al. 2024; Jenss 2019; Luger and Dürr 2025; Piletić 2022)</w:t>
      </w:r>
      <w:r w:rsidR="00CE0BED" w:rsidRPr="00662E51">
        <w:rPr>
          <w:szCs w:val="24"/>
        </w:rPr>
        <w:fldChar w:fldCharType="end"/>
      </w:r>
      <w:r w:rsidR="00E37D06" w:rsidRPr="00662E51">
        <w:rPr>
          <w:szCs w:val="24"/>
        </w:rPr>
        <w:t>.</w:t>
      </w:r>
      <w:r w:rsidR="00135A01" w:rsidRPr="00662E51">
        <w:rPr>
          <w:szCs w:val="24"/>
        </w:rPr>
        <w:t xml:space="preserve"> </w:t>
      </w:r>
      <w:r w:rsidR="00D96D6A" w:rsidRPr="00662E51">
        <w:rPr>
          <w:szCs w:val="24"/>
        </w:rPr>
        <w:t xml:space="preserve">That is, </w:t>
      </w:r>
      <w:r w:rsidR="00DE3EE8" w:rsidRPr="00662E51">
        <w:rPr>
          <w:szCs w:val="24"/>
        </w:rPr>
        <w:t xml:space="preserve">coercion and insulation not only occur in the </w:t>
      </w:r>
      <w:r w:rsidR="00DE3EE8" w:rsidRPr="00662E51">
        <w:rPr>
          <w:i/>
          <w:iCs/>
          <w:szCs w:val="24"/>
        </w:rPr>
        <w:t>place</w:t>
      </w:r>
      <w:r w:rsidR="00DE3EE8" w:rsidRPr="00662E51">
        <w:rPr>
          <w:szCs w:val="24"/>
        </w:rPr>
        <w:t xml:space="preserve"> of the local, but are </w:t>
      </w:r>
      <w:r w:rsidR="0009782C" w:rsidRPr="00662E51">
        <w:rPr>
          <w:szCs w:val="24"/>
        </w:rPr>
        <w:t xml:space="preserve">also </w:t>
      </w:r>
      <w:r w:rsidR="00DE3EE8" w:rsidRPr="00662E51">
        <w:rPr>
          <w:szCs w:val="24"/>
        </w:rPr>
        <w:t xml:space="preserve">enacted </w:t>
      </w:r>
      <w:r w:rsidR="00DE3EE8" w:rsidRPr="00662E51">
        <w:rPr>
          <w:i/>
          <w:iCs/>
          <w:szCs w:val="24"/>
        </w:rPr>
        <w:t>through the space</w:t>
      </w:r>
      <w:r w:rsidR="00DE3EE8" w:rsidRPr="00662E51">
        <w:rPr>
          <w:szCs w:val="24"/>
        </w:rPr>
        <w:t xml:space="preserve"> of the local. </w:t>
      </w:r>
      <w:r w:rsidR="00135A01" w:rsidRPr="00662E51">
        <w:rPr>
          <w:szCs w:val="24"/>
        </w:rPr>
        <w:t xml:space="preserve">In this chapter, urban AN is particularly important as HRW is a regeneration scheme that is </w:t>
      </w:r>
      <w:r w:rsidR="00AD2D6D" w:rsidRPr="00662E51">
        <w:rPr>
          <w:szCs w:val="24"/>
        </w:rPr>
        <w:t xml:space="preserve">owned by the Council. </w:t>
      </w:r>
      <w:r w:rsidR="00054CB8" w:rsidRPr="00662E51">
        <w:rPr>
          <w:szCs w:val="24"/>
        </w:rPr>
        <w:t xml:space="preserve">As is developed throughout this chapter, Haringey Council and the </w:t>
      </w:r>
      <w:r w:rsidR="00C628E9" w:rsidRPr="00662E51">
        <w:rPr>
          <w:szCs w:val="24"/>
        </w:rPr>
        <w:t xml:space="preserve">structures of the </w:t>
      </w:r>
      <w:r w:rsidR="00054CB8" w:rsidRPr="00662E51">
        <w:rPr>
          <w:szCs w:val="24"/>
        </w:rPr>
        <w:t>Labour Party work together to insulate decision</w:t>
      </w:r>
      <w:r w:rsidR="00151D78" w:rsidRPr="00662E51">
        <w:rPr>
          <w:szCs w:val="24"/>
        </w:rPr>
        <w:t>-</w:t>
      </w:r>
      <w:r w:rsidR="00054CB8" w:rsidRPr="00662E51">
        <w:rPr>
          <w:szCs w:val="24"/>
        </w:rPr>
        <w:t>making</w:t>
      </w:r>
      <w:r w:rsidR="00C628E9" w:rsidRPr="00662E51">
        <w:rPr>
          <w:szCs w:val="24"/>
        </w:rPr>
        <w:t xml:space="preserve">. </w:t>
      </w:r>
      <w:r w:rsidR="004F1A29" w:rsidRPr="00662E51">
        <w:rPr>
          <w:szCs w:val="24"/>
        </w:rPr>
        <w:t xml:space="preserve">Here, </w:t>
      </w:r>
      <w:r w:rsidR="00491273" w:rsidRPr="00662E51">
        <w:rPr>
          <w:szCs w:val="24"/>
        </w:rPr>
        <w:t xml:space="preserve">AN is </w:t>
      </w:r>
      <w:r w:rsidR="004F1A29" w:rsidRPr="00662E51">
        <w:rPr>
          <w:szCs w:val="24"/>
        </w:rPr>
        <w:t xml:space="preserve">deployed </w:t>
      </w:r>
      <w:r w:rsidR="00491273" w:rsidRPr="00662E51">
        <w:rPr>
          <w:i/>
          <w:iCs/>
          <w:szCs w:val="24"/>
        </w:rPr>
        <w:t>through</w:t>
      </w:r>
      <w:r w:rsidR="00491273" w:rsidRPr="00662E51">
        <w:rPr>
          <w:szCs w:val="24"/>
        </w:rPr>
        <w:t xml:space="preserve"> the local. S</w:t>
      </w:r>
      <w:r w:rsidR="00C628E9" w:rsidRPr="00662E51">
        <w:rPr>
          <w:szCs w:val="24"/>
        </w:rPr>
        <w:t xml:space="preserve">imultaneously, </w:t>
      </w:r>
      <w:r w:rsidR="00CE06C7" w:rsidRPr="00662E51">
        <w:rPr>
          <w:szCs w:val="24"/>
        </w:rPr>
        <w:t xml:space="preserve">as I argue in Section 7.3.1 below, </w:t>
      </w:r>
      <w:r w:rsidR="00DB4D48" w:rsidRPr="00662E51">
        <w:rPr>
          <w:szCs w:val="24"/>
        </w:rPr>
        <w:t xml:space="preserve">coercion </w:t>
      </w:r>
      <w:r w:rsidR="000C16CD" w:rsidRPr="00662E51">
        <w:rPr>
          <w:szCs w:val="24"/>
        </w:rPr>
        <w:t xml:space="preserve">appears </w:t>
      </w:r>
      <w:r w:rsidR="00DB4D48" w:rsidRPr="00662E51">
        <w:rPr>
          <w:szCs w:val="24"/>
        </w:rPr>
        <w:t>in the form of austerity-induced speculative urban development</w:t>
      </w:r>
      <w:r w:rsidR="000C16CD" w:rsidRPr="00662E51">
        <w:rPr>
          <w:szCs w:val="24"/>
        </w:rPr>
        <w:t xml:space="preserve"> </w:t>
      </w:r>
      <w:r w:rsidR="008822FD" w:rsidRPr="00662E51">
        <w:rPr>
          <w:szCs w:val="24"/>
        </w:rPr>
        <w:fldChar w:fldCharType="begin"/>
      </w:r>
      <w:r w:rsidR="001B2CAA">
        <w:rPr>
          <w:szCs w:val="24"/>
        </w:rPr>
        <w:instrText xml:space="preserve"> ADDIN ZOTERO_ITEM CSL_CITATION {"citationID":"RVuKeOnq","properties":{"formattedCitation":"(Goldman 2011; Horton and Penny 2024; Watt 2021b)","plainCitation":"(Goldman 2011; Horton and Penny 2024; Watt 2021b)","noteIndex":0},"citationItems":[{"id":7074,"uris":["http://zotero.org/users/8977980/items/XYWZ6F68"],"itemData":{"id":7074,"type":"article-journal","abstract":"This article explores the process of making Bangalore, India into a ‘world city’ by focusing on specific world-city projects, the parastatal government agencies managing them, the explosive IT industry as the putative engine behind this world-city making, and the inter-urban dynamics across world cities such as Dubai and Singapore. Most of these activities are linked to the highly remunerative challenge of transforming rural economies into urban real estate. Land speculation and active dispossession of those working and living in the rural periphery, on land upon which the new world-city projects are being built, is the main business of government today in Bangalore. This article suggests that this temporary ‘state of exception’, with both its attendant suspensions of civil and human rights as well as their institutionalization into government practices, reflects a shift into new forms of ‘speculative’ government, economy, urbanism and citizenship. Résumé En Inde, Bangalore passe par un processus de fabrication de ‘ville mondiale’. Pour l'étudier, cet article examine les projets spécifiques à cette dimension urbaine, les organes para-étatiques qui les gèrent, le secteur des technologies informatiques en plein essor qui est censéêtre le moteur du processus, ainsi que les dynamiques interurbaines qui relient les villes mondiales comme Dubaï et Singapour. Ces activités sont associées en grande partie à l'entreprise, particulièrement rémunératrice, de transformation des économies rurales en secteur immobilier urbain. Le gouvernement actuel de Bangalore s'emploie principalement à des opérations de spéculation foncière et de dépossession énergique à l'encontre des populations qui travaillent et vivent dans la zone périphérique rurale, sur les terrains où se bâtissent les projets de la ‘ville mondiale’. Cet ‘état d'exception’ temporaire, avec la suspension afférente de droits civiques et humains, parallèlement à son institutionnalisation dans certaines pratiques du gouvernement, reflète le passage vers de nouvelles formes de citoyenneté, d'urbanisme, d'économie et de gouvernement ‘spéculateur’.","container-title":"International Journal of Urban and Regional Research","DOI":"10.1111/j.1468-2427.2010.01001.x","ISSN":"1468-2427","issue":"3","language":"en","license":"© 2010 The Author. International Journal of Urban and Regional Research © 2010 Joint Editors and Blackwell Publishing Ltd","note":"_eprint: https://onlinelibrary.wiley.com/doi/pdf/10.1111/j.1468-2427.2010.01001.x","page":"555-581","source":"Wiley Online Library","title":"Speculative Urbanism and the Making of the Next World City","volume":"35","author":[{"family":"Goldman","given":"Michael"}],"issued":{"date-parts":[["2011"]]}}},{"id":5697,"uris":["http://zotero.org/users/8977980/items/ZPYXM7A6"],"itemData":{"id":5697,"type":"book","ISBN":"978-1-80008-710-1","language":"eng","note":"OCLC: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id":"n0Saldgp/r7qNchtf","uris":["http://zotero.org/users/8977980/items/BHKUJBH9"],"itemData":{"id":"JfkPZp9T/scTUbchK","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008822FD" w:rsidRPr="00662E51">
        <w:rPr>
          <w:szCs w:val="24"/>
        </w:rPr>
        <w:fldChar w:fldCharType="separate"/>
      </w:r>
      <w:r w:rsidR="008822FD" w:rsidRPr="00662E51">
        <w:t>(Goldman 2011; Horton and Penny 2024; Watt 2021b)</w:t>
      </w:r>
      <w:r w:rsidR="008822FD" w:rsidRPr="00662E51">
        <w:rPr>
          <w:szCs w:val="24"/>
        </w:rPr>
        <w:fldChar w:fldCharType="end"/>
      </w:r>
      <w:r w:rsidR="00FF4772" w:rsidRPr="00662E51">
        <w:rPr>
          <w:szCs w:val="24"/>
        </w:rPr>
        <w:t xml:space="preserve">. Briefly, my </w:t>
      </w:r>
      <w:r w:rsidR="00C13805" w:rsidRPr="00662E51">
        <w:rPr>
          <w:szCs w:val="24"/>
        </w:rPr>
        <w:t>claim</w:t>
      </w:r>
      <w:r w:rsidR="00FF4772" w:rsidRPr="00662E51">
        <w:rPr>
          <w:szCs w:val="24"/>
        </w:rPr>
        <w:t xml:space="preserve"> is that </w:t>
      </w:r>
      <w:r w:rsidR="00F2127D" w:rsidRPr="00662E51">
        <w:rPr>
          <w:szCs w:val="24"/>
        </w:rPr>
        <w:t xml:space="preserve">those same </w:t>
      </w:r>
      <w:r w:rsidR="000D1C01" w:rsidRPr="00662E51">
        <w:rPr>
          <w:szCs w:val="24"/>
        </w:rPr>
        <w:t xml:space="preserve">economic </w:t>
      </w:r>
      <w:r w:rsidR="00216EB2" w:rsidRPr="00662E51">
        <w:rPr>
          <w:szCs w:val="24"/>
        </w:rPr>
        <w:t>circumstances</w:t>
      </w:r>
      <w:r w:rsidR="00FC28E3" w:rsidRPr="00662E51">
        <w:rPr>
          <w:szCs w:val="24"/>
        </w:rPr>
        <w:t xml:space="preserve"> </w:t>
      </w:r>
      <w:r w:rsidR="00026CFE" w:rsidRPr="00662E51">
        <w:rPr>
          <w:szCs w:val="24"/>
        </w:rPr>
        <w:t xml:space="preserve">which </w:t>
      </w:r>
      <w:r w:rsidR="00F2127D" w:rsidRPr="00662E51">
        <w:rPr>
          <w:szCs w:val="24"/>
        </w:rPr>
        <w:t xml:space="preserve">spawned the Haringey Development Vehicle effectively </w:t>
      </w:r>
      <w:r w:rsidR="002D284E" w:rsidRPr="00662E51">
        <w:rPr>
          <w:szCs w:val="24"/>
        </w:rPr>
        <w:t xml:space="preserve">locked-in </w:t>
      </w:r>
      <w:r w:rsidR="00F64AED" w:rsidRPr="00662E51">
        <w:rPr>
          <w:szCs w:val="24"/>
        </w:rPr>
        <w:t>HRW</w:t>
      </w:r>
      <w:r w:rsidR="006E3842" w:rsidRPr="00662E51">
        <w:rPr>
          <w:szCs w:val="24"/>
        </w:rPr>
        <w:t>.</w:t>
      </w:r>
      <w:r w:rsidR="0089737F" w:rsidRPr="00662E51">
        <w:rPr>
          <w:szCs w:val="24"/>
        </w:rPr>
        <w:t xml:space="preserve"> </w:t>
      </w:r>
      <w:r w:rsidR="000F14DB" w:rsidRPr="00662E51">
        <w:rPr>
          <w:szCs w:val="24"/>
        </w:rPr>
        <w:t xml:space="preserve">Second, this chapter again employs </w:t>
      </w:r>
      <w:r w:rsidR="00D41915" w:rsidRPr="00662E51">
        <w:rPr>
          <w:szCs w:val="24"/>
        </w:rPr>
        <w:t xml:space="preserve">critical perspectives on the </w:t>
      </w:r>
      <w:r w:rsidR="00D41915" w:rsidRPr="00662E51">
        <w:rPr>
          <w:i/>
          <w:iCs/>
          <w:szCs w:val="24"/>
        </w:rPr>
        <w:t>local</w:t>
      </w:r>
      <w:r w:rsidR="00D41915" w:rsidRPr="00662E51">
        <w:rPr>
          <w:szCs w:val="24"/>
        </w:rPr>
        <w:t xml:space="preserve"> state </w:t>
      </w:r>
      <w:r w:rsidR="00D41915" w:rsidRPr="00662E51">
        <w:rPr>
          <w:szCs w:val="24"/>
        </w:rPr>
        <w:fldChar w:fldCharType="begin"/>
      </w:r>
      <w:r w:rsidR="00F15CF8">
        <w:rPr>
          <w:szCs w:val="24"/>
        </w:rPr>
        <w:instrText xml:space="preserve"> ADDIN ZOTERO_ITEM CSL_CITATION {"citationID":"RNrZIFau","properties":{"formattedCitation":"(Ormerod 2017, 2021; Painter 1991, 2006)","plainCitation":"(Ormerod 2017, 2021; Painter 1991, 2006)","noteIndex":0},"citationItems":[{"id":6579,"uris":["http://zotero.org/users/8977980/items/UYJQMU9X"],"itemData":{"id":6579,"type":"thesis","abstract":"Housing is political, and its relation to the local state is undergoing a monumental transition. This research charts the journey of a neighbourhood in Gateshead, North East England through housing regeneration. It focuses on a joint venture partnership that has grown from a mired central state regeneration initiative, Housing Market Renewal. In doing so, it grounds and develops Bob Jessop’s (2016) most recent and flexible state theory, to posit the local state as an increasingly relevant conceptual and analytical frame through which to reveal contemporary transformations in local governance. Through an in-depth examination of the relations between new and old state actors, local politics and multiple publics, we can see who is governing and who matters. \n\nIn positioning housing as central to a contemporary capitalist political economy, housing therefore becomes a key optic through which to understand the deepening of entrepreneurial governance under austerity localism. The local state in Gateshead is reconstructing the housing market and harnessing private finance. It has become a housing developer in its own right through a complex and opaque process of financialization. Despite an entrenched marketized logic, however, the local state is not simply a unified or monolithic structure. It consists of both structures and relations that are in constant struggle as it tentatively negotiates the current and unstable mode of local governance. Seeing the state as a fragmented, malleable and permeable set of relations reveals the various forms of power and sources of pressure within and beyond it.\n\nThrough examples of both conflict and consensus building, a local struggle over representation and legitimacy opens up conceptual questions about politics and the political. As the local state moves increasingly away from previous processes of public engagement and actively conceals its role in housing development, this new governing arrangement is dislocating politicians from the publics they represent. The channeling of political power into the hands of new state actors is undoubtedly de-democratising. However, there remains the potential to disrupt, or re</w:instrText>
      </w:r>
      <w:r w:rsidR="00F15CF8">
        <w:rPr>
          <w:rFonts w:ascii="Cambria Math" w:hAnsi="Cambria Math" w:cs="Cambria Math"/>
          <w:szCs w:val="24"/>
        </w:rPr>
        <w:instrText>‐</w:instrText>
      </w:r>
      <w:r w:rsidR="00F15CF8">
        <w:rPr>
          <w:szCs w:val="24"/>
        </w:rPr>
        <w:instrText xml:space="preserve">politicise such processes, which can offer hope to the place of politics and publics.","genre":"Doctoral","publisher":"Durham University","source":"etheses.dur.ac.uk","title":"The Local State of Housing: Deepening Entrepreneurial Governance and The Place of Politics and Publics","title-short":"The Local State of Housing","URL":"https://etheses.dur.ac.uk/12388/","author":[{"family":"Ormerod","given":"Emma"}],"accessed":{"date-parts":[["2025",6,19]]},"issued":{"date-parts":[["2017"]]}}},{"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id":6780,"uris":["http://zotero.org/users/8977980/items/PXUF4DHP"],"itemData":{"id":6780,"type":"article-journal","container-title":"Local Government Studies","DOI":"10.1080/03003939108433604","ISSN":"0300-3930, 1743-9388","issue":"6","language":"en","page":"23-44","publisher":"Informa UK Limited","source":"Crossref","title":"Regulation theory and local government","volume":"17","author":[{"family":"Painter","given":"Joe"}],"issued":{"date-parts":[["1991",11]]}}},{"id":4455,"uris":["http://zotero.org/users/8977980/items/GL23LQTK"],"itemData":{"id":4455,"type":"article-journal","abstract":"Despite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stateness","volume":"25","author":[{"family":"Painter","given":"Joe"}],"issued":{"date-parts":[["2006",9,1]]}}}],"schema":"https://github.com/citation-style-language/schema/raw/master/csl-citation.json"} </w:instrText>
      </w:r>
      <w:r w:rsidR="00D41915" w:rsidRPr="00662E51">
        <w:rPr>
          <w:szCs w:val="24"/>
        </w:rPr>
        <w:fldChar w:fldCharType="separate"/>
      </w:r>
      <w:r w:rsidR="00F15CF8" w:rsidRPr="00F15CF8">
        <w:t>(Ormerod 2017, 2021; Painter 1991, 2006)</w:t>
      </w:r>
      <w:r w:rsidR="00D41915" w:rsidRPr="00662E51">
        <w:rPr>
          <w:szCs w:val="24"/>
        </w:rPr>
        <w:fldChar w:fldCharType="end"/>
      </w:r>
      <w:r w:rsidR="001B6F71" w:rsidRPr="00662E51">
        <w:rPr>
          <w:szCs w:val="24"/>
        </w:rPr>
        <w:t xml:space="preserve">. </w:t>
      </w:r>
      <w:r w:rsidR="001D7AF0" w:rsidRPr="00662E51">
        <w:rPr>
          <w:szCs w:val="24"/>
        </w:rPr>
        <w:t xml:space="preserve">The framework considers the state as enmeshed in local society, rather than as a separate entity. </w:t>
      </w:r>
      <w:r w:rsidR="00FF25E9" w:rsidRPr="00662E51">
        <w:rPr>
          <w:szCs w:val="24"/>
        </w:rPr>
        <w:t xml:space="preserve">This perspective better captures the complex, inter-scalar, and </w:t>
      </w:r>
      <w:r w:rsidR="00DE1549" w:rsidRPr="00662E51">
        <w:rPr>
          <w:szCs w:val="24"/>
        </w:rPr>
        <w:t xml:space="preserve">neoliberalised/privatised </w:t>
      </w:r>
      <w:r w:rsidR="00FF25E9" w:rsidRPr="00662E51">
        <w:rPr>
          <w:szCs w:val="24"/>
        </w:rPr>
        <w:t xml:space="preserve">nature of the local state </w:t>
      </w:r>
      <w:r w:rsidR="00DE1549" w:rsidRPr="00662E51">
        <w:rPr>
          <w:szCs w:val="24"/>
        </w:rPr>
        <w:fldChar w:fldCharType="begin"/>
      </w:r>
      <w:r w:rsidR="00213B80">
        <w:rPr>
          <w:szCs w:val="24"/>
        </w:rPr>
        <w:instrText xml:space="preserve"> ADDIN ZOTERO_ITEM CSL_CITATION {"citationID":"wKKYKhNy","properties":{"formattedCitation":"(Mark Goodwin and Painter 1996; D. J. Wilson and Game 2011)","plainCitation":"(Mark Goodwin and Painter 1996; D. J. Wilson and Game 2011)","noteIndex":0},"citationItems":[{"id":5564,"uris":["http://zotero.org/users/8977980/items/Q2KXCR9I"],"itemData":{"id":5564,"type":"article-journal","abstract":"During the last fifteen years the local government system in Britain has been transformed into one of local governance in which a multitude of unelected agencies (public, private and voluntary) have become involved in attempting to influence the fortunes of local areas. In this paper, we locate the roots of this shift in the crisis of the Fordist mode of regulation and political responses to it, suggest that a reworked regulation theory can provide a useful perspective from which to interpret current changes and outline the research framework that such a perspective involves. Although a key role for local government in Fordist processes of regulation may be identified, it is doubtful that new forms of local governance are contributing to the emergence of stable regulation in the 1990s. One reason for this is the geographical differentiation of contemporary regulatory processes.","container-title":"Transactions of the Institute of British Geographers","DOI":"10.2307/622391","ISSN":"0020-2754","issue":"4","page":"635-648","publisher":"[Royal Geographical Society (with the Institute of British Geographers), Wiley]","source":"JSTOR","title":"Local Governance, the Crises of Fordism and the Changing Geographies of Regulation","volume":"21","author":[{"family":"Goodwin","given":"Mark"},{"family":"Painter","given":"Joe"}],"issued":{"date-parts":[["1996"]]}}},{"id":6024,"uris":["http://zotero.org/users/8977980/items/KPWE8DA3"],"itemData":{"id":6024,"type":"book","abstract":"During its 13 years of office, Labour's modernization agenda transformed the world of UK local government. Amidst a starkly altered political and economic climate the coalition government formed in 2010 pledged to implement equally radical changes to the system. Taking account of the coalition's programme for government and its first round of spending cuts, the completely revised and updated fifth edition of this popular and established text is timed to take full advantage of this historic juncture.David Wilson and Chris Game provide readers with systematic coverage of the UK's local government. The book examines its defining features, its history, changing structure, operations, functions, financing, and its relations with central government.The fifth edition gives additional emphasis to local government in the devolved regions of the UK, and provides more extensive analysis of centre-local government relations. The authors deliver a thorough critique of Labour's third term in office. Looking ahead, the book anticipates the future of local government under the coalition government. Two themes look likely to dominate policy making: decentralization and cuts to public spending. With its clear, accessible, non-technical style and popular illustrations, Local Government in the United Kingdom will be essential reading for students, practitioners, and anyone with an interest in local politics.","ISBN":"978-0-230-35667-2","language":"en","number-of-pages":"457","publisher":"Bloomsbury Publishing","title":"Local Government in the United Kingdom","author":[{"family":"Wilson","given":"David J."},{"family":"Game","given":"Chris"}],"issued":{"date-parts":[["2011",4,12]]}}}],"schema":"https://github.com/citation-style-language/schema/raw/master/csl-citation.json"} </w:instrText>
      </w:r>
      <w:r w:rsidR="00DE1549" w:rsidRPr="00662E51">
        <w:rPr>
          <w:szCs w:val="24"/>
        </w:rPr>
        <w:fldChar w:fldCharType="separate"/>
      </w:r>
      <w:r w:rsidR="00213B80" w:rsidRPr="00213B80">
        <w:t>(Mark Goodwin and Painter 1996; D. J. Wilson and Game 2011)</w:t>
      </w:r>
      <w:r w:rsidR="00DE1549" w:rsidRPr="00662E51">
        <w:rPr>
          <w:szCs w:val="24"/>
        </w:rPr>
        <w:fldChar w:fldCharType="end"/>
      </w:r>
      <w:r w:rsidR="00FF25E9" w:rsidRPr="00662E51">
        <w:rPr>
          <w:szCs w:val="24"/>
        </w:rPr>
        <w:t xml:space="preserve">. </w:t>
      </w:r>
      <w:r w:rsidR="00ED238A" w:rsidRPr="00662E51">
        <w:rPr>
          <w:szCs w:val="24"/>
        </w:rPr>
        <w:t xml:space="preserve">Finally, as I argue across this work, </w:t>
      </w:r>
      <w:r w:rsidR="002C7D7D">
        <w:rPr>
          <w:szCs w:val="24"/>
        </w:rPr>
        <w:t xml:space="preserve">existing scholarship </w:t>
      </w:r>
      <w:r w:rsidR="00ED238A" w:rsidRPr="00662E51">
        <w:rPr>
          <w:szCs w:val="24"/>
        </w:rPr>
        <w:t>undersell</w:t>
      </w:r>
      <w:r w:rsidR="00F64AED" w:rsidRPr="00662E51">
        <w:rPr>
          <w:szCs w:val="24"/>
        </w:rPr>
        <w:t>s</w:t>
      </w:r>
      <w:r w:rsidR="00ED238A" w:rsidRPr="00662E51">
        <w:rPr>
          <w:szCs w:val="24"/>
        </w:rPr>
        <w:t xml:space="preserve"> </w:t>
      </w:r>
      <w:r w:rsidR="00022792" w:rsidRPr="00662E51">
        <w:rPr>
          <w:szCs w:val="24"/>
        </w:rPr>
        <w:t xml:space="preserve">the role of political parties, especially in cases of one-party states. </w:t>
      </w:r>
      <w:r w:rsidR="001E1251" w:rsidRPr="00662E51">
        <w:rPr>
          <w:szCs w:val="24"/>
        </w:rPr>
        <w:t>I have called this relationship the ‘state-party nexus’ (Section 3.</w:t>
      </w:r>
      <w:r w:rsidR="00C65E30">
        <w:rPr>
          <w:szCs w:val="24"/>
        </w:rPr>
        <w:t>2</w:t>
      </w:r>
      <w:r w:rsidR="001E1251" w:rsidRPr="00662E51">
        <w:rPr>
          <w:szCs w:val="24"/>
        </w:rPr>
        <w:t>.3 and Chapter 6)</w:t>
      </w:r>
      <w:r w:rsidR="00756027" w:rsidRPr="00662E51">
        <w:rPr>
          <w:szCs w:val="24"/>
        </w:rPr>
        <w:t xml:space="preserve"> to reflect the significance of the party to </w:t>
      </w:r>
      <w:r w:rsidR="00D265F1" w:rsidRPr="00662E51">
        <w:rPr>
          <w:szCs w:val="24"/>
        </w:rPr>
        <w:t>policymaking</w:t>
      </w:r>
      <w:r w:rsidR="00756027" w:rsidRPr="00662E51">
        <w:rPr>
          <w:szCs w:val="24"/>
        </w:rPr>
        <w:t xml:space="preserve"> and </w:t>
      </w:r>
      <w:r w:rsidR="00D265F1" w:rsidRPr="00662E51">
        <w:rPr>
          <w:szCs w:val="24"/>
        </w:rPr>
        <w:t>policy</w:t>
      </w:r>
      <w:r w:rsidR="00756027" w:rsidRPr="00662E51">
        <w:rPr>
          <w:szCs w:val="24"/>
        </w:rPr>
        <w:t xml:space="preserve">-delivery. </w:t>
      </w:r>
      <w:r w:rsidR="00D265F1" w:rsidRPr="00662E51">
        <w:rPr>
          <w:szCs w:val="24"/>
        </w:rPr>
        <w:t xml:space="preserve">I next discuss the methods for Chapter 7. </w:t>
      </w:r>
    </w:p>
    <w:p w14:paraId="45AB9B3B" w14:textId="77777777" w:rsidR="001138D5" w:rsidRPr="00662E51" w:rsidRDefault="001138D5" w:rsidP="000E7CC1">
      <w:pPr>
        <w:spacing w:line="360" w:lineRule="auto"/>
      </w:pPr>
    </w:p>
    <w:p w14:paraId="58505CA8" w14:textId="36D0A37E" w:rsidR="00621C17" w:rsidRPr="00662E51" w:rsidRDefault="00621C17" w:rsidP="000E7CC1">
      <w:pPr>
        <w:pStyle w:val="Heading2"/>
        <w:rPr>
          <w:b/>
          <w:bCs/>
        </w:rPr>
      </w:pPr>
      <w:bookmarkStart w:id="460" w:name="_Toc216096183"/>
      <w:bookmarkStart w:id="461" w:name="_Toc221184371"/>
      <w:bookmarkStart w:id="462" w:name="_Toc231215289"/>
      <w:r w:rsidRPr="00662E51">
        <w:t>Method</w:t>
      </w:r>
      <w:bookmarkEnd w:id="457"/>
      <w:bookmarkEnd w:id="460"/>
      <w:bookmarkEnd w:id="461"/>
      <w:r w:rsidR="00836748">
        <w:t>s:</w:t>
      </w:r>
      <w:bookmarkEnd w:id="462"/>
    </w:p>
    <w:p w14:paraId="1DFF8288" w14:textId="49FE2CF4" w:rsidR="00621C17" w:rsidRPr="00662E51" w:rsidRDefault="00621C17" w:rsidP="000E7CC1">
      <w:pPr>
        <w:spacing w:line="360" w:lineRule="auto"/>
        <w:ind w:left="0"/>
        <w:rPr>
          <w:szCs w:val="24"/>
        </w:rPr>
      </w:pPr>
      <w:r w:rsidRPr="00662E51">
        <w:rPr>
          <w:szCs w:val="24"/>
        </w:rPr>
        <w:t xml:space="preserve">This </w:t>
      </w:r>
      <w:r w:rsidR="00265F26" w:rsidRPr="00662E51">
        <w:rPr>
          <w:szCs w:val="24"/>
        </w:rPr>
        <w:t>chapter</w:t>
      </w:r>
      <w:r w:rsidRPr="00662E51">
        <w:rPr>
          <w:szCs w:val="24"/>
        </w:rPr>
        <w:t xml:space="preserve"> employs a combination of document analysis and </w:t>
      </w:r>
      <w:r w:rsidR="0051581E" w:rsidRPr="00662E51">
        <w:rPr>
          <w:szCs w:val="24"/>
        </w:rPr>
        <w:t>eighteen in-depth</w:t>
      </w:r>
      <w:r w:rsidR="0051581E">
        <w:rPr>
          <w:szCs w:val="24"/>
        </w:rPr>
        <w:t>,</w:t>
      </w:r>
      <w:r w:rsidR="0051581E" w:rsidRPr="00662E51">
        <w:rPr>
          <w:szCs w:val="24"/>
        </w:rPr>
        <w:t xml:space="preserve"> </w:t>
      </w:r>
      <w:r w:rsidRPr="00662E51">
        <w:rPr>
          <w:szCs w:val="24"/>
        </w:rPr>
        <w:t xml:space="preserve">semi-structured interviews. Interviewees are organisers active in housing justice spaces in Haringey as well as current and former councillors from the Labour Party. All organisers were involved with the StopHDV campaign in some capacity </w:t>
      </w:r>
      <w:r w:rsidRPr="00662E51">
        <w:rPr>
          <w:szCs w:val="24"/>
        </w:rPr>
        <w:lastRenderedPageBreak/>
        <w:t xml:space="preserve">and have continued to </w:t>
      </w:r>
      <w:r w:rsidR="0093466F" w:rsidRPr="00662E51">
        <w:rPr>
          <w:szCs w:val="24"/>
        </w:rPr>
        <w:t xml:space="preserve">oppose the </w:t>
      </w:r>
      <w:r w:rsidRPr="00662E51">
        <w:rPr>
          <w:szCs w:val="24"/>
        </w:rPr>
        <w:t xml:space="preserve">HRW scheme. </w:t>
      </w:r>
      <w:r w:rsidR="00B77B7C" w:rsidRPr="00662E51">
        <w:rPr>
          <w:szCs w:val="24"/>
        </w:rPr>
        <w:t>Unlike in previous chapters, i</w:t>
      </w:r>
      <w:r w:rsidRPr="00662E51">
        <w:rPr>
          <w:szCs w:val="24"/>
        </w:rPr>
        <w:t>nterviewees are given a number and referred to using the ‘they’</w:t>
      </w:r>
      <w:r w:rsidR="000B2F75" w:rsidRPr="00662E51">
        <w:rPr>
          <w:szCs w:val="24"/>
        </w:rPr>
        <w:t xml:space="preserve"> / ‘</w:t>
      </w:r>
      <w:r w:rsidRPr="00662E51">
        <w:rPr>
          <w:szCs w:val="24"/>
        </w:rPr>
        <w:t>them’ singular to maintain anonymity—except where otherwise agreed</w:t>
      </w:r>
      <w:r w:rsidR="0093466F" w:rsidRPr="00662E51">
        <w:rPr>
          <w:szCs w:val="24"/>
        </w:rPr>
        <w:t xml:space="preserve">. This is because </w:t>
      </w:r>
      <w:r w:rsidR="00061B2C" w:rsidRPr="00662E51">
        <w:rPr>
          <w:szCs w:val="24"/>
        </w:rPr>
        <w:t>I rely less on testimony of councillors and politicians here</w:t>
      </w:r>
      <w:r w:rsidR="00DC3A6A" w:rsidRPr="00662E51">
        <w:rPr>
          <w:szCs w:val="24"/>
        </w:rPr>
        <w:t xml:space="preserve">: many of the councillors I interviewed for this thesis had left </w:t>
      </w:r>
      <w:r w:rsidR="009E37E0" w:rsidRPr="00662E51">
        <w:rPr>
          <w:szCs w:val="24"/>
        </w:rPr>
        <w:t xml:space="preserve">the council after 2021. To supplement this data, Chapter 7 </w:t>
      </w:r>
      <w:r w:rsidR="00F8492D" w:rsidRPr="00662E51">
        <w:rPr>
          <w:szCs w:val="24"/>
        </w:rPr>
        <w:t xml:space="preserve">relies more on </w:t>
      </w:r>
      <w:r w:rsidR="00E47E35" w:rsidRPr="00662E51">
        <w:rPr>
          <w:szCs w:val="24"/>
        </w:rPr>
        <w:t xml:space="preserve">state </w:t>
      </w:r>
      <w:r w:rsidR="00F8492D" w:rsidRPr="00662E51">
        <w:rPr>
          <w:szCs w:val="24"/>
        </w:rPr>
        <w:t>documents that are publicly available</w:t>
      </w:r>
      <w:r w:rsidR="00E47E35" w:rsidRPr="00662E51">
        <w:rPr>
          <w:szCs w:val="24"/>
        </w:rPr>
        <w:t xml:space="preserve">. As I discussed in Section 4.1.2, this is not a neutral undertaking; the analysis below </w:t>
      </w:r>
      <w:r w:rsidR="00840214" w:rsidRPr="00662E51">
        <w:rPr>
          <w:szCs w:val="24"/>
        </w:rPr>
        <w:t xml:space="preserve">maintains a critical eye without resorting to state phobia. </w:t>
      </w:r>
    </w:p>
    <w:p w14:paraId="6E3F6BA7" w14:textId="105172EB" w:rsidR="00621C17" w:rsidRPr="00662E51" w:rsidRDefault="00621C17" w:rsidP="00F56305">
      <w:pPr>
        <w:spacing w:line="360" w:lineRule="auto"/>
        <w:ind w:left="0" w:firstLine="720"/>
        <w:rPr>
          <w:szCs w:val="24"/>
        </w:rPr>
      </w:pPr>
      <w:r w:rsidRPr="00662E51">
        <w:rPr>
          <w:szCs w:val="24"/>
        </w:rPr>
        <w:t xml:space="preserve">Coding was done inductively and deductively, beginning with codes on High Road West, activism, the Labour Party, and other housing struggles in Haringey. New codes were subsequently developed for other significant threads </w:t>
      </w:r>
      <w:r w:rsidRPr="00662E51">
        <w:rPr>
          <w:szCs w:val="24"/>
        </w:rPr>
        <w:fldChar w:fldCharType="begin"/>
      </w:r>
      <w:r w:rsidR="008835AB" w:rsidRPr="00662E51">
        <w:rPr>
          <w:szCs w:val="24"/>
        </w:rPr>
        <w:instrText xml:space="preserve"> ADDIN ZOTERO_ITEM CSL_CITATION {"citationID":"xP3wRvYm","properties":{"formattedCitation":"(Salda\\uc0\\u241{}a 2021)","plainCitation":"(Saldaña 2021)","noteIndex":0},"citationItems":[{"id":6840,"uris":["http://zotero.org/users/8977980/items/LW47UIFB"],"itemData":{"id":6840,"type":"book","abstract":"\"This classic manual is the definitive guide to coding and analysing qualitative data. It introduces a broad array of approaches to qualitative coding, presenting the advantages and parameters of each to empower you to make an informed decision when choosing the appropriate methods for your research project. Drawing on multiple detailed, real-world examples, the manual : illustrates the step-by-step processes involved in different coding approaches ; demonstrates clearly how to apply each method of coding and themeing in a systematic way ; and, highlights the core skills involved with identifying patterns in and making sense of your data. This invaluable manual from world-renowned methodologist Johnny Saldaña demystifies and illuminates the process of qualitative coding and provides clear, insightful guidance for qualitative researchers at all levels.\"-- Back cover.","call-number":"300.721 SAL","edition":"4E [Fourth edition].","ISBN":"978-1-5297-3175-0","language":"eng","publisher":"SAGE","publisher-place":"London","source":"discover.durham.ac.uk","title":"The coding manual for qualitative researchers","author":[{"family":"Saldaña","given":"Johnny"}],"issued":{"date-parts":[["2021"]]}}}],"schema":"https://github.com/citation-style-language/schema/raw/master/csl-citation.json"} </w:instrText>
      </w:r>
      <w:r w:rsidRPr="00662E51">
        <w:rPr>
          <w:szCs w:val="24"/>
        </w:rPr>
        <w:fldChar w:fldCharType="separate"/>
      </w:r>
      <w:r w:rsidR="0095662D" w:rsidRPr="00662E51">
        <w:rPr>
          <w:rFonts w:cs="Times New Roman"/>
          <w:kern w:val="0"/>
        </w:rPr>
        <w:t>(Saldaña 2021)</w:t>
      </w:r>
      <w:r w:rsidRPr="00662E51">
        <w:rPr>
          <w:szCs w:val="24"/>
        </w:rPr>
        <w:fldChar w:fldCharType="end"/>
      </w:r>
      <w:r w:rsidRPr="00662E51">
        <w:rPr>
          <w:szCs w:val="24"/>
        </w:rPr>
        <w:t xml:space="preserve">. Most of the documents used date from the early period of the scheme, around 2013 to 2015. While HRW is live at the time of writing, and so newer documents exist, these earlier sources form the basis from which the policy has developed. Haringey Council for instance notes the 2013 consultation fed into future planning, culminating in the 2014 Masterplan produced by Arup </w:t>
      </w:r>
      <w:r w:rsidRPr="00662E51">
        <w:rPr>
          <w:szCs w:val="24"/>
        </w:rPr>
        <w:fldChar w:fldCharType="begin"/>
      </w:r>
      <w:r w:rsidR="008835AB" w:rsidRPr="00662E51">
        <w:rPr>
          <w:szCs w:val="24"/>
        </w:rPr>
        <w:instrText xml:space="preserve"> ADDIN ZOTERO_ITEM CSL_CITATION {"citationID":"aYi2groO","properties":{"formattedCitation":"(2014)","plainCitation":"(2014)","noteIndex":0},"citationItems":[{"id":5648,"uris":["http://zotero.org/users/8977980/items/QYPUBGC9"],"itemData":{"id":5648,"type":"report","publisher":"Haringey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abel":"page","suppress-author":true}],"schema":"https://github.com/citation-style-language/schema/raw/master/csl-citation.json"} </w:instrText>
      </w:r>
      <w:r w:rsidRPr="00662E51">
        <w:rPr>
          <w:szCs w:val="24"/>
        </w:rPr>
        <w:fldChar w:fldCharType="separate"/>
      </w:r>
      <w:r w:rsidR="0095662D" w:rsidRPr="00662E51">
        <w:t>(2014)</w:t>
      </w:r>
      <w:r w:rsidRPr="00662E51">
        <w:rPr>
          <w:szCs w:val="24"/>
        </w:rPr>
        <w:fldChar w:fldCharType="end"/>
      </w:r>
      <w:r w:rsidRPr="00662E51">
        <w:rPr>
          <w:szCs w:val="24"/>
        </w:rPr>
        <w:t xml:space="preserve">. This plan likewise retains its importance as a guiding document for the Council. As is demonstrated </w:t>
      </w:r>
      <w:r w:rsidR="00C25ABD" w:rsidRPr="00662E51">
        <w:rPr>
          <w:szCs w:val="24"/>
        </w:rPr>
        <w:t>throughout this work</w:t>
      </w:r>
      <w:r w:rsidRPr="00662E51">
        <w:rPr>
          <w:szCs w:val="24"/>
        </w:rPr>
        <w:t>,</w:t>
      </w:r>
      <w:r w:rsidR="00C25ABD" w:rsidRPr="00662E51">
        <w:rPr>
          <w:szCs w:val="24"/>
        </w:rPr>
        <w:t xml:space="preserve"> authoritarian neoliberalism </w:t>
      </w:r>
      <w:r w:rsidRPr="00662E51">
        <w:rPr>
          <w:szCs w:val="24"/>
        </w:rPr>
        <w:t xml:space="preserve">is ultimately about making capital accumulation resilient. Overall, this combination of sources allows me to tell the story of the scheme from the perspectives of the Labour Party, activists, and the local state—as well as examining this relationship through the lens of authoritarian neoliberalism. </w:t>
      </w:r>
    </w:p>
    <w:p w14:paraId="1211D41E" w14:textId="77777777" w:rsidR="00621C17" w:rsidRPr="00662E51" w:rsidRDefault="00621C17" w:rsidP="00F56305">
      <w:pPr>
        <w:spacing w:line="360" w:lineRule="auto"/>
        <w:ind w:left="0" w:firstLine="720"/>
        <w:rPr>
          <w:szCs w:val="24"/>
        </w:rPr>
      </w:pPr>
    </w:p>
    <w:p w14:paraId="6EE24C47" w14:textId="7D1CF24F" w:rsidR="00621C17" w:rsidRPr="00662E51" w:rsidRDefault="006C4B5C" w:rsidP="00F56305">
      <w:pPr>
        <w:pStyle w:val="Heading2"/>
      </w:pPr>
      <w:bookmarkStart w:id="463" w:name="_Toc221184372"/>
      <w:bookmarkStart w:id="464" w:name="_Toc231215290"/>
      <w:r>
        <w:t>Authoritarian Neoliberalism in High Road West</w:t>
      </w:r>
      <w:bookmarkEnd w:id="463"/>
      <w:r w:rsidR="00836748">
        <w:t>:</w:t>
      </w:r>
      <w:bookmarkEnd w:id="464"/>
    </w:p>
    <w:p w14:paraId="7A951F79" w14:textId="3560B91A" w:rsidR="00621C17" w:rsidRPr="00662E51" w:rsidRDefault="00621C17" w:rsidP="00F56305">
      <w:pPr>
        <w:tabs>
          <w:tab w:val="left" w:pos="546"/>
        </w:tabs>
        <w:spacing w:line="360" w:lineRule="auto"/>
        <w:ind w:left="0"/>
        <w:rPr>
          <w:szCs w:val="24"/>
        </w:rPr>
      </w:pPr>
      <w:r w:rsidRPr="00662E51">
        <w:rPr>
          <w:szCs w:val="24"/>
        </w:rPr>
        <w:t xml:space="preserve">Here, my analysis seeks to explain why High Road West was able to persist even with the fall of the Haringey Development Vehicle. My aspiration is to not simply illustrate that AN has become the dominant, present mode of governance here in Haringey. Rather, I show how the twinned aspects of AN are, at the local scale, “preemptive, locking in neoliberal governance mechanisms” long after the political state of play shifts </w:t>
      </w:r>
      <w:r w:rsidRPr="00662E51">
        <w:rPr>
          <w:szCs w:val="24"/>
        </w:rPr>
        <w:fldChar w:fldCharType="begin"/>
      </w:r>
      <w:r w:rsidR="00557CA9" w:rsidRPr="00662E51">
        <w:rPr>
          <w:szCs w:val="24"/>
        </w:rPr>
        <w:instrText xml:space="preserve"> ADDIN ZOTERO_ITEM CSL_CITATION {"citationID":"Rut8CWOa","properties":{"formattedCitation":"(Bruff 2014, 123)","plainCitation":"(Bruff 2014, 123)","noteIndex":0},"citationItems":[{"id":5773,"uris":["http://zotero.org/users/8977980/items/YQRZXUST"],"itemData":{"id":5773,"type":"article-journal","container-title":"Rethinking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Neoliberalism","volume":"26","author":[{"family":"Bruff","given":"Ian"}],"issued":{"date-parts":[["2014",1,2]]}},"locator":"123"}],"schema":"https://github.com/citation-style-language/schema/raw/master/csl-citation.json"} </w:instrText>
      </w:r>
      <w:r w:rsidRPr="00662E51">
        <w:rPr>
          <w:szCs w:val="24"/>
        </w:rPr>
        <w:fldChar w:fldCharType="separate"/>
      </w:r>
      <w:r w:rsidR="0095662D" w:rsidRPr="00662E51">
        <w:t>(Bruff 2014, 123)</w:t>
      </w:r>
      <w:r w:rsidRPr="00662E51">
        <w:rPr>
          <w:szCs w:val="24"/>
        </w:rPr>
        <w:fldChar w:fldCharType="end"/>
      </w:r>
      <w:r w:rsidRPr="00662E51">
        <w:rPr>
          <w:szCs w:val="24"/>
        </w:rPr>
        <w:t xml:space="preserve">. </w:t>
      </w:r>
      <w:r w:rsidR="00914A65" w:rsidRPr="00662E51">
        <w:rPr>
          <w:szCs w:val="24"/>
        </w:rPr>
        <w:t xml:space="preserve">I </w:t>
      </w:r>
      <w:r w:rsidRPr="00662E51">
        <w:rPr>
          <w:szCs w:val="24"/>
        </w:rPr>
        <w:t>first</w:t>
      </w:r>
      <w:r w:rsidR="00914A65" w:rsidRPr="00662E51">
        <w:rPr>
          <w:szCs w:val="24"/>
        </w:rPr>
        <w:t xml:space="preserve"> contextualise the </w:t>
      </w:r>
      <w:r w:rsidRPr="00662E51">
        <w:rPr>
          <w:szCs w:val="24"/>
        </w:rPr>
        <w:t>scheme and its targets</w:t>
      </w:r>
      <w:r w:rsidR="00914A65" w:rsidRPr="00662E51">
        <w:rPr>
          <w:szCs w:val="24"/>
        </w:rPr>
        <w:t xml:space="preserve">, aiming to understand </w:t>
      </w:r>
      <w:r w:rsidR="00F83797" w:rsidRPr="00662E51">
        <w:rPr>
          <w:szCs w:val="24"/>
        </w:rPr>
        <w:t xml:space="preserve">the insulating and coercive strands that meant HRW continues. Second, I analyse the underlying moral and cultural discourses </w:t>
      </w:r>
      <w:r w:rsidR="00F83797" w:rsidRPr="00662E51">
        <w:rPr>
          <w:szCs w:val="24"/>
        </w:rPr>
        <w:lastRenderedPageBreak/>
        <w:t xml:space="preserve">which bolster the </w:t>
      </w:r>
      <w:r w:rsidR="00801AA6" w:rsidRPr="00662E51">
        <w:rPr>
          <w:szCs w:val="24"/>
        </w:rPr>
        <w:t>state’s arguments for continuing HRW. Finally, I examine the Council’s</w:t>
      </w:r>
      <w:r w:rsidRPr="00662E51">
        <w:rPr>
          <w:szCs w:val="24"/>
        </w:rPr>
        <w:t xml:space="preserve"> supposed democratic engagement with local residents</w:t>
      </w:r>
      <w:r w:rsidR="00801AA6" w:rsidRPr="00662E51">
        <w:rPr>
          <w:szCs w:val="24"/>
        </w:rPr>
        <w:t xml:space="preserve"> to emphasise the </w:t>
      </w:r>
      <w:r w:rsidR="00801AA6" w:rsidRPr="00662E51">
        <w:rPr>
          <w:i/>
          <w:iCs/>
          <w:szCs w:val="24"/>
        </w:rPr>
        <w:t>local</w:t>
      </w:r>
      <w:r w:rsidR="00801AA6" w:rsidRPr="00662E51">
        <w:rPr>
          <w:szCs w:val="24"/>
        </w:rPr>
        <w:t xml:space="preserve"> authoritarian neoliberalism within High Road West.</w:t>
      </w:r>
    </w:p>
    <w:p w14:paraId="45E56383" w14:textId="77777777" w:rsidR="00621C17" w:rsidRPr="00662E51" w:rsidRDefault="00621C17" w:rsidP="00F56305">
      <w:pPr>
        <w:tabs>
          <w:tab w:val="left" w:pos="546"/>
        </w:tabs>
        <w:spacing w:line="360" w:lineRule="auto"/>
        <w:ind w:left="0"/>
        <w:rPr>
          <w:szCs w:val="24"/>
        </w:rPr>
      </w:pPr>
    </w:p>
    <w:p w14:paraId="0C276A7D" w14:textId="77777777" w:rsidR="00621C17" w:rsidRPr="00662E51" w:rsidRDefault="00621C17" w:rsidP="00F56305">
      <w:pPr>
        <w:pStyle w:val="Heading3"/>
      </w:pPr>
      <w:bookmarkStart w:id="465" w:name="_Toc213173987"/>
      <w:bookmarkStart w:id="466" w:name="_Toc221184373"/>
      <w:bookmarkStart w:id="467" w:name="_Toc231215291"/>
      <w:r w:rsidRPr="00662E51">
        <w:t>High Road West: Context and Policy</w:t>
      </w:r>
      <w:bookmarkEnd w:id="465"/>
      <w:bookmarkEnd w:id="466"/>
      <w:bookmarkEnd w:id="467"/>
    </w:p>
    <w:p w14:paraId="5F2D0557" w14:textId="28529DA9" w:rsidR="00621C17" w:rsidRPr="00662E51" w:rsidRDefault="00621C17" w:rsidP="00F56305">
      <w:pPr>
        <w:tabs>
          <w:tab w:val="left" w:pos="546"/>
        </w:tabs>
        <w:spacing w:line="360" w:lineRule="auto"/>
        <w:ind w:left="0"/>
        <w:rPr>
          <w:szCs w:val="24"/>
        </w:rPr>
      </w:pPr>
      <w:r w:rsidRPr="00662E51">
        <w:rPr>
          <w:szCs w:val="24"/>
        </w:rPr>
        <w:tab/>
      </w:r>
      <w:r w:rsidRPr="00662E51">
        <w:rPr>
          <w:szCs w:val="24"/>
        </w:rPr>
        <w:tab/>
        <w:t>Examining HRW as a policy proposal through the framework of AN can help explain the scheme’s resilience. Here, I consider the political and economic contexts of HRW, which reflect not only the “economic, financial and corporeal discipline”</w:t>
      </w:r>
      <w:r w:rsidR="00EC443E">
        <w:rPr>
          <w:szCs w:val="24"/>
        </w:rPr>
        <w:t>—</w:t>
      </w:r>
      <w:r w:rsidRPr="00662E51">
        <w:rPr>
          <w:szCs w:val="24"/>
        </w:rPr>
        <w:t>but also the political discipline</w:t>
      </w:r>
      <w:r w:rsidR="00EC443E">
        <w:rPr>
          <w:szCs w:val="24"/>
        </w:rPr>
        <w:t>—</w:t>
      </w:r>
      <w:r w:rsidRPr="00662E51">
        <w:rPr>
          <w:szCs w:val="24"/>
        </w:rPr>
        <w:t xml:space="preserve">inherent in authoritarian neoliberalism </w:t>
      </w:r>
      <w:r w:rsidRPr="00662E51">
        <w:rPr>
          <w:szCs w:val="24"/>
        </w:rPr>
        <w:fldChar w:fldCharType="begin"/>
      </w:r>
      <w:r w:rsidR="008835AB" w:rsidRPr="00662E51">
        <w:rPr>
          <w:szCs w:val="24"/>
        </w:rPr>
        <w:instrText xml:space="preserve"> ADDIN ZOTERO_ITEM CSL_CITATION {"citationID":"NSULxE4a","properties":{"formattedCitation":"(Tansel 2017, 3)","plainCitation":"(Tansel 2017, 3)","noteIndex":0},"citationItems":[{"id":5807,"uris":["http://zotero.org/users/8977980/items/KGMGBNMC"],"itemData":{"id":5807,"type":"book","abstract":"Despite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Burak"}],"issued":{"date-parts":[["2017",2,8]]}},"locator":"3"}],"schema":"https://github.com/citation-style-language/schema/raw/master/csl-citation.json"} </w:instrText>
      </w:r>
      <w:r w:rsidRPr="00662E51">
        <w:rPr>
          <w:szCs w:val="24"/>
        </w:rPr>
        <w:fldChar w:fldCharType="separate"/>
      </w:r>
      <w:r w:rsidR="0095662D" w:rsidRPr="00662E51">
        <w:t>(Tansel 2017, 3)</w:t>
      </w:r>
      <w:r w:rsidRPr="00662E51">
        <w:rPr>
          <w:szCs w:val="24"/>
        </w:rPr>
        <w:fldChar w:fldCharType="end"/>
      </w:r>
      <w:r w:rsidRPr="00662E51">
        <w:rPr>
          <w:szCs w:val="24"/>
        </w:rPr>
        <w:t xml:space="preserve">. </w:t>
      </w:r>
      <w:r w:rsidR="00FC3CEB">
        <w:rPr>
          <w:szCs w:val="24"/>
        </w:rPr>
        <w:t>The scheme</w:t>
      </w:r>
      <w:r w:rsidR="00C042F8">
        <w:rPr>
          <w:szCs w:val="24"/>
        </w:rPr>
        <w:t xml:space="preserve"> will</w:t>
      </w:r>
      <w:r w:rsidR="00C042F8" w:rsidRPr="00662E51">
        <w:rPr>
          <w:rFonts w:cs="Times New Roman"/>
          <w:kern w:val="0"/>
          <w:szCs w:val="24"/>
        </w:rPr>
        <w:t xml:space="preserve"> take 15 years to complete, cost around £1 billion, and develop 2,600 homes </w:t>
      </w:r>
      <w:r w:rsidR="00C042F8" w:rsidRPr="00662E51">
        <w:rPr>
          <w:rFonts w:cs="Times New Roman"/>
          <w:kern w:val="0"/>
          <w:szCs w:val="24"/>
        </w:rPr>
        <w:fldChar w:fldCharType="begin"/>
      </w:r>
      <w:r w:rsidR="00B84B22">
        <w:rPr>
          <w:rFonts w:cs="Times New Roman"/>
          <w:kern w:val="0"/>
          <w:szCs w:val="24"/>
        </w:rPr>
        <w:instrText xml:space="preserve"> ADDIN ZOTERO_ITEM CSL_CITATION {"citationID":"qPBxUmuW","properties":{"formattedCitation":"(Allin 2022; Bloomfield 2017)","plainCitation":"(Allin 2022; Bloomfield 2017)","noteIndex":0},"citationItems":[{"id":4581,"uris":["http://zotero.org/users/8977980/items/VIVN282N"],"itemData":{"id":4581,"type":"article-newspaper","abstract":"Plans to knock down hundreds of homes and businesses in Tottenham to make way for a huge regeneration scheme have been approved by councillors.","container-title":"Enfield Independent","language":"en","section":"Local Government","title":"Almost 3,000 new homes get go-ahead in Haringey high-rise redevelopment","URL":"https://www.enfieldindependent.co.uk/news/20513843.haringey-council-approves-high-road-west-redevelopment/","author":[{"family":"Allin","given":"Simon"}],"accessed":{"date-parts":[["2023",7,12]]},"issued":{"date-parts":[["2022",7,25]]}}},{"id":6582,"uris":["http://zotero.org/users/8977980/items/Y74UV2AW"],"itemData":{"id":6582,"type":"article-newspaper","abstract":"Tottenham High Road is set to be completely regenerated with a new development, called High Road West, which will include more than 2,500 new homes and a public square.","container-title":"The Standard","language":"en","note":"section: Homes &amp; Property","section":"Property News","title":"First look: the £1bn regeneration planned for Tottenham High Road","title-short":"First look","URL":"https://www.standard.co.uk/homesandproperty/property-news/first-look-at-tottenhams-ps1-billion-transformation-a113691.html","author":[{"family":"Bloomfield","given":"Ruth"}],"accessed":{"date-parts":[["2025",6,23]]},"issued":{"date-parts":[["2017",9,20]]}}}],"schema":"https://github.com/citation-style-language/schema/raw/master/csl-citation.json"} </w:instrText>
      </w:r>
      <w:r w:rsidR="00C042F8" w:rsidRPr="00662E51">
        <w:rPr>
          <w:rFonts w:cs="Times New Roman"/>
          <w:kern w:val="0"/>
          <w:szCs w:val="24"/>
        </w:rPr>
        <w:fldChar w:fldCharType="separate"/>
      </w:r>
      <w:r w:rsidR="00C042F8" w:rsidRPr="00662E51">
        <w:rPr>
          <w:szCs w:val="24"/>
        </w:rPr>
        <w:t>(Allin 2022; Bloomfield 2017)</w:t>
      </w:r>
      <w:r w:rsidR="00C042F8" w:rsidRPr="00662E51">
        <w:rPr>
          <w:rFonts w:cs="Times New Roman"/>
          <w:kern w:val="0"/>
          <w:szCs w:val="24"/>
        </w:rPr>
        <w:fldChar w:fldCharType="end"/>
      </w:r>
      <w:r w:rsidR="00C042F8" w:rsidRPr="00662E51">
        <w:rPr>
          <w:rFonts w:cs="Times New Roman"/>
          <w:kern w:val="0"/>
          <w:szCs w:val="24"/>
        </w:rPr>
        <w:t xml:space="preserve">. </w:t>
      </w:r>
      <w:r w:rsidR="00C042F8">
        <w:rPr>
          <w:rFonts w:cs="Times New Roman"/>
          <w:kern w:val="0"/>
          <w:szCs w:val="24"/>
        </w:rPr>
        <w:t xml:space="preserve">In the process, it will </w:t>
      </w:r>
      <w:r w:rsidR="00C042F8" w:rsidRPr="00662E51">
        <w:rPr>
          <w:rFonts w:cs="Times New Roman"/>
          <w:kern w:val="0"/>
          <w:szCs w:val="24"/>
        </w:rPr>
        <w:t xml:space="preserve">demolish </w:t>
      </w:r>
      <w:r w:rsidR="00C042F8">
        <w:rPr>
          <w:rFonts w:cs="Times New Roman"/>
          <w:kern w:val="0"/>
          <w:szCs w:val="24"/>
        </w:rPr>
        <w:t xml:space="preserve">nearly 300 homes on the </w:t>
      </w:r>
      <w:r w:rsidR="00C042F8" w:rsidRPr="00662E51">
        <w:rPr>
          <w:rFonts w:cs="Times New Roman"/>
          <w:kern w:val="0"/>
          <w:szCs w:val="24"/>
        </w:rPr>
        <w:t>Love Lane estate, which is mostly social housing</w:t>
      </w:r>
      <w:r w:rsidR="00C042F8">
        <w:rPr>
          <w:rFonts w:cs="Times New Roman"/>
          <w:kern w:val="0"/>
          <w:szCs w:val="24"/>
        </w:rPr>
        <w:t xml:space="preserve">. This scheme will consequently displace </w:t>
      </w:r>
      <w:r w:rsidR="00C042F8" w:rsidRPr="00662E51">
        <w:rPr>
          <w:rFonts w:cs="Times New Roman"/>
          <w:kern w:val="0"/>
          <w:szCs w:val="24"/>
        </w:rPr>
        <w:t>around 1,000 people</w:t>
      </w:r>
      <w:r w:rsidR="00CC2457">
        <w:rPr>
          <w:rFonts w:cs="Times New Roman"/>
          <w:kern w:val="0"/>
          <w:szCs w:val="24"/>
        </w:rPr>
        <w:t>. High Road West</w:t>
      </w:r>
      <w:r w:rsidR="00C042F8" w:rsidRPr="00662E51">
        <w:rPr>
          <w:szCs w:val="24"/>
        </w:rPr>
        <w:t xml:space="preserve"> scheme </w:t>
      </w:r>
      <w:r w:rsidR="00CC2457">
        <w:rPr>
          <w:szCs w:val="24"/>
        </w:rPr>
        <w:t xml:space="preserve">was designed to exploit </w:t>
      </w:r>
      <w:r w:rsidR="00C042F8" w:rsidRPr="00662E51">
        <w:rPr>
          <w:szCs w:val="24"/>
        </w:rPr>
        <w:t xml:space="preserve">regeneration attached to the </w:t>
      </w:r>
      <w:r w:rsidR="00CC2457">
        <w:rPr>
          <w:szCs w:val="24"/>
        </w:rPr>
        <w:t xml:space="preserve">Tottenham Hotspur Football Club </w:t>
      </w:r>
      <w:r w:rsidR="00C042F8" w:rsidRPr="00662E51">
        <w:rPr>
          <w:szCs w:val="24"/>
        </w:rPr>
        <w:t xml:space="preserve">stadium rebuild </w:t>
      </w:r>
      <w:r w:rsidR="00C042F8" w:rsidRPr="00662E51">
        <w:rPr>
          <w:szCs w:val="24"/>
        </w:rPr>
        <w:fldChar w:fldCharType="begin"/>
      </w:r>
      <w:r w:rsidR="00B84B22">
        <w:rPr>
          <w:szCs w:val="24"/>
        </w:rPr>
        <w:instrText xml:space="preserve"> ADDIN ZOTERO_ITEM CSL_CITATION {"citationID":"mRjRjQxn","properties":{"formattedCitation":"(Panton and Walters 2018)","plainCitation":"(Panton and Walters 2018)","noteIndex":0},"citationItems":[{"id":3024,"uris":["http://zotero.org/users/8977980/items/NJL87MS9"],"itemData":{"id":3024,"type":"article-journal","abstract":"Austerity was the driving principle behind the UK Coalition Government Comprehensive Spending Review in October 2010, with local government facing a disproportionately high share of the spending cuts. Research has focused on the impact of ‘austerity urbanism’ and urban regeneration; however, there is relatively little focus on sports-led regeneration. This article presents case study research of the stadium-led regeneration project involving Tottenham Hotspur FC and the London Borough of Haringey, focusing on the community perceptions of urban regeneration. It has two aims: ﬁrst, to understand the local authority’s approach to regeneration in the context of the austerity agenda, and second, to understand how this approach was perceived by, and the impact on, those communities living within the geographical locality of the developments. Three themes emerged: ﬁrst, that austerity led the local authority to adopt a pragmatic approach to regeneration; second, that regeneration in a period of austerity is perceived by local communities as a strategy of gentriﬁcation and, third, concerns over the lack of community consultation served as a stimulus for community engagement. Two implications arising from this research are that while community groups in Tottenham had limited success in gaining major changes to the stadium-led regeneration in Tottenham, they have arguably been able to slow down the process. Moreover, they have been successful in bringing together diverse groups across the community to share knowledge in order to challenge further proposals from Haringey Council.","container-title":"International Journal of Sport Policy and Politics","DOI":"10.1080/19406940.2017.1398768","ISSN":"1940-6940, 1940-6959","issue":"1","journalAbbreviation":"International Journal of Sport Policy and Politics","language":"en","page":"163-183","source":"DOI.org (Crossref)","title":"&lt;i&gt;‘It’s just a Trojan horse for gentrification&lt;/i&gt; ’: austerity and stadium-led regeneration","title-short":"&lt;i&gt;‘It’s just a Trojan horse for gentrification&lt;/i&gt; ’","volume":"10","author":[{"family":"Panton","given":"Mark"},{"family":"Walters","given":"Geoff"}],"issued":{"date-parts":[["2018",1,2]]}}}],"schema":"https://github.com/citation-style-language/schema/raw/master/csl-citation.json"} </w:instrText>
      </w:r>
      <w:r w:rsidR="00C042F8" w:rsidRPr="00662E51">
        <w:rPr>
          <w:szCs w:val="24"/>
        </w:rPr>
        <w:fldChar w:fldCharType="separate"/>
      </w:r>
      <w:r w:rsidR="00C042F8" w:rsidRPr="00662E51">
        <w:rPr>
          <w:szCs w:val="24"/>
        </w:rPr>
        <w:t>(Panton and Walters 2018)</w:t>
      </w:r>
      <w:r w:rsidR="00C042F8" w:rsidRPr="00662E51">
        <w:rPr>
          <w:szCs w:val="24"/>
        </w:rPr>
        <w:fldChar w:fldCharType="end"/>
      </w:r>
      <w:r w:rsidR="00C042F8" w:rsidRPr="00662E51">
        <w:rPr>
          <w:szCs w:val="24"/>
        </w:rPr>
        <w:t xml:space="preserve">. </w:t>
      </w:r>
      <w:r w:rsidR="00F742CC">
        <w:rPr>
          <w:szCs w:val="24"/>
        </w:rPr>
        <w:t xml:space="preserve">Section 1.4.3 provides </w:t>
      </w:r>
      <w:r w:rsidR="00FC3CEB">
        <w:rPr>
          <w:szCs w:val="24"/>
        </w:rPr>
        <w:t xml:space="preserve">a detailed description of the scheme. </w:t>
      </w:r>
    </w:p>
    <w:p w14:paraId="5CF185E7" w14:textId="2133A913" w:rsidR="00113576" w:rsidRDefault="00621C17" w:rsidP="00F56305">
      <w:pPr>
        <w:tabs>
          <w:tab w:val="left" w:pos="546"/>
        </w:tabs>
        <w:spacing w:line="360" w:lineRule="auto"/>
        <w:ind w:left="0"/>
        <w:rPr>
          <w:szCs w:val="24"/>
        </w:rPr>
      </w:pPr>
      <w:r w:rsidRPr="00662E51">
        <w:rPr>
          <w:szCs w:val="24"/>
        </w:rPr>
        <w:tab/>
      </w:r>
      <w:r w:rsidRPr="00662E51">
        <w:rPr>
          <w:szCs w:val="24"/>
        </w:rPr>
        <w:tab/>
        <w:t xml:space="preserve"> The scheme came about in a context of austerity, one of the core economic discipliners of Haringey Council allowing HRW to continue</w:t>
      </w:r>
      <w:r w:rsidR="00304FC1">
        <w:rPr>
          <w:szCs w:val="24"/>
        </w:rPr>
        <w:t xml:space="preserve"> (Chapter 2)</w:t>
      </w:r>
      <w:r w:rsidRPr="00662E51">
        <w:rPr>
          <w:szCs w:val="24"/>
        </w:rPr>
        <w:t>. Recall that austerity cuts have impacted all elements of local government, especially council housing delivery and upkeep. Austerity has thus only accelerated a loss in public housing, which had nearly halved by 2011. Since then, Councils have increasingly relied on private financing to build homes</w:t>
      </w:r>
      <w:r w:rsidR="00D165C8" w:rsidRPr="00662E51">
        <w:rPr>
          <w:szCs w:val="24"/>
        </w:rPr>
        <w:t>—</w:t>
      </w:r>
      <w:r w:rsidRPr="00662E51">
        <w:rPr>
          <w:szCs w:val="24"/>
        </w:rPr>
        <w:t>including market and affordable</w:t>
      </w:r>
      <w:r w:rsidRPr="00BD17AF">
        <w:rPr>
          <w:rStyle w:val="FootnoteReference"/>
        </w:rPr>
        <w:footnoteReference w:id="59"/>
      </w:r>
      <w:r w:rsidRPr="00662E51">
        <w:rPr>
          <w:szCs w:val="24"/>
        </w:rPr>
        <w:t xml:space="preserve"> rate units through large scale estate regeneration</w:t>
      </w:r>
      <w:r w:rsidR="00D165C8" w:rsidRPr="00662E51">
        <w:rPr>
          <w:szCs w:val="24"/>
        </w:rPr>
        <w:t>—</w:t>
      </w:r>
      <w:r w:rsidRPr="00662E51">
        <w:rPr>
          <w:szCs w:val="24"/>
        </w:rPr>
        <w:t xml:space="preserve">involving mass demolition and rebuild </w:t>
      </w:r>
      <w:r w:rsidRPr="00662E51">
        <w:rPr>
          <w:szCs w:val="24"/>
        </w:rPr>
        <w:fldChar w:fldCharType="begin"/>
      </w:r>
      <w:r w:rsidR="001B2CAA">
        <w:rPr>
          <w:szCs w:val="24"/>
        </w:rPr>
        <w:instrText xml:space="preserve"> ADDIN ZOTERO_ITEM CSL_CITATION {"citationID":"aSZ4ghMH","properties":{"formattedCitation":"(Watt 2021b)","plainCitation":"(Watt 2021b)","noteIndex":0},"citationItems":[{"id":"n0Saldgp/r7qNchtf","uris":["http://zotero.org/users/8977980/items/BHKUJBH9"],"itemData":{"id":"eCLlSK7E/BjVCKenN","type":"book","abstract":"Public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Pr="00662E51">
        <w:rPr>
          <w:szCs w:val="24"/>
        </w:rPr>
        <w:fldChar w:fldCharType="separate"/>
      </w:r>
      <w:r w:rsidR="0095662D" w:rsidRPr="00662E51">
        <w:t>(Watt 2021b)</w:t>
      </w:r>
      <w:r w:rsidRPr="00662E51">
        <w:rPr>
          <w:szCs w:val="24"/>
        </w:rPr>
        <w:fldChar w:fldCharType="end"/>
      </w:r>
      <w:r w:rsidRPr="00662E51">
        <w:rPr>
          <w:szCs w:val="24"/>
        </w:rPr>
        <w:t>. The national context then was one of accumulation by dispossession (or demolition)</w:t>
      </w:r>
      <w:r w:rsidR="00D165C8" w:rsidRPr="00662E51">
        <w:rPr>
          <w:szCs w:val="24"/>
        </w:rPr>
        <w:t xml:space="preserve">: </w:t>
      </w:r>
      <w:r w:rsidRPr="00662E51">
        <w:rPr>
          <w:szCs w:val="24"/>
        </w:rPr>
        <w:t xml:space="preserve">a process by which the state facilitates dispossession of individuals from property and homes to ensure capital is accumulated by private interests </w:t>
      </w:r>
      <w:r w:rsidR="00995A38">
        <w:rPr>
          <w:szCs w:val="24"/>
        </w:rPr>
        <w:t xml:space="preserve">through </w:t>
      </w:r>
      <w:r w:rsidR="002A7DDA">
        <w:rPr>
          <w:szCs w:val="24"/>
        </w:rPr>
        <w:t xml:space="preserve">housing development schemes </w:t>
      </w:r>
      <w:r w:rsidR="00F620A1" w:rsidRPr="00662E51">
        <w:rPr>
          <w:szCs w:val="24"/>
        </w:rPr>
        <w:fldChar w:fldCharType="begin"/>
      </w:r>
      <w:r w:rsidR="008835AB" w:rsidRPr="00662E51">
        <w:rPr>
          <w:szCs w:val="24"/>
        </w:rPr>
        <w:instrText xml:space="preserve"> ADDIN ZOTERO_ITEM CSL_CITATION {"citationID":"6vOeY8mC","properties":{"formattedCitation":"(Harvey 2012; Hodkinson and Essen 2015; Lees and White 2020)","plainCitation":"(Harvey 2012; Hodkinson and Essen 2015; Lees and White 2020)","noteIndex":0},"citationItems":[{"id":6625,"uris":["http://zotero.org/users/8977980/items/MCA38K3Q"],"itemData":{"id":6625,"type":"chapter","abstract":"Both V. I. Lenin and R. Luxemburg, for quite different reasons and utilizing quite different forms of argument, considered that imperialism – a certain form of the production of space — was the answer to the riddle, though both argued that this solution was finite because of its own terminal contradictions. Lenin quotes Cecil Rhodes as saying that colonialism and imperialism abroad were the only possible way to avoid civil war at home. The Europeans in particular are far more attracted to a Kautskyian vision of ultra-imperialism in which all the major capitalist powers will supposedly collaborate on an equal basis. The shape and form any new imperialism will take is therefore up for grabs. What happens within the United States is a vitally important determinant of how the new imperialism might be articulated. And there is, to boot, a gathering storm of opposition to the deepening of accumulation by dispossession.","container-title":"Karl Marx","ISBN":"978-1-315-25119-6","note":"number-of-pages: 25","publisher":"Routledge","title":"The 'New' Imperialism: Accumulation by Dispossession","title-short":"The 'New' Imperialism","author":[{"family":"Harvey","given":"David"}],"issued":{"date-parts":[["2012"]]}}},{"id":3645,"uris":["http://zotero.org/users/8977980/items/TUHA9FP8"],"itemData":{"id":3645,"type":"article-journal","container-title":"International Journal of Law in the Built Environment","issue":"1","journalAbbreviation":"Int'l J.L. Built Env't","language":"eng","page":"72-92-95","source":"HeinOnline","title":"Grounding Accumulation by Dispossession in Everday Life: The Unjust Geographies of Urban Regeneration under the Private Finance Initiative Special Issue: Law and Geography","title-short":"Grounding Accumulation by Dispossession in Everday Life","volume":"7","author":[{"family":"Hodkinson","given":"Stuart"},{"family":"Essen","given":"Chris"}],"issued":{"date-parts":[["2015"]]}}},{"id":664,"uris":["http://zotero.org/users/8977980/items/XQQFXVDC"],"itemData":{"id":664,"type":"article-journal","abstract":"London’s council estates and their residents are under threat like never before. Council tenants are being forced out of their homes due to estate renewal, welfare reforms, poverty, and the precarity of low-income work. Social cleansing can be understood as a geographical project made up of processes, practices, and policies designed to remove council estate residents from space and place, what we call a ‘new accumulative form of (state-led) gentrification’. We outline these accumulative processes, practices and policies, but more importantly we present grounded, empirical evidence of council tenants and leaseholders’ everyday experiences of dispossession, focusing our lens on three south London boroughs identified as eviction hotspots.","container-title":"Housing Studies","DOI":"10.1080/02673037.2019.1680814","ISSN":"0267-3037","issue":"10","note":"_eprint: https://doi.org/10.1080/02673037.2019.1680814","page":"1701-1722","publisher":"Routledge","source":"Taylor and Francis+NEJM","title":"The social cleansing of London council estates: everyday experiences of ‘accumulative dispossession’","title-short":"The social cleansing of London council estates","volume":"35","author":[{"family":"Lees","given":"Loretta"},{"family":"White","given":"Hannah"}],"issued":{"date-parts":[["2020",11,25]]}},"label":"page"}],"schema":"https://github.com/citation-style-language/schema/raw/master/csl-citation.json"} </w:instrText>
      </w:r>
      <w:r w:rsidR="00F620A1" w:rsidRPr="00662E51">
        <w:rPr>
          <w:szCs w:val="24"/>
        </w:rPr>
        <w:fldChar w:fldCharType="separate"/>
      </w:r>
      <w:r w:rsidR="00F620A1" w:rsidRPr="00662E51">
        <w:rPr>
          <w:szCs w:val="24"/>
        </w:rPr>
        <w:t>(Harvey 2012; Hodkinson and Essen 2015; Lees and White 2020)</w:t>
      </w:r>
      <w:r w:rsidR="00F620A1" w:rsidRPr="00662E51">
        <w:rPr>
          <w:szCs w:val="24"/>
        </w:rPr>
        <w:fldChar w:fldCharType="end"/>
      </w:r>
      <w:r w:rsidR="00F620A1" w:rsidRPr="00662E51">
        <w:rPr>
          <w:szCs w:val="24"/>
        </w:rPr>
        <w:t xml:space="preserve">. </w:t>
      </w:r>
      <w:r w:rsidRPr="00662E51">
        <w:rPr>
          <w:szCs w:val="24"/>
        </w:rPr>
        <w:t xml:space="preserve">High Road West is thus perfect example of this new regeneration. It relies on significant private financing and expertise with the Council operating as a facilitator rather than a </w:t>
      </w:r>
      <w:r w:rsidRPr="00662E51">
        <w:rPr>
          <w:szCs w:val="24"/>
        </w:rPr>
        <w:lastRenderedPageBreak/>
        <w:t xml:space="preserve">direct developer, and will deliver new social, market-rate, and affordable homes. </w:t>
      </w:r>
      <w:r w:rsidR="0068248B">
        <w:rPr>
          <w:szCs w:val="24"/>
        </w:rPr>
        <w:t xml:space="preserve">These characteristics made High Road West a neoliberal scheme: </w:t>
      </w:r>
      <w:r w:rsidR="00ED5C35">
        <w:rPr>
          <w:szCs w:val="24"/>
        </w:rPr>
        <w:t>it was conversion of state capacities that used to ameliorate market forces (public homes) to a capacity that supports capital accumulatio</w:t>
      </w:r>
      <w:r w:rsidR="002A7DDA">
        <w:rPr>
          <w:szCs w:val="24"/>
        </w:rPr>
        <w:t>n through the housing market</w:t>
      </w:r>
      <w:r w:rsidR="00ED5C35">
        <w:rPr>
          <w:szCs w:val="24"/>
        </w:rPr>
        <w:t xml:space="preserve">. </w:t>
      </w:r>
      <w:r w:rsidRPr="00662E51">
        <w:rPr>
          <w:szCs w:val="24"/>
        </w:rPr>
        <w:t xml:space="preserve">Its similarities to the Haringey Development Vehicle meant that activists saw it as an equivalent target, worthy of cancelling. </w:t>
      </w:r>
      <w:r w:rsidR="00D204DD" w:rsidRPr="00662E51">
        <w:rPr>
          <w:szCs w:val="24"/>
        </w:rPr>
        <w:t xml:space="preserve">Activist 1 </w:t>
      </w:r>
      <w:r w:rsidR="005E5987" w:rsidRPr="00662E51">
        <w:rPr>
          <w:szCs w:val="24"/>
        </w:rPr>
        <w:t>said</w:t>
      </w:r>
      <w:r w:rsidR="00D17CFA" w:rsidRPr="00662E51">
        <w:rPr>
          <w:szCs w:val="24"/>
        </w:rPr>
        <w:t xml:space="preserve"> about their campaign,</w:t>
      </w:r>
    </w:p>
    <w:p w14:paraId="4C24CF38" w14:textId="77777777" w:rsidR="00304FC1" w:rsidRPr="00662E51" w:rsidRDefault="00304FC1" w:rsidP="00304FC1">
      <w:pPr>
        <w:tabs>
          <w:tab w:val="left" w:pos="546"/>
        </w:tabs>
        <w:ind w:left="0"/>
        <w:rPr>
          <w:szCs w:val="24"/>
        </w:rPr>
      </w:pPr>
    </w:p>
    <w:p w14:paraId="162CD40B" w14:textId="41E862A4" w:rsidR="00D204DD" w:rsidRDefault="00B97B38" w:rsidP="00304FC1">
      <w:pPr>
        <w:tabs>
          <w:tab w:val="left" w:pos="546"/>
        </w:tabs>
        <w:ind w:left="720"/>
        <w:rPr>
          <w:szCs w:val="24"/>
        </w:rPr>
      </w:pPr>
      <w:r w:rsidRPr="00662E51">
        <w:rPr>
          <w:szCs w:val="24"/>
        </w:rPr>
        <w:t xml:space="preserve">We put forward to people that were prepared to listen we </w:t>
      </w:r>
      <w:r w:rsidR="00D17CFA" w:rsidRPr="00662E51">
        <w:rPr>
          <w:szCs w:val="24"/>
        </w:rPr>
        <w:t xml:space="preserve">some </w:t>
      </w:r>
      <w:r w:rsidRPr="00662E51">
        <w:rPr>
          <w:szCs w:val="24"/>
        </w:rPr>
        <w:t>of the reasons why we think it</w:t>
      </w:r>
      <w:r w:rsidR="00D17CFA" w:rsidRPr="00662E51">
        <w:rPr>
          <w:szCs w:val="24"/>
        </w:rPr>
        <w:t>’</w:t>
      </w:r>
      <w:r w:rsidRPr="00662E51">
        <w:rPr>
          <w:szCs w:val="24"/>
        </w:rPr>
        <w:t>s not a good idea.</w:t>
      </w:r>
      <w:r w:rsidR="00D17CFA" w:rsidRPr="00662E51">
        <w:rPr>
          <w:szCs w:val="24"/>
        </w:rPr>
        <w:t xml:space="preserve"> </w:t>
      </w:r>
      <w:r w:rsidR="005E5987" w:rsidRPr="00662E51">
        <w:rPr>
          <w:szCs w:val="24"/>
        </w:rPr>
        <w:t>The fact that it's a social cleansing plan</w:t>
      </w:r>
      <w:r w:rsidR="00D17CFA" w:rsidRPr="00662E51">
        <w:rPr>
          <w:szCs w:val="24"/>
        </w:rPr>
        <w:t xml:space="preserve">. </w:t>
      </w:r>
      <w:r w:rsidR="005E5987" w:rsidRPr="00662E51">
        <w:rPr>
          <w:szCs w:val="24"/>
        </w:rPr>
        <w:t>The fact that the</w:t>
      </w:r>
      <w:r w:rsidR="00D17CFA" w:rsidRPr="00662E51">
        <w:rPr>
          <w:szCs w:val="24"/>
        </w:rPr>
        <w:t xml:space="preserve"> promises [made by the Council and the developer] can be broken. </w:t>
      </w:r>
      <w:r w:rsidR="005E5987" w:rsidRPr="00662E51">
        <w:rPr>
          <w:szCs w:val="24"/>
        </w:rPr>
        <w:t>The fact that there are other ways to build new housing without demolishing the existing</w:t>
      </w:r>
      <w:r w:rsidR="00D17CFA" w:rsidRPr="00662E51">
        <w:rPr>
          <w:szCs w:val="24"/>
        </w:rPr>
        <w:t xml:space="preserve"> b</w:t>
      </w:r>
      <w:r w:rsidR="005E5987" w:rsidRPr="00662E51">
        <w:rPr>
          <w:szCs w:val="24"/>
        </w:rPr>
        <w:t>locks and so on.</w:t>
      </w:r>
      <w:r w:rsidR="00113576" w:rsidRPr="00662E51">
        <w:rPr>
          <w:szCs w:val="24"/>
        </w:rPr>
        <w:t xml:space="preserve"> </w:t>
      </w:r>
    </w:p>
    <w:p w14:paraId="7F03D1E4" w14:textId="77777777" w:rsidR="00304FC1" w:rsidRPr="00662E51" w:rsidRDefault="00304FC1" w:rsidP="00304FC1">
      <w:pPr>
        <w:tabs>
          <w:tab w:val="left" w:pos="546"/>
        </w:tabs>
        <w:ind w:left="720"/>
        <w:rPr>
          <w:szCs w:val="24"/>
        </w:rPr>
      </w:pPr>
    </w:p>
    <w:p w14:paraId="7F693240" w14:textId="7FE67677" w:rsidR="00621C17" w:rsidRDefault="002A7DDA" w:rsidP="005F7602">
      <w:pPr>
        <w:tabs>
          <w:tab w:val="left" w:pos="546"/>
        </w:tabs>
        <w:spacing w:line="360" w:lineRule="auto"/>
        <w:ind w:left="0"/>
        <w:rPr>
          <w:szCs w:val="24"/>
        </w:rPr>
      </w:pPr>
      <w:r w:rsidRPr="002A7DDA">
        <w:rPr>
          <w:szCs w:val="24"/>
        </w:rPr>
        <w:t>Councillors I spoke to, felt differently however</w:t>
      </w:r>
      <w:r>
        <w:rPr>
          <w:szCs w:val="24"/>
        </w:rPr>
        <w:t>, presenting</w:t>
      </w:r>
      <w:r w:rsidR="00AE6DCE" w:rsidRPr="00662E51">
        <w:rPr>
          <w:szCs w:val="24"/>
        </w:rPr>
        <w:t xml:space="preserve"> several justifications for the scheme. </w:t>
      </w:r>
      <w:r w:rsidR="00621C17" w:rsidRPr="00662E51">
        <w:rPr>
          <w:szCs w:val="24"/>
        </w:rPr>
        <w:t>All mentioned the net increase in council homes as one of its benefits and as one reason to defend the scheme. Councillor 2 for instance told me that, while they were new to the Council then, and “didn</w:t>
      </w:r>
      <w:r w:rsidR="000C7059">
        <w:rPr>
          <w:szCs w:val="24"/>
        </w:rPr>
        <w:t>’</w:t>
      </w:r>
      <w:r w:rsidR="00621C17" w:rsidRPr="00662E51">
        <w:rPr>
          <w:szCs w:val="24"/>
        </w:rPr>
        <w:t xml:space="preserve">t really know any of the background to it. I was just hearing [that] there were a lot of flaws in the scheme…” what convinced them to support HRW was that “it’s gonna deliver more social housing” to Tottenham. Councillor 3 was more critical, saying “from what I've heard, like there’s like a decent amount of social housing and an increase in housing overall. Like yes, it might have been managed better,” </w:t>
      </w:r>
      <w:r w:rsidR="00666A00" w:rsidRPr="00662E51">
        <w:rPr>
          <w:szCs w:val="24"/>
        </w:rPr>
        <w:t>but</w:t>
      </w:r>
      <w:r w:rsidR="00621C17" w:rsidRPr="00662E51">
        <w:rPr>
          <w:szCs w:val="24"/>
        </w:rPr>
        <w:t xml:space="preserve"> “it</w:t>
      </w:r>
      <w:r w:rsidR="00666A00">
        <w:rPr>
          <w:szCs w:val="24"/>
        </w:rPr>
        <w:t>’</w:t>
      </w:r>
      <w:r w:rsidR="00621C17" w:rsidRPr="00662E51">
        <w:rPr>
          <w:szCs w:val="24"/>
        </w:rPr>
        <w:t>s very hard… in the context of local government budgets” to oppose a scheme like High Road West. Councillor 1’s response was illuminating:</w:t>
      </w:r>
    </w:p>
    <w:p w14:paraId="2849B60A" w14:textId="77777777" w:rsidR="005F7602" w:rsidRPr="00662E51" w:rsidRDefault="005F7602" w:rsidP="00666A00">
      <w:pPr>
        <w:tabs>
          <w:tab w:val="left" w:pos="546"/>
        </w:tabs>
        <w:ind w:left="0"/>
        <w:rPr>
          <w:szCs w:val="24"/>
        </w:rPr>
      </w:pPr>
    </w:p>
    <w:p w14:paraId="01B9CF65" w14:textId="77777777" w:rsidR="00621C17" w:rsidRDefault="00621C17" w:rsidP="00666A00">
      <w:pPr>
        <w:tabs>
          <w:tab w:val="left" w:pos="546"/>
        </w:tabs>
        <w:ind w:left="720"/>
        <w:rPr>
          <w:szCs w:val="24"/>
        </w:rPr>
      </w:pPr>
      <w:r w:rsidRPr="00662E51">
        <w:rPr>
          <w:szCs w:val="24"/>
        </w:rPr>
        <w:t xml:space="preserve">We had seen some revisions to the High Road West scheme that was also achieved within the last administration… yes it might result in the demolition of an existing estate but in fact there’s going to be more council houses than we currently have… the outcome is surely a good thing that there'll be more council homes… </w:t>
      </w:r>
    </w:p>
    <w:p w14:paraId="7AA680CC" w14:textId="77777777" w:rsidR="005F7602" w:rsidRPr="00662E51" w:rsidRDefault="005F7602" w:rsidP="00666A00">
      <w:pPr>
        <w:tabs>
          <w:tab w:val="left" w:pos="546"/>
        </w:tabs>
        <w:ind w:left="720"/>
        <w:rPr>
          <w:szCs w:val="24"/>
        </w:rPr>
      </w:pPr>
    </w:p>
    <w:p w14:paraId="5055F8D5" w14:textId="5CEC30FB" w:rsidR="00621C17" w:rsidRPr="00662E51" w:rsidRDefault="00621C17" w:rsidP="00F56305">
      <w:pPr>
        <w:tabs>
          <w:tab w:val="left" w:pos="546"/>
        </w:tabs>
        <w:spacing w:line="360" w:lineRule="auto"/>
        <w:ind w:left="0"/>
        <w:rPr>
          <w:szCs w:val="24"/>
        </w:rPr>
      </w:pPr>
      <w:r w:rsidRPr="00662E51">
        <w:rPr>
          <w:szCs w:val="24"/>
        </w:rPr>
        <w:t xml:space="preserve">One of the revisions was additional funding from the London Mayor’s office to </w:t>
      </w:r>
      <w:r w:rsidR="000A5A50" w:rsidRPr="00662E51">
        <w:rPr>
          <w:szCs w:val="24"/>
        </w:rPr>
        <w:t xml:space="preserve">directly </w:t>
      </w:r>
      <w:r w:rsidRPr="00662E51">
        <w:rPr>
          <w:szCs w:val="24"/>
        </w:rPr>
        <w:t xml:space="preserve">increase the number of council homes </w:t>
      </w:r>
      <w:r w:rsidRPr="00662E51">
        <w:rPr>
          <w:szCs w:val="24"/>
        </w:rPr>
        <w:fldChar w:fldCharType="begin"/>
      </w:r>
      <w:r w:rsidR="00557CA9" w:rsidRPr="00662E51">
        <w:rPr>
          <w:szCs w:val="24"/>
        </w:rPr>
        <w:instrText xml:space="preserve"> ADDIN ZOTERO_ITEM CSL_CITATION {"citationID":"t5Rv5YGw","properties":{"formattedCitation":"(Wright 2021)","plainCitation":"(Wright 2021)","noteIndex":0},"citationItems":[{"id":6495,"uris":["http://zotero.org/users/8977980/items/EZ869VWZ"],"itemData":{"id":6495,"type":"post-weblog","abstract":"Hard on the heels of the collapse of the Wards Corner development plans in south Tottenham, another controversial Haringey housing scheme is hanging in the balance, this time at the northern end of Tottenham High Road. Battle lines are being drawn as the long-delayed residents’ ballot gets underway on plans to demolish the council’s 297-home […]","container-title":"OnLondon","language":"en-GB","title":"Haringey: Opponents line up against council's long-delayed Love Lane estate redevelopment plans","title-short":"Haringey","URL":"https://www.onlondon.co.uk/haringey-opponents-line-up-against-councils-long-delayed-love-lane-estate-redevelopment-plans/","author":[{"family":"Wright","given":"Charles"}],"accessed":{"date-parts":[["2025",5,28]]},"issued":{"date-parts":[["2021",8,17]]}}}],"schema":"https://github.com/citation-style-language/schema/raw/master/csl-citation.json"} </w:instrText>
      </w:r>
      <w:r w:rsidRPr="00662E51">
        <w:rPr>
          <w:szCs w:val="24"/>
        </w:rPr>
        <w:fldChar w:fldCharType="separate"/>
      </w:r>
      <w:r w:rsidR="0095662D" w:rsidRPr="00662E51">
        <w:t>(Wright 2021)</w:t>
      </w:r>
      <w:r w:rsidRPr="00662E51">
        <w:rPr>
          <w:szCs w:val="24"/>
        </w:rPr>
        <w:fldChar w:fldCharType="end"/>
      </w:r>
      <w:r w:rsidRPr="00662E51">
        <w:rPr>
          <w:szCs w:val="24"/>
        </w:rPr>
        <w:t>. The importance of council homes was also directly linked to the Ejiofor administration’s commitment to building new public housing. This commitment was in the manifesto of Ejiofor’s coalition,</w:t>
      </w:r>
      <w:r w:rsidR="00D46404" w:rsidRPr="00662E51">
        <w:rPr>
          <w:szCs w:val="24"/>
        </w:rPr>
        <w:t xml:space="preserve"> meaning it guided the group’s activities</w:t>
      </w:r>
      <w:r w:rsidRPr="00662E51">
        <w:rPr>
          <w:szCs w:val="24"/>
        </w:rPr>
        <w:t xml:space="preserve">. Councillor 4 </w:t>
      </w:r>
      <w:r w:rsidR="00437A76" w:rsidRPr="00662E51">
        <w:rPr>
          <w:szCs w:val="24"/>
        </w:rPr>
        <w:t xml:space="preserve">explicitly </w:t>
      </w:r>
      <w:r w:rsidRPr="00662E51">
        <w:rPr>
          <w:szCs w:val="24"/>
        </w:rPr>
        <w:t xml:space="preserve">said it “set the framework for everything that [they] did… The mindset of that </w:t>
      </w:r>
      <w:r w:rsidRPr="00662E51">
        <w:rPr>
          <w:szCs w:val="24"/>
        </w:rPr>
        <w:lastRenderedPageBreak/>
        <w:t>administration was ‘this is our manifesto, all of it... Go ahead and deliver it all.’ And that</w:t>
      </w:r>
      <w:r w:rsidR="00437A76" w:rsidRPr="00662E51">
        <w:rPr>
          <w:szCs w:val="24"/>
        </w:rPr>
        <w:t>’</w:t>
      </w:r>
      <w:r w:rsidRPr="00662E51">
        <w:rPr>
          <w:szCs w:val="24"/>
        </w:rPr>
        <w:t xml:space="preserve">s what [they] tried to do.” Although Councillor 4 insisted that the manifesto process was democratic and “the first truly engaging process with party members where there was a lot of negotiation,” a particularly salient point is that this engagement was only with Labour Party members. Nonaligned residents would have no input on the commitment until </w:t>
      </w:r>
      <w:r w:rsidRPr="00662E51">
        <w:rPr>
          <w:i/>
          <w:iCs/>
          <w:szCs w:val="24"/>
        </w:rPr>
        <w:t>after</w:t>
      </w:r>
      <w:r w:rsidRPr="00662E51">
        <w:rPr>
          <w:szCs w:val="24"/>
        </w:rPr>
        <w:t xml:space="preserve"> the scheme began. </w:t>
      </w:r>
      <w:r w:rsidR="003160E5" w:rsidRPr="00662E51">
        <w:rPr>
          <w:szCs w:val="24"/>
        </w:rPr>
        <w:t xml:space="preserve">Although this is a standard process of all political parties, the fact that Haringey has historically been a Labour stronghold means that </w:t>
      </w:r>
      <w:r w:rsidR="003B713C" w:rsidRPr="00662E51">
        <w:rPr>
          <w:szCs w:val="24"/>
        </w:rPr>
        <w:t xml:space="preserve">the manifesto is tantamount to </w:t>
      </w:r>
      <w:r w:rsidR="00357F12" w:rsidRPr="00662E51">
        <w:rPr>
          <w:szCs w:val="24"/>
        </w:rPr>
        <w:t>deciding the policy direction of the borough as a whole.</w:t>
      </w:r>
      <w:r w:rsidR="00A21CF7" w:rsidRPr="00662E51">
        <w:rPr>
          <w:szCs w:val="24"/>
        </w:rPr>
        <w:t xml:space="preserve"> That is, the local party is the main institution through which the area is governed, </w:t>
      </w:r>
      <w:r w:rsidR="00BD2FB8" w:rsidRPr="00662E51">
        <w:rPr>
          <w:szCs w:val="24"/>
        </w:rPr>
        <w:t>reminiscent of</w:t>
      </w:r>
      <w:r w:rsidR="00A21CF7" w:rsidRPr="00662E51">
        <w:rPr>
          <w:szCs w:val="24"/>
        </w:rPr>
        <w:t xml:space="preserve"> Bader’s </w:t>
      </w:r>
      <w:r w:rsidR="0013573B" w:rsidRPr="00662E51">
        <w:rPr>
          <w:szCs w:val="24"/>
        </w:rPr>
        <w:fldChar w:fldCharType="begin"/>
      </w:r>
      <w:r w:rsidR="008835AB" w:rsidRPr="00662E51">
        <w:rPr>
          <w:szCs w:val="24"/>
        </w:rPr>
        <w:instrText xml:space="preserve"> ADDIN ZOTERO_ITEM CSL_CITATION {"citationID":"4xY56W7z","properties":{"formattedCitation":"(2011)","plainCitation":"(2011)","noteIndex":0},"citationItems":[{"id":6483,"uris":["http://zotero.org/users/8977980/items/PH3ELCLS"],"itemData":{"id":6483,"type":"article-journal","abstract":"Hegemonic parties in authoritarian regimes can fulfill important purposes for those regimes and thereby contribute to their survival. Along with the consolidation of authoritarian regimes, hegemonic political parties have emerged in some post-Soviet states, raising questions about the role that these parties play in the survival of the regimes. This article asks which of the purposes that are frequently ascribed to ruling authoritarian parties are fulfilled by United Russia, the Yeni Azerbaijan Party, and Nur Otan of Kazakhstan, the hegemonic parties of the three strongest consolidated authoritarian regimes with a hegemonic party in the former Soviet Union. It is argued that despite the increasing prominence of the hegemonic parties, full-fledged party-based authoritarianism has not yet been established in Russia, Azerbaijan, and Kazakhstan.","container-title":"Communist and Post-Communist Studies","DOI":"10.1016/j.postcomstud.2011.07.002","ISSN":"0967-067X","issue":"3","journalAbbreviation":"Communist and Post-Communist Studies","language":"en","page":"189-197","publisher":"University of California Press","source":"online.ucpress.edu","title":"Hegemonic political parties in post-Soviet Eurasia: Towards party-based authoritarianism?","title-short":"Hegemonic political parties in post-Soviet Eurasia","volume":"44","author":[{"family":"Bader","given":"Max"}],"issued":{"date-parts":[["2011",9,1]]}},"suppress-author":true}],"schema":"https://github.com/citation-style-language/schema/raw/master/csl-citation.json"} </w:instrText>
      </w:r>
      <w:r w:rsidR="0013573B" w:rsidRPr="00662E51">
        <w:rPr>
          <w:szCs w:val="24"/>
        </w:rPr>
        <w:fldChar w:fldCharType="separate"/>
      </w:r>
      <w:r w:rsidR="0013573B" w:rsidRPr="00662E51">
        <w:t>(2011)</w:t>
      </w:r>
      <w:r w:rsidR="0013573B" w:rsidRPr="00662E51">
        <w:rPr>
          <w:szCs w:val="24"/>
        </w:rPr>
        <w:fldChar w:fldCharType="end"/>
      </w:r>
      <w:r w:rsidR="00A21CF7" w:rsidRPr="00662E51">
        <w:rPr>
          <w:szCs w:val="24"/>
        </w:rPr>
        <w:t xml:space="preserve"> party-based authoritarianism. </w:t>
      </w:r>
      <w:r w:rsidRPr="00662E51">
        <w:rPr>
          <w:szCs w:val="24"/>
        </w:rPr>
        <w:t>Given that cancelling the HDV was a significant aim of Ejiofor’s administration, Activist 1 felt that the administration deprioritised cancelling HRW, which ultimately angered some StopHDV activists. Indeed, Activist 2 and Activist 4 expressed strong disappointment with the current leadership, especially current council Leader</w:t>
      </w:r>
      <w:r w:rsidR="00303B1C" w:rsidRPr="00662E51">
        <w:rPr>
          <w:szCs w:val="24"/>
        </w:rPr>
        <w:t xml:space="preserve"> Peray</w:t>
      </w:r>
      <w:r w:rsidRPr="00662E51">
        <w:rPr>
          <w:szCs w:val="24"/>
        </w:rPr>
        <w:t xml:space="preserve"> Ahmet, for whom Activist 2 campaigned. Both told me that they had been friendly with Ahmet and her team as they had been in the anti-HDV coalition. Members of Ahmet’s administration claimed that they were “stuck” with the scheme, blaming previous administrations for locking in the scheme </w:t>
      </w:r>
      <w:r w:rsidRPr="00662E51">
        <w:rPr>
          <w:szCs w:val="24"/>
        </w:rPr>
        <w:fldChar w:fldCharType="begin"/>
      </w:r>
      <w:r w:rsidR="00557CA9" w:rsidRPr="00662E51">
        <w:rPr>
          <w:szCs w:val="24"/>
        </w:rPr>
        <w:instrText xml:space="preserve"> ADDIN ZOTERO_ITEM CSL_CITATION {"citationID":"iwLPxgrm","properties":{"formattedCitation":"(Wright 2021)","plainCitation":"(Wright 2021)","noteIndex":0},"citationItems":[{"id":6495,"uris":["http://zotero.org/users/8977980/items/EZ869VWZ"],"itemData":{"id":6495,"type":"post-weblog","abstract":"Hard on the heels of the collapse of the Wards Corner development plans in south Tottenham, another controversial Haringey housing scheme is hanging in the balance, this time at the northern end of Tottenham High Road. Battle lines are being drawn as the long-delayed residents’ ballot gets underway on plans to demolish the council’s 297-home […]","container-title":"OnLondon","language":"en-GB","title":"Haringey: Opponents line up against council's long-delayed Love Lane estate redevelopment plans","title-short":"Haringey","URL":"https://www.onlondon.co.uk/haringey-opponents-line-up-against-councils-long-delayed-love-lane-estate-redevelopment-plans/","author":[{"family":"Wright","given":"Charles"}],"accessed":{"date-parts":[["2025",5,28]]},"issued":{"date-parts":[["2021",8,17]]}}}],"schema":"https://github.com/citation-style-language/schema/raw/master/csl-citation.json"} </w:instrText>
      </w:r>
      <w:r w:rsidRPr="00662E51">
        <w:rPr>
          <w:szCs w:val="24"/>
        </w:rPr>
        <w:fldChar w:fldCharType="separate"/>
      </w:r>
      <w:r w:rsidR="0095662D" w:rsidRPr="00662E51">
        <w:t>(Wright 2021)</w:t>
      </w:r>
      <w:r w:rsidRPr="00662E51">
        <w:rPr>
          <w:szCs w:val="24"/>
        </w:rPr>
        <w:fldChar w:fldCharType="end"/>
      </w:r>
      <w:r w:rsidRPr="00662E51">
        <w:rPr>
          <w:szCs w:val="24"/>
        </w:rPr>
        <w:t xml:space="preserve">. Conversely, activists insisted </w:t>
      </w:r>
      <w:r w:rsidR="00F424D4" w:rsidRPr="00662E51">
        <w:rPr>
          <w:szCs w:val="24"/>
        </w:rPr>
        <w:t xml:space="preserve">the Ahmet-led </w:t>
      </w:r>
      <w:r w:rsidRPr="00662E51">
        <w:rPr>
          <w:szCs w:val="24"/>
        </w:rPr>
        <w:t>council had multiple opportunities to cancel the scheme but chose not to. This meant that Activist</w:t>
      </w:r>
      <w:r w:rsidR="00044951">
        <w:rPr>
          <w:szCs w:val="24"/>
        </w:rPr>
        <w:t>s</w:t>
      </w:r>
      <w:r w:rsidRPr="00662E51">
        <w:rPr>
          <w:szCs w:val="24"/>
        </w:rPr>
        <w:t xml:space="preserve"> 1 and 2 left the Labour Party due to the disappointment of HRW continuing. Such outcomes are not ancillary to either the economics of austerity or the internal, relational politics of the Labour Party: in the words of Councillor 6, “people gotta understand how politics works… if the leader… comes forward with an idea and has their supporters around it… they're gonna have a majority to kind of push that through.” The power of Council leadership is both structural and personal. The Leader can whip votes with the threat of suspension from the Labour Party: indeed, several anti-HDV councillors were threatened with having the whip withdrawn during the StopHDV campaign, which was only stymied by direct intervention by national party officials in 2018 </w:t>
      </w:r>
      <w:r w:rsidRPr="00662E51">
        <w:rPr>
          <w:szCs w:val="24"/>
        </w:rPr>
        <w:fldChar w:fldCharType="begin"/>
      </w:r>
      <w:r w:rsidR="008835AB" w:rsidRPr="00662E51">
        <w:rPr>
          <w:szCs w:val="24"/>
        </w:rPr>
        <w:instrText xml:space="preserve"> ADDIN ZOTERO_ITEM CSL_CITATION {"citationID":"2FgyycB2","properties":{"formattedCitation":"(Horton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w:t>
      </w:r>
      <w:r w:rsidR="00F23C3E" w:rsidRPr="00662E51">
        <w:rPr>
          <w:szCs w:val="24"/>
        </w:rPr>
        <w:t xml:space="preserve"> </w:t>
      </w:r>
      <w:r w:rsidRPr="00662E51">
        <w:rPr>
          <w:szCs w:val="24"/>
        </w:rPr>
        <w:t xml:space="preserve">Leaders can also lean on preexisting interpersonal relationships to sway undecided councillors </w:t>
      </w:r>
      <w:r w:rsidRPr="00662E51">
        <w:rPr>
          <w:szCs w:val="24"/>
        </w:rPr>
        <w:fldChar w:fldCharType="begin"/>
      </w:r>
      <w:r w:rsidR="002F3380" w:rsidRPr="00662E51">
        <w:rPr>
          <w:szCs w:val="24"/>
        </w:rPr>
        <w:instrText xml:space="preserve"> ADDIN ZOTERO_ITEM CSL_CITATION {"citationID":"QCEC7O94","properties":{"formattedCitation":"(Ormerod 2021)","plainCitation":"(Ormerod 2021)","noteIndex":0},"citationItems":[{"id":3295,"uris":["http://zotero.org/users/8977980/items/UP7CRFTK"],"itemData":{"id":3295,"type":"article-journal","abstract":"This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abel":"page"}],"schema":"https://github.com/citation-style-language/schema/raw/master/csl-citation.json"} </w:instrText>
      </w:r>
      <w:r w:rsidRPr="00662E51">
        <w:rPr>
          <w:szCs w:val="24"/>
        </w:rPr>
        <w:fldChar w:fldCharType="separate"/>
      </w:r>
      <w:r w:rsidR="0095662D" w:rsidRPr="00662E51">
        <w:t>(Ormerod 2021)</w:t>
      </w:r>
      <w:r w:rsidRPr="00662E51">
        <w:rPr>
          <w:szCs w:val="24"/>
        </w:rPr>
        <w:fldChar w:fldCharType="end"/>
      </w:r>
      <w:r w:rsidRPr="00662E51">
        <w:rPr>
          <w:szCs w:val="24"/>
        </w:rPr>
        <w:t xml:space="preserve">. One reading of the insistence on new </w:t>
      </w:r>
      <w:r w:rsidRPr="00662E51">
        <w:rPr>
          <w:szCs w:val="24"/>
        </w:rPr>
        <w:lastRenderedPageBreak/>
        <w:t>public housing is simple politics: the Council’s commitment (via a political process only open to Labour members) to building new homes was important to</w:t>
      </w:r>
      <w:r w:rsidR="00CC2414">
        <w:rPr>
          <w:szCs w:val="24"/>
        </w:rPr>
        <w:t xml:space="preserve"> electoral success</w:t>
      </w:r>
      <w:r w:rsidRPr="00662E51">
        <w:rPr>
          <w:szCs w:val="24"/>
        </w:rPr>
        <w:t xml:space="preserve">. </w:t>
      </w:r>
      <w:r w:rsidR="00BE0F85" w:rsidRPr="00662E51">
        <w:rPr>
          <w:szCs w:val="24"/>
        </w:rPr>
        <w:t>Yet</w:t>
      </w:r>
      <w:r w:rsidRPr="00662E51">
        <w:rPr>
          <w:szCs w:val="24"/>
        </w:rPr>
        <w:t xml:space="preserve"> a more holistic reading is that a need to build more council homes due to the extent of austerity-driven accumulation by dispossession disciplined the Council into allowing the project to continue</w:t>
      </w:r>
      <w:r w:rsidR="00CC2414">
        <w:rPr>
          <w:szCs w:val="24"/>
        </w:rPr>
        <w:t>, despite misgivings</w:t>
      </w:r>
      <w:r w:rsidRPr="00662E51">
        <w:rPr>
          <w:szCs w:val="24"/>
        </w:rPr>
        <w:t>. While Councillor</w:t>
      </w:r>
      <w:r w:rsidR="008866F6">
        <w:rPr>
          <w:szCs w:val="24"/>
        </w:rPr>
        <w:t>s</w:t>
      </w:r>
      <w:r w:rsidRPr="00662E51">
        <w:rPr>
          <w:szCs w:val="24"/>
        </w:rPr>
        <w:t xml:space="preserve"> 1 </w:t>
      </w:r>
      <w:r w:rsidR="000C3FBC">
        <w:rPr>
          <w:szCs w:val="24"/>
        </w:rPr>
        <w:t xml:space="preserve">and </w:t>
      </w:r>
      <w:r w:rsidRPr="00662E51">
        <w:rPr>
          <w:szCs w:val="24"/>
        </w:rPr>
        <w:t>3 did raise concerns, the lure of new homes was far too great. Simultaneously, the manifesto process—which was democratic and engaging for party members—meant that policy promises around new homes were locked in, isolating the policy from future dissent.</w:t>
      </w:r>
    </w:p>
    <w:p w14:paraId="761277D3" w14:textId="51A98649" w:rsidR="00F3780E" w:rsidRDefault="00621C17" w:rsidP="00F56305">
      <w:pPr>
        <w:tabs>
          <w:tab w:val="left" w:pos="546"/>
        </w:tabs>
        <w:spacing w:line="360" w:lineRule="auto"/>
        <w:ind w:left="0"/>
        <w:rPr>
          <w:szCs w:val="24"/>
        </w:rPr>
      </w:pPr>
      <w:r w:rsidRPr="00662E51">
        <w:rPr>
          <w:szCs w:val="24"/>
        </w:rPr>
        <w:tab/>
      </w:r>
      <w:r w:rsidRPr="00662E51">
        <w:rPr>
          <w:szCs w:val="24"/>
        </w:rPr>
        <w:tab/>
        <w:t>Labour Party in-fighting also helped to lock in the scheme.</w:t>
      </w:r>
      <w:r w:rsidRPr="00662E51" w:rsidDel="297C5AB5">
        <w:rPr>
          <w:szCs w:val="24"/>
        </w:rPr>
        <w:t xml:space="preserve"> </w:t>
      </w:r>
      <w:r w:rsidRPr="00662E51">
        <w:rPr>
          <w:szCs w:val="24"/>
        </w:rPr>
        <w:t xml:space="preserve">Gilbert </w:t>
      </w:r>
      <w:r w:rsidRPr="00662E51">
        <w:rPr>
          <w:szCs w:val="24"/>
        </w:rPr>
        <w:fldChar w:fldCharType="begin"/>
      </w:r>
      <w:r w:rsidR="00550B58">
        <w:rPr>
          <w:szCs w:val="24"/>
        </w:rPr>
        <w:instrText xml:space="preserve"> ADDIN ZOTERO_ITEM CSL_CITATION {"citationID":"SKFzvhPD","properties":{"formattedCitation":"(2023; see also Holden 2025)","plainCitation":"(2023; see also Holden 2025)","noteIndex":0},"citationItems":[{"id":5842,"uris":["http://zotero.org/users/8977980/items/QZRKMUSZ"],"itemData":{"id":5842,"type":"article-newspaper","abstract":"In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label":"page","suppress-author":true},{"id":7179,"uris":["http://zotero.org/users/8977980/items/KXFN8SZS"],"itemData":{"id":7179,"type":"book","abstract":"Based on Labour Party files, including some never before publicly seen, this explosive investigation lays bare the intrigues, stratagems and deceits that helped deliver Sir Keir Starmer to Downing Street. Paul Holden shows how Starmer has been the frontman for a ruthless, right-wing political project headed by Morgan McSweeney, now chief of staff in Number 10 and arguably the most powerful man in Britain. Having conquered the party on false pretences, McSweeney and his allies set about purging opponents, marginalising the membership and dragging party policy to the right. These machinations were made possible by financial donations that McSweeney did not disclose - a violation of the law that arguably subverted Britain's democratic system","ISBN":"978-1-68219-598-7","language":"eng","note":"OCLC: 1547942173","publisher":"OR Books","publisher-place":"New York","source":"Open WorldCat","title":"The Fraud: Keir Starmer, Morgan McSweeney, and the crisis of British democracy","title-short":"The fraud","author":[{"family":"Holden","given":"Paul"}],"issued":{"date-parts":[["2025"]]}},"prefix":"see also"}],"schema":"https://github.com/citation-style-language/schema/raw/master/csl-citation.json"} </w:instrText>
      </w:r>
      <w:r w:rsidRPr="00662E51">
        <w:rPr>
          <w:szCs w:val="24"/>
        </w:rPr>
        <w:fldChar w:fldCharType="separate"/>
      </w:r>
      <w:r w:rsidR="00550B58" w:rsidRPr="00550B58">
        <w:t>(2023; see also Holden 2025)</w:t>
      </w:r>
      <w:r w:rsidRPr="00662E51">
        <w:rPr>
          <w:szCs w:val="24"/>
        </w:rPr>
        <w:fldChar w:fldCharType="end"/>
      </w:r>
      <w:r w:rsidRPr="00662E51">
        <w:rPr>
          <w:szCs w:val="24"/>
        </w:rPr>
        <w:t xml:space="preserve"> has argued that, since Keir Starmer’s r</w:t>
      </w:r>
      <w:r w:rsidR="009E6DF8">
        <w:rPr>
          <w:szCs w:val="24"/>
        </w:rPr>
        <w:t>i</w:t>
      </w:r>
      <w:r w:rsidRPr="00662E51">
        <w:rPr>
          <w:szCs w:val="24"/>
        </w:rPr>
        <w:t xml:space="preserve">se to Party Leader, his right-wing bloc has been forcing out left-wing members associated with previous Leader Jeremy Corbyn with the goal of establishing a membership that is “compliant, loyal and cooperative with the leadership.” Although the purge is happening at the national scale, it has impacts on the local scale. For instance, </w:t>
      </w:r>
      <w:r w:rsidR="00025DB9" w:rsidRPr="00662E51">
        <w:rPr>
          <w:szCs w:val="24"/>
        </w:rPr>
        <w:t>recall that</w:t>
      </w:r>
      <w:r w:rsidR="00BB4EDE" w:rsidRPr="00662E51">
        <w:rPr>
          <w:szCs w:val="24"/>
        </w:rPr>
        <w:t xml:space="preserve"> </w:t>
      </w:r>
      <w:r w:rsidRPr="00662E51">
        <w:rPr>
          <w:szCs w:val="24"/>
        </w:rPr>
        <w:t>the London regional party</w:t>
      </w:r>
      <w:r w:rsidR="00BB4EDE" w:rsidRPr="00662E51">
        <w:rPr>
          <w:szCs w:val="24"/>
        </w:rPr>
        <w:t xml:space="preserve"> </w:t>
      </w:r>
      <w:r w:rsidRPr="00662E51">
        <w:rPr>
          <w:szCs w:val="24"/>
        </w:rPr>
        <w:t>blocked Ejiofor from running as a councillor</w:t>
      </w:r>
      <w:r w:rsidR="00BB4EDE" w:rsidRPr="00662E51">
        <w:rPr>
          <w:szCs w:val="24"/>
        </w:rPr>
        <w:t xml:space="preserve"> in 2022</w:t>
      </w:r>
      <w:r w:rsidR="00F3780E" w:rsidRPr="00662E51">
        <w:rPr>
          <w:szCs w:val="24"/>
        </w:rPr>
        <w:t xml:space="preserve"> </w:t>
      </w:r>
      <w:r w:rsidR="0036258E" w:rsidRPr="00662E51">
        <w:rPr>
          <w:szCs w:val="24"/>
        </w:rPr>
        <w:fldChar w:fldCharType="begin"/>
      </w:r>
      <w:r w:rsidR="0036258E" w:rsidRPr="00662E51">
        <w:rPr>
          <w:szCs w:val="24"/>
        </w:rPr>
        <w:instrText xml:space="preserve"> ADDIN ZOTERO_ITEM CSL_CITATION {"citationID":"r626kONH","properties":{"formattedCitation":"(Chappell 2022; Weir 2023)","plainCitation":"(Chappell 2022; Weir 2023)","noteIndex":0},"citationItems":[{"id":6290,"uris":["http://zotero.org/users/8977980/items/T9SA6SZQ"],"itemData":{"id":6290,"type":"article-newspaper","container-title":"LabourList","title":"Councillor and ex-leader Ejiofor blocked from standing as Labour candidate","URL":"https://labourlist.org/2022/02/councillor-and-ex-council-leader-blocked-from-standing-as-labour-candidate/","author":[{"family":"Chappell","given":"Elliot"}],"issued":{"date-parts":[["2022",2,21]]}}},{"id":4558,"uris":["http://zotero.org/users/8977980/items/MRSL45ET"],"itemData":{"id":4558,"type":"article-magazine","abstract":"Labour suspended its own rules to bar popular socialist candidates from standing in yesterday's election in Haringey. Members of its Local Campaign Forum explain why they have resigned following this latest attack on democracy.","container-title":"Tribune","language":"en-GB","title":"Labour’s Haringey Stitch-Up","URL":"https://tribunemag.co.uk/2023/06/labours-haringey-stich-up","author":[{"family":"Weir","given":"Adrian"}],"accessed":{"date-parts":[["2023",7,4]]},"issued":{"date-parts":[["2023",6]]}}}],"schema":"https://github.com/citation-style-language/schema/raw/master/csl-citation.json"} </w:instrText>
      </w:r>
      <w:r w:rsidR="0036258E" w:rsidRPr="00662E51">
        <w:rPr>
          <w:szCs w:val="24"/>
        </w:rPr>
        <w:fldChar w:fldCharType="separate"/>
      </w:r>
      <w:r w:rsidR="0036258E" w:rsidRPr="00662E51">
        <w:t>(Chappell 2022; Weir 2023)</w:t>
      </w:r>
      <w:r w:rsidR="0036258E" w:rsidRPr="00662E51">
        <w:rPr>
          <w:szCs w:val="24"/>
        </w:rPr>
        <w:fldChar w:fldCharType="end"/>
      </w:r>
      <w:r w:rsidR="00BB4EDE" w:rsidRPr="00662E51">
        <w:rPr>
          <w:szCs w:val="24"/>
        </w:rPr>
        <w:t xml:space="preserve">. </w:t>
      </w:r>
      <w:r w:rsidRPr="00662E51">
        <w:rPr>
          <w:szCs w:val="24"/>
        </w:rPr>
        <w:t>For current leftist Labour members, this infighting can have significant consequences: Councillor 3 sa</w:t>
      </w:r>
      <w:r w:rsidR="00F3780E" w:rsidRPr="00662E51">
        <w:rPr>
          <w:szCs w:val="24"/>
        </w:rPr>
        <w:t>id,</w:t>
      </w:r>
    </w:p>
    <w:p w14:paraId="2D4662FF" w14:textId="77777777" w:rsidR="00287B83" w:rsidRPr="00662E51" w:rsidRDefault="00287B83" w:rsidP="00287B83">
      <w:pPr>
        <w:tabs>
          <w:tab w:val="left" w:pos="546"/>
        </w:tabs>
        <w:ind w:left="0"/>
        <w:rPr>
          <w:szCs w:val="24"/>
        </w:rPr>
      </w:pPr>
    </w:p>
    <w:p w14:paraId="24D82162" w14:textId="0D54D096" w:rsidR="00F3780E" w:rsidRDefault="00621C17" w:rsidP="00287B83">
      <w:pPr>
        <w:tabs>
          <w:tab w:val="left" w:pos="546"/>
        </w:tabs>
        <w:ind w:left="546"/>
        <w:rPr>
          <w:szCs w:val="24"/>
        </w:rPr>
      </w:pPr>
      <w:r w:rsidRPr="00662E51">
        <w:rPr>
          <w:szCs w:val="24"/>
        </w:rPr>
        <w:t xml:space="preserve">the left of the Labour Party has completely splintered. It doesn't exist in any like meaningful form anymore. We’ve had quite a few people who were blocked from running as councillors. </w:t>
      </w:r>
      <w:r w:rsidR="00351D88" w:rsidRPr="00662E51">
        <w:rPr>
          <w:szCs w:val="24"/>
        </w:rPr>
        <w:t>They were like… because they were not sort of suitable. And then alongside that you have like the fact that a lot of [the] left left the party and [are] demotivated and have like stopped being kind of active councillors.</w:t>
      </w:r>
    </w:p>
    <w:p w14:paraId="30640A9B" w14:textId="77777777" w:rsidR="00287B83" w:rsidRPr="00662E51" w:rsidRDefault="00287B83" w:rsidP="00287B83">
      <w:pPr>
        <w:tabs>
          <w:tab w:val="left" w:pos="546"/>
        </w:tabs>
        <w:ind w:left="546"/>
        <w:rPr>
          <w:szCs w:val="24"/>
        </w:rPr>
      </w:pPr>
    </w:p>
    <w:p w14:paraId="0D37E47E" w14:textId="2A95108C" w:rsidR="00621C17" w:rsidRDefault="00621C17" w:rsidP="00F56305">
      <w:pPr>
        <w:tabs>
          <w:tab w:val="left" w:pos="546"/>
        </w:tabs>
        <w:spacing w:line="360" w:lineRule="auto"/>
        <w:ind w:left="0"/>
        <w:rPr>
          <w:szCs w:val="24"/>
        </w:rPr>
      </w:pPr>
      <w:r w:rsidRPr="00662E51">
        <w:rPr>
          <w:szCs w:val="24"/>
        </w:rPr>
        <w:t>Several members of the Ejiofor council have recently resigned or declined to run again due to this infighting—and indeed, several councillors left the party over Starmer’s failings around the ongoing genocide in Gaza per Councillor 6</w:t>
      </w:r>
      <w:r w:rsidR="002D1B82">
        <w:rPr>
          <w:szCs w:val="24"/>
        </w:rPr>
        <w:t xml:space="preserve"> (see Chapter 1)</w:t>
      </w:r>
      <w:r w:rsidRPr="00662E51">
        <w:rPr>
          <w:szCs w:val="24"/>
        </w:rPr>
        <w:t>. Such manoeuvring directly impacted HRW’s reception among lay members. Councillor 5 said,</w:t>
      </w:r>
    </w:p>
    <w:p w14:paraId="5BAD54D3" w14:textId="77777777" w:rsidR="00287B83" w:rsidRPr="00662E51" w:rsidRDefault="00287B83" w:rsidP="00287B83">
      <w:pPr>
        <w:tabs>
          <w:tab w:val="left" w:pos="546"/>
        </w:tabs>
        <w:ind w:left="0"/>
        <w:rPr>
          <w:szCs w:val="24"/>
        </w:rPr>
      </w:pPr>
    </w:p>
    <w:p w14:paraId="3445697A" w14:textId="77777777" w:rsidR="00621C17" w:rsidRDefault="00621C17" w:rsidP="00287B83">
      <w:pPr>
        <w:tabs>
          <w:tab w:val="left" w:pos="546"/>
        </w:tabs>
        <w:ind w:left="720"/>
        <w:rPr>
          <w:szCs w:val="24"/>
        </w:rPr>
      </w:pPr>
      <w:r w:rsidRPr="00662E51">
        <w:rPr>
          <w:szCs w:val="24"/>
        </w:rPr>
        <w:t xml:space="preserve">I think part of the problems to do with High Road West is the fact that there is no structure within Tottenham Labour Party to have the discussions and the debates that we used to have. Tottenham Labour Party was… put into </w:t>
      </w:r>
      <w:r w:rsidRPr="00662E51">
        <w:rPr>
          <w:szCs w:val="24"/>
        </w:rPr>
        <w:lastRenderedPageBreak/>
        <w:t>special measures by [the] London Regional [Party], so they didn’t allow meetings there.</w:t>
      </w:r>
    </w:p>
    <w:p w14:paraId="33041601" w14:textId="77777777" w:rsidR="00287B83" w:rsidRPr="00662E51" w:rsidRDefault="00287B83" w:rsidP="00287B83">
      <w:pPr>
        <w:tabs>
          <w:tab w:val="left" w:pos="546"/>
        </w:tabs>
        <w:ind w:left="720"/>
        <w:rPr>
          <w:szCs w:val="24"/>
        </w:rPr>
      </w:pPr>
    </w:p>
    <w:p w14:paraId="65EC2D88" w14:textId="1993F863" w:rsidR="00621C17" w:rsidRPr="00662E51" w:rsidRDefault="00621C17" w:rsidP="00F56305">
      <w:pPr>
        <w:tabs>
          <w:tab w:val="left" w:pos="546"/>
        </w:tabs>
        <w:spacing w:line="360" w:lineRule="auto"/>
        <w:ind w:left="0"/>
        <w:rPr>
          <w:szCs w:val="24"/>
        </w:rPr>
      </w:pPr>
      <w:r w:rsidRPr="00662E51">
        <w:rPr>
          <w:szCs w:val="24"/>
        </w:rPr>
        <w:t xml:space="preserve">Intra- and scalar-party fights over the future of the Labour Party have thus narrowed the spaces in which dissent is heard and respected. In other words, Labour infighting locked in poor engagement: by restricting “what is and what is not legitimate political action” to the party and marginalising external action, parties can effectively reproduce hierarchical and restrictive—that is, non-democratic—modes of political engagement </w:t>
      </w:r>
      <w:r w:rsidRPr="00662E51">
        <w:rPr>
          <w:szCs w:val="24"/>
        </w:rPr>
        <w:fldChar w:fldCharType="begin"/>
      </w:r>
      <w:r w:rsidR="00557CA9" w:rsidRPr="00662E51">
        <w:rPr>
          <w:szCs w:val="24"/>
        </w:rPr>
        <w:instrText xml:space="preserve"> ADDIN ZOTERO_ITEM CSL_CITATION {"citationID":"Md3mPUbt","properties":{"formattedCitation":"(Ormerod 2021, 8)","plainCitation":"(Ormerod 2021, 8)","noteIndex":0},"citationItems":[{"id":3295,"uris":["http://zotero.org/users/8977980/items/UP7CRFTK"],"itemData":{"id":3295,"type":"article-journal","abstract":"This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ocator":"8"}],"schema":"https://github.com/citation-style-language/schema/raw/master/csl-citation.json"} </w:instrText>
      </w:r>
      <w:r w:rsidRPr="00662E51">
        <w:rPr>
          <w:szCs w:val="24"/>
        </w:rPr>
        <w:fldChar w:fldCharType="separate"/>
      </w:r>
      <w:r w:rsidR="0095662D" w:rsidRPr="00662E51">
        <w:t>(Ormerod 2021, 8)</w:t>
      </w:r>
      <w:r w:rsidRPr="00662E51">
        <w:rPr>
          <w:szCs w:val="24"/>
        </w:rPr>
        <w:fldChar w:fldCharType="end"/>
      </w:r>
      <w:r w:rsidRPr="00662E51">
        <w:rPr>
          <w:szCs w:val="24"/>
        </w:rPr>
        <w:t>. Given the inexorable relations between state and party, constrained paths of opposition mean that unpopular policies are able to proceed, as shown in the Community Engagement section below.</w:t>
      </w:r>
    </w:p>
    <w:p w14:paraId="309BADCC" w14:textId="77777777" w:rsidR="00621C17" w:rsidRPr="00662E51" w:rsidRDefault="00621C17" w:rsidP="00F56305">
      <w:pPr>
        <w:tabs>
          <w:tab w:val="left" w:pos="546"/>
        </w:tabs>
        <w:spacing w:line="360" w:lineRule="auto"/>
        <w:ind w:left="0"/>
        <w:rPr>
          <w:szCs w:val="24"/>
        </w:rPr>
      </w:pPr>
      <w:r w:rsidRPr="00662E51">
        <w:rPr>
          <w:szCs w:val="24"/>
        </w:rPr>
        <w:tab/>
      </w:r>
    </w:p>
    <w:p w14:paraId="5F673A75" w14:textId="5A88C339" w:rsidR="00621C17" w:rsidRPr="00662E51" w:rsidRDefault="00621C17" w:rsidP="00F56305">
      <w:pPr>
        <w:pStyle w:val="Heading3"/>
      </w:pPr>
      <w:bookmarkStart w:id="468" w:name="_Toc213173988"/>
      <w:bookmarkStart w:id="469" w:name="_Toc221184374"/>
      <w:bookmarkStart w:id="470" w:name="_Toc231215292"/>
      <w:r w:rsidRPr="00662E51">
        <w:t>Moral and Cultural Discourses</w:t>
      </w:r>
      <w:bookmarkEnd w:id="468"/>
      <w:bookmarkEnd w:id="469"/>
      <w:r w:rsidR="00836748">
        <w:t>:</w:t>
      </w:r>
      <w:bookmarkEnd w:id="470"/>
    </w:p>
    <w:p w14:paraId="163A820F" w14:textId="05E9E2A5" w:rsidR="00621C17" w:rsidRPr="00662E51" w:rsidRDefault="00621C17" w:rsidP="00F56305">
      <w:pPr>
        <w:tabs>
          <w:tab w:val="left" w:pos="546"/>
        </w:tabs>
        <w:spacing w:line="360" w:lineRule="auto"/>
        <w:ind w:left="0"/>
        <w:rPr>
          <w:szCs w:val="24"/>
        </w:rPr>
      </w:pPr>
      <w:r w:rsidRPr="00662E51">
        <w:rPr>
          <w:szCs w:val="24"/>
        </w:rPr>
        <w:tab/>
        <w:t xml:space="preserve">As part of the reaction to the 2011 uprising, High Road West was accompanied by moral and cultural discourses about Tottenham that both targeted areas slated for regeneration and tried to build a consensus for said transformation. Specifically, as I contend in this section, the intent is to ensure sufficient labour supply for local, insecure retail jobs by obliging Tottenham’s racialised minority residents to work them. New retail will likely be accompanied by (state-led) gentrification and the replacement of local businesses with global chains </w:t>
      </w:r>
      <w:r w:rsidR="00717815" w:rsidRPr="00662E51">
        <w:rPr>
          <w:szCs w:val="24"/>
        </w:rPr>
        <w:fldChar w:fldCharType="begin"/>
      </w:r>
      <w:r w:rsidR="001B2CAA">
        <w:rPr>
          <w:szCs w:val="24"/>
        </w:rPr>
        <w:instrText xml:space="preserve"> ADDIN ZOTERO_ITEM CSL_CITATION {"citationID":"RlFcf3ID","properties":{"formattedCitation":"(Watt 2021b)","plainCitation":"(Watt 2021b)","noteIndex":0},"citationItems":[{"id":"n0Saldgp/r7qNchtf","uris":["http://zotero.org/users/8977980/items/BHKUJBH9"],"itemData":{"id":"eCLlSK7E/BjVCKenN","type":"book","abstract":"Public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00717815" w:rsidRPr="00662E51">
        <w:rPr>
          <w:szCs w:val="24"/>
        </w:rPr>
        <w:fldChar w:fldCharType="separate"/>
      </w:r>
      <w:r w:rsidR="0095662D" w:rsidRPr="00662E51">
        <w:t>(Watt 2021b)</w:t>
      </w:r>
      <w:r w:rsidR="00717815" w:rsidRPr="00662E51">
        <w:rPr>
          <w:szCs w:val="24"/>
        </w:rPr>
        <w:fldChar w:fldCharType="end"/>
      </w:r>
      <w:r w:rsidR="004A4339">
        <w:rPr>
          <w:szCs w:val="24"/>
        </w:rPr>
        <w:t>,</w:t>
      </w:r>
      <w:r w:rsidR="00717815" w:rsidRPr="00662E51">
        <w:rPr>
          <w:szCs w:val="24"/>
        </w:rPr>
        <w:t xml:space="preserve"> </w:t>
      </w:r>
      <w:r w:rsidRPr="00662E51">
        <w:rPr>
          <w:szCs w:val="24"/>
        </w:rPr>
        <w:t xml:space="preserve">which the Council’s documents frequently highlight as a positive from regeneration </w:t>
      </w:r>
      <w:r w:rsidRPr="00662E51">
        <w:rPr>
          <w:szCs w:val="24"/>
        </w:rPr>
        <w:fldChar w:fldCharType="begin"/>
      </w:r>
      <w:r w:rsidR="008835AB" w:rsidRPr="00662E51">
        <w:rPr>
          <w:szCs w:val="24"/>
        </w:rPr>
        <w:instrText xml:space="preserve"> ADDIN ZOTERO_ITEM CSL_CITATION {"citationID":"aKAlrofH","properties":{"formattedCitation":"(Arup 2014)","plainCitation":"(Arup 2014)","noteIndex":0},"citationItems":[{"id":5648,"uris":["http://zotero.org/users/8977980/items/QYPUBGC9"],"itemData":{"id":5648,"type":"report","publisher":"Haringey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schema":"https://github.com/citation-style-language/schema/raw/master/csl-citation.json"} </w:instrText>
      </w:r>
      <w:r w:rsidRPr="00662E51">
        <w:rPr>
          <w:szCs w:val="24"/>
        </w:rPr>
        <w:fldChar w:fldCharType="separate"/>
      </w:r>
      <w:r w:rsidR="0095662D" w:rsidRPr="00662E51">
        <w:t>(Arup 2014)</w:t>
      </w:r>
      <w:r w:rsidRPr="00662E51">
        <w:rPr>
          <w:szCs w:val="24"/>
        </w:rPr>
        <w:fldChar w:fldCharType="end"/>
      </w:r>
      <w:r w:rsidRPr="00662E51">
        <w:rPr>
          <w:szCs w:val="24"/>
        </w:rPr>
        <w:t xml:space="preserve">. </w:t>
      </w:r>
      <w:r w:rsidR="00C368BD" w:rsidRPr="00662E51">
        <w:rPr>
          <w:szCs w:val="24"/>
        </w:rPr>
        <w:t xml:space="preserve">This is paired with </w:t>
      </w:r>
      <w:r w:rsidR="00FE4756" w:rsidRPr="00662E51">
        <w:rPr>
          <w:szCs w:val="24"/>
        </w:rPr>
        <w:t xml:space="preserve">an explicit </w:t>
      </w:r>
      <w:r w:rsidR="00EC249F" w:rsidRPr="00662E51">
        <w:rPr>
          <w:szCs w:val="24"/>
        </w:rPr>
        <w:t xml:space="preserve">desire to build </w:t>
      </w:r>
      <w:r w:rsidR="002F1A58" w:rsidRPr="00662E51">
        <w:rPr>
          <w:szCs w:val="24"/>
        </w:rPr>
        <w:t xml:space="preserve">many more new dwellings to privately rent or sell. </w:t>
      </w:r>
      <w:r w:rsidRPr="00662E51">
        <w:rPr>
          <w:szCs w:val="24"/>
        </w:rPr>
        <w:t>The stated preference for retail work and global chain stores</w:t>
      </w:r>
      <w:r w:rsidR="008E2C82" w:rsidRPr="00662E51">
        <w:rPr>
          <w:szCs w:val="24"/>
        </w:rPr>
        <w:t xml:space="preserve">—coupled with </w:t>
      </w:r>
      <w:r w:rsidR="002F1A58" w:rsidRPr="00662E51">
        <w:rPr>
          <w:szCs w:val="24"/>
        </w:rPr>
        <w:t xml:space="preserve">these </w:t>
      </w:r>
      <w:r w:rsidR="00C368BD" w:rsidRPr="00662E51">
        <w:rPr>
          <w:szCs w:val="24"/>
        </w:rPr>
        <w:t>more expensive, private flats—</w:t>
      </w:r>
      <w:r w:rsidRPr="00662E51">
        <w:rPr>
          <w:szCs w:val="24"/>
        </w:rPr>
        <w:t xml:space="preserve">presents a gentrified Tottenham as the goal, achieved by enlisting Haringey residents as willing supporters of this vision </w:t>
      </w:r>
      <w:r w:rsidRPr="00662E51">
        <w:rPr>
          <w:szCs w:val="24"/>
        </w:rPr>
        <w:fldChar w:fldCharType="begin"/>
      </w:r>
      <w:r w:rsidR="008835AB" w:rsidRPr="00662E51">
        <w:rPr>
          <w:szCs w:val="24"/>
        </w:rPr>
        <w:instrText xml:space="preserve"> ADDIN ZOTERO_ITEM CSL_CITATION {"citationID":"VKB6QhbB","properties":{"formattedCitation":"(Da Costa Vieira 2023)","plainCitation":"(Da Costa Vieira 2023)","noteIndex":0},"citationItems":[{"id":5759,"uris":["http://zotero.org/users/8977980/items/QJQY2YCJ"],"itemData":{"id":5759,"type":"article-journal","abstract":"In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Vieira","given":"Thomas"}],"issued":{"date-parts":[["2023",10,1]]}}}],"schema":"https://github.com/citation-style-language/schema/raw/master/csl-citation.json"} </w:instrText>
      </w:r>
      <w:r w:rsidRPr="00662E51">
        <w:rPr>
          <w:szCs w:val="24"/>
        </w:rPr>
        <w:fldChar w:fldCharType="separate"/>
      </w:r>
      <w:r w:rsidR="0095662D" w:rsidRPr="00662E51">
        <w:t>(Da Costa Vieira 2023)</w:t>
      </w:r>
      <w:r w:rsidRPr="00662E51">
        <w:rPr>
          <w:szCs w:val="24"/>
        </w:rPr>
        <w:fldChar w:fldCharType="end"/>
      </w:r>
      <w:r w:rsidRPr="00662E51">
        <w:rPr>
          <w:szCs w:val="24"/>
        </w:rPr>
        <w:t xml:space="preserve">.   </w:t>
      </w:r>
    </w:p>
    <w:p w14:paraId="6851FC8C" w14:textId="32257119" w:rsidR="00B05B7E" w:rsidRPr="00662E51" w:rsidRDefault="00621C17" w:rsidP="00F56305">
      <w:pPr>
        <w:tabs>
          <w:tab w:val="left" w:pos="546"/>
        </w:tabs>
        <w:spacing w:line="360" w:lineRule="auto"/>
        <w:ind w:left="0"/>
        <w:rPr>
          <w:szCs w:val="24"/>
        </w:rPr>
      </w:pPr>
      <w:r w:rsidRPr="00662E51">
        <w:rPr>
          <w:szCs w:val="24"/>
        </w:rPr>
        <w:tab/>
        <w:t xml:space="preserve">Circulating in council documents and news media, the moral and cultural elements here revolve around the 2011 revolt but are rooted in longer discourses of Tottenham as a place of disrepute. As </w:t>
      </w:r>
      <w:r w:rsidR="00D4702B" w:rsidRPr="00662E51">
        <w:rPr>
          <w:szCs w:val="24"/>
        </w:rPr>
        <w:t xml:space="preserve">noted throughout this thesis and by </w:t>
      </w:r>
      <w:r w:rsidRPr="00662E51">
        <w:rPr>
          <w:szCs w:val="24"/>
        </w:rPr>
        <w:t xml:space="preserve">Dillon and Fanning </w:t>
      </w:r>
      <w:r w:rsidRPr="00662E51">
        <w:rPr>
          <w:szCs w:val="24"/>
        </w:rPr>
        <w:fldChar w:fldCharType="begin"/>
      </w:r>
      <w:r w:rsidR="008835AB" w:rsidRPr="00662E51">
        <w:rPr>
          <w:szCs w:val="24"/>
        </w:rPr>
        <w:instrText xml:space="preserve"> ADDIN ZOTERO_ITEM CSL_CITATION {"citationID":"B7aCXTW3","properties":{"formattedCitation":"(2011)","plainCitation":"(2011)","noteIndex":0},"citationItems":[{"id":254,"uris":["http://zotero.org/users/8977980/items/4A2LKAH2"],"itemData":{"id":254,"type":"book","collection-title":"Urban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label":"page","suppress-author":true}],"schema":"https://github.com/citation-style-language/schema/raw/master/csl-citation.json"} </w:instrText>
      </w:r>
      <w:r w:rsidRPr="00662E51">
        <w:rPr>
          <w:szCs w:val="24"/>
        </w:rPr>
        <w:fldChar w:fldCharType="separate"/>
      </w:r>
      <w:r w:rsidR="0095662D" w:rsidRPr="00662E51">
        <w:t>(2011)</w:t>
      </w:r>
      <w:r w:rsidRPr="00662E51">
        <w:rPr>
          <w:szCs w:val="24"/>
        </w:rPr>
        <w:fldChar w:fldCharType="end"/>
      </w:r>
      <w:r w:rsidRPr="00662E51">
        <w:rPr>
          <w:szCs w:val="24"/>
        </w:rPr>
        <w:t>, Haringey and Tottenham have circulated within the national consciousness as areas of crime, race problems, rebellions, and et</w:t>
      </w:r>
      <w:r w:rsidR="00D4702B" w:rsidRPr="00662E51">
        <w:rPr>
          <w:szCs w:val="24"/>
        </w:rPr>
        <w:t>c</w:t>
      </w:r>
      <w:r w:rsidRPr="00662E51">
        <w:rPr>
          <w:szCs w:val="24"/>
        </w:rPr>
        <w:t xml:space="preserve">. Historically, Tottenham was a “declining industrial area… containing poorer rundown </w:t>
      </w:r>
      <w:r w:rsidRPr="00662E51">
        <w:rPr>
          <w:szCs w:val="24"/>
        </w:rPr>
        <w:lastRenderedPageBreak/>
        <w:t xml:space="preserve">residential neighbourhoods and a much higher proportion of social housing,” on top of other associated factors of deprivation </w:t>
      </w:r>
      <w:r w:rsidRPr="00662E51">
        <w:rPr>
          <w:szCs w:val="24"/>
        </w:rPr>
        <w:fldChar w:fldCharType="begin"/>
      </w:r>
      <w:r w:rsidR="008835AB" w:rsidRPr="00662E51">
        <w:rPr>
          <w:szCs w:val="24"/>
        </w:rPr>
        <w:instrText xml:space="preserve"> ADDIN ZOTERO_ITEM CSL_CITATION {"citationID":"kaET4v3T","properties":{"formattedCitation":"(Dillon and Fanning 2011, 17)","plainCitation":"(Dillon and Fanning 2011, 17)","noteIndex":0},"citationItems":[{"id":254,"uris":["http://zotero.org/users/8977980/items/4A2LKAH2"],"itemData":{"id":254,"type":"book","collection-title":"Urban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locator":"17"}],"schema":"https://github.com/citation-style-language/schema/raw/master/csl-citation.json"} </w:instrText>
      </w:r>
      <w:r w:rsidRPr="00662E51">
        <w:rPr>
          <w:szCs w:val="24"/>
        </w:rPr>
        <w:fldChar w:fldCharType="separate"/>
      </w:r>
      <w:r w:rsidR="0095662D" w:rsidRPr="00662E51">
        <w:t>(Dillon and Fanning 2011, 17)</w:t>
      </w:r>
      <w:r w:rsidRPr="00662E51">
        <w:rPr>
          <w:szCs w:val="24"/>
        </w:rPr>
        <w:fldChar w:fldCharType="end"/>
      </w:r>
      <w:r w:rsidRPr="00662E51">
        <w:rPr>
          <w:szCs w:val="24"/>
        </w:rPr>
        <w:t>. Tottenham has previously been racialised, too, heightening the disrepute</w:t>
      </w:r>
      <w:r w:rsidR="00944EC4">
        <w:rPr>
          <w:szCs w:val="24"/>
        </w:rPr>
        <w:t xml:space="preserve"> </w:t>
      </w:r>
      <w:r w:rsidR="00944EC4">
        <w:rPr>
          <w:szCs w:val="24"/>
        </w:rPr>
        <w:fldChar w:fldCharType="begin"/>
      </w:r>
      <w:r w:rsidR="00944EC4">
        <w:rPr>
          <w:szCs w:val="24"/>
        </w:rPr>
        <w:instrText xml:space="preserve"> ADDIN ZOTERO_ITEM CSL_CITATION {"citationID":"FwbUrRjz","properties":{"formattedCitation":"(Elster 2020; Visser 2020)","plainCitation":"(Elster 2020; Visser 2020)","noteIndex":0},"citationItems":[{"id":45,"uris":["http://zotero.org/users/8977980/items/M6J3CXWJ"],"itemData":{"id":45,"type":"article-journal","abstract":"Numerous negative representations of youth emerged in the aftermath of the 2011 English riots. This article intends to fill a gap in the literature on the ‘riot-affected’ areas by looking at how youths from Tottenham (the North London constituency where a peaceful demonstration escalated into the English riots of 2011) deal with stereotypical and homogeneous portrayals put forward by the British mainstream news media and many government ministers. In drawing on an alternative conceptualisation of reflexivity that spells out how reflexive orientations relate to lived experiences, the article aims to open up novel pathways for understanding youth reflexivity in the context of being regularly subjected to negative representations. This is achieved by tying reflexive activity more closely to Alfred Schütz’s notion of ‘stock of knowledge’. The study applies qualitative methods to empirically address how a group of eighteen 15- to 25-year-olds from Tottenham reflexively negotiate the harmful consequences of stigmatised identities. The most striking conclusion to emerge from the data is that Tottenham’s young people embody a diverse range of youth identities and reflexive attitudes; a conclusion that flies in the face of the way in which much of the media depicted youths after the riots.","container-title":"The Sociological Review","DOI":"10.1177/0038026120915706","ISSN":"0038-0261","issue":"6","journalAbbreviation":"The Sociological Review","language":"en","page":"1386-1402","publisher":"SAGE Publications Ltd","source":"SAGE Journals","title":"Youth voices in post-English riots Tottenham: The role of reflexivity in negotiating negative representations","title-short":"Youth voices in post-English riots Tottenham","volume":"68","author":[{"family":"Elster","given":"Julius"}],"issued":{"date-parts":[["2020",11,1]]}}},{"id":51,"uris":["http://zotero.org/users/8977980/items/4Y49LDGE"],"itemData":{"id":51,"type":"article-journal","abstract":"The United Kingdom, as most other West European countries, is being confronted with increasing diversity in terms of ethnicity, language, religion and identity. Questions on the desirability and possibility of a multicultural society are a topic of debate. In the last decade, the public debate has increasingly centred on young people from immigrant backgrounds, often referring to their perceived failure to assimilate to the host society. Issues of ‘belonging’, either to the host society or the country of their parents are central in this debate. Little scholarly research, however, has paid attention to experience and negotiation of belonging of the young people from immigrant backgrounds themselves. In this study I look at how young people from immigrant backgrounds (12–19years old) living in a highly diverse neighbourhood (Tottenham, London), experience and negotiate belonging to British society and to their neighbourhood. In this paper I show that (1) belonging negotiated by the young people in Tottenham is dynamic and situational, and should be seen as a process of seeking and being granted belonging which happens at different scales; and (2) whereas London is a city famous for its image of cosmopolitanism, openness, and tolerance we also see that the young people in the study do not always experience it as such. Expressing a strong sense of belonging to Tottenham could be seen as a reaction to not always feeling part of British society.","container-title":"Geoforum","DOI":"10.1016/j.geoforum.2017.02.002","ISSN":"0016-7185","journalAbbreviation":"Geoforum","language":"en","page":"322-330","source":"ScienceDirect","title":"“Because we're all different” – Everyday experiences of belonging among young people from immigrant backgrounds in Tottenham","volume":"116","author":[{"family":"Visser","given":"Kirsten"}],"issued":{"date-parts":[["2020",11,1]]}}}],"schema":"https://github.com/citation-style-language/schema/raw/master/csl-citation.json"} </w:instrText>
      </w:r>
      <w:r w:rsidR="00944EC4">
        <w:rPr>
          <w:szCs w:val="24"/>
        </w:rPr>
        <w:fldChar w:fldCharType="separate"/>
      </w:r>
      <w:r w:rsidR="00944EC4" w:rsidRPr="00944EC4">
        <w:t>(Elster 2020; Visser 2020)</w:t>
      </w:r>
      <w:r w:rsidR="00944EC4">
        <w:rPr>
          <w:szCs w:val="24"/>
        </w:rPr>
        <w:fldChar w:fldCharType="end"/>
      </w:r>
      <w:r w:rsidRPr="00662E51">
        <w:rPr>
          <w:szCs w:val="24"/>
        </w:rPr>
        <w:t xml:space="preserve">. Levett </w:t>
      </w:r>
      <w:r w:rsidRPr="00662E51">
        <w:rPr>
          <w:szCs w:val="24"/>
        </w:rPr>
        <w:fldChar w:fldCharType="begin"/>
      </w:r>
      <w:r w:rsidR="008835AB" w:rsidRPr="00662E51">
        <w:rPr>
          <w:szCs w:val="24"/>
        </w:rPr>
        <w:instrText xml:space="preserve"> ADDIN ZOTERO_ITEM CSL_CITATION {"citationID":"haGtcJnb","properties":{"formattedCitation":"(2012)","plainCitation":"(2012)","noteIndex":0},"citationItems":[{"id":5070,"uris":["http://zotero.org/users/8977980/items/W57USM36"],"itemData":{"id":5070,"type":"report","publisher":"Mayor of London’s Office","publisher-place":"London","title":"It Took Another Riot: The concluding report of the Mayor of London’s Independent Panel on Tottenham","title-short":"It Took Another Riot","URL":"https://www.london.gov.uk/sites/default/files/it_took_another_riot.pdf","author":[{"family":"Levett","given":"Don"}],"accessed":{"date-parts":[["2023",9,12]]},"issued":{"date-parts":[["2012",12,11]]}},"label":"page","suppress-author":true}],"schema":"https://github.com/citation-style-language/schema/raw/master/csl-citation.json"} </w:instrText>
      </w:r>
      <w:r w:rsidRPr="00662E51">
        <w:rPr>
          <w:szCs w:val="24"/>
        </w:rPr>
        <w:fldChar w:fldCharType="separate"/>
      </w:r>
      <w:r w:rsidR="0095662D" w:rsidRPr="00662E51">
        <w:t>(2012)</w:t>
      </w:r>
      <w:r w:rsidRPr="00662E51">
        <w:rPr>
          <w:szCs w:val="24"/>
        </w:rPr>
        <w:fldChar w:fldCharType="end"/>
      </w:r>
      <w:r w:rsidRPr="00662E51">
        <w:rPr>
          <w:szCs w:val="24"/>
        </w:rPr>
        <w:t>—which I discuss in more detail below</w:t>
      </w:r>
      <w:r w:rsidR="00306F8B">
        <w:rPr>
          <w:szCs w:val="24"/>
        </w:rPr>
        <w:t xml:space="preserve"> and </w:t>
      </w:r>
      <w:r w:rsidR="00A5326B">
        <w:rPr>
          <w:szCs w:val="24"/>
        </w:rPr>
        <w:t>Section 1.3.2 and 1.4.2</w:t>
      </w:r>
      <w:r w:rsidRPr="00662E51">
        <w:rPr>
          <w:szCs w:val="24"/>
        </w:rPr>
        <w:t xml:space="preserve">—lists a wide range of social problems like transient populations, low rent, overcrowding, low employment, weak retail, and high crime. Activist 1 told me that politicians often said </w:t>
      </w:r>
      <w:r w:rsidR="00E27B80">
        <w:rPr>
          <w:szCs w:val="24"/>
        </w:rPr>
        <w:t>Tottenham</w:t>
      </w:r>
      <w:r w:rsidRPr="00662E51">
        <w:rPr>
          <w:szCs w:val="24"/>
        </w:rPr>
        <w:t xml:space="preserve"> was “where there [is] generational exclusion from employment,” a discourse that, in the activist’s mind, led to blaming the population for its worklessness. Such problems meant the Tottenham traditionally experienced significant police oppression and punishment from the state. In terms of the moral dimensions of AN, discourses are tightly linked with the racialised moral panics associated with previous iterations of authoritarian politics in the UK </w:t>
      </w:r>
      <w:r w:rsidRPr="00662E51">
        <w:rPr>
          <w:szCs w:val="24"/>
        </w:rPr>
        <w:fldChar w:fldCharType="begin"/>
      </w:r>
      <w:r w:rsidR="00557CA9" w:rsidRPr="00662E51">
        <w:rPr>
          <w:szCs w:val="24"/>
        </w:rPr>
        <w:instrText xml:space="preserve"> ADDIN ZOTERO_ITEM CSL_CITATION {"citationID":"ue1YuGQG","properties":{"formattedCitation":"(Bruff 2014)","plainCitation":"(Bruff 2014)","noteIndex":0},"citationItems":[{"id":5773,"uris":["http://zotero.org/users/8977980/items/YQRZXUST"],"itemData":{"id":5773,"type":"article-journal","container-title":"Rethinking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Neoliberalism","volume":"26","author":[{"family":"Bruff","given":"Ian"}],"issued":{"date-parts":[["2014",1,2]]}}}],"schema":"https://github.com/citation-style-language/schema/raw/master/csl-citation.json"} </w:instrText>
      </w:r>
      <w:r w:rsidRPr="00662E51">
        <w:rPr>
          <w:szCs w:val="24"/>
        </w:rPr>
        <w:fldChar w:fldCharType="separate"/>
      </w:r>
      <w:r w:rsidR="0095662D" w:rsidRPr="00662E51">
        <w:t>(Bruff 2014)</w:t>
      </w:r>
      <w:r w:rsidRPr="00662E51">
        <w:rPr>
          <w:szCs w:val="24"/>
        </w:rPr>
        <w:fldChar w:fldCharType="end"/>
      </w:r>
      <w:r w:rsidRPr="00662E51">
        <w:rPr>
          <w:szCs w:val="24"/>
        </w:rPr>
        <w:t xml:space="preserve">. As aforementioned, the 2011 uprising became a national crisis with significant, coercive police response </w:t>
      </w:r>
      <w:r w:rsidRPr="00662E51">
        <w:rPr>
          <w:szCs w:val="24"/>
        </w:rPr>
        <w:fldChar w:fldCharType="begin"/>
      </w:r>
      <w:r w:rsidR="008835AB" w:rsidRPr="00662E51">
        <w:rPr>
          <w:szCs w:val="24"/>
        </w:rPr>
        <w:instrText xml:space="preserve"> ADDIN ZOTERO_ITEM CSL_CITATION {"citationID":"Ri2duiHf","properties":{"formattedCitation":"(Lewis et al. 2011)","plainCitation":"(Lewis et al. 2011)","noteIndex":0},"citationItems":[{"id":3068,"uris":["http://zotero.org/users/8977980/items/IC3TXSJ6"],"itemData":{"id":3068,"type":"report","abstract":"The riots in early August 2011 were arguably the worst bout of civil unrest in a generation. However, unlike in the early 1980s there was to be no Scarman-style inquiry into the causes. Meanwhile, politicians and others rushed to pronounce on what had happened, and why, and to offer an array of policy solutions. While several reviews and investigations were subsequently established, a number of very significant gaps in public understanding of the events remained. Most visible among these was what drew people out on to the streets for four nights in August and what motivated them? We’d had riots, but we knew little about the rioters. The Guardian had been at the forefront of the reporting of the riots, both in a traditional journalistic sense and much more broadly through the collection and analysis of data from the courts as arrests and prosecutions mounted up. The opportunity was there to expand this work and to embark on something truly ambitious: a full-scale study of the riots and their aftermath. It was this that led to the partnership with the LSE’s Social Policy Department and, with the generous support of the Joseph Rowntree Foundation and Open Society Foundations, to Reading the Riots. We believe this will prove to be a landmark study. It is a unique collaboration between a national newspaper and a leading university. Its overarching aim has been to conduct high-quality social research at a speed and in a way that maximises its likelihood of affecting public and political debate without sacrificing any of its rigour. This report brings together the outcome of the first phase of the study, focusing in a way that has not previously been possible on the nature, motivations, attitudes and experiences of those who rioted across London and in Birmingham, Manchester, Salford, Nottingham and Liverpool.","genre":"Monograph","language":"en","note":"number-of-pages: 36\npublisher-place: London, UK","publisher":"The London School of Economics and Political Science and The Guardian","title":"Reading the riots: investigating England's summer of disorder","title-short":"Reading the riots","URL":"http://www.guardian.co.uk/uk/series/reading-the-riots","author":[{"family":"Lewis","given":"Paul"},{"family":"Newburn","given":"Tim"},{"family":"Taylor","given":"Matthew"},{"family":"Mcgillivray","given":"Catriona"},{"family":"Greenhill","given":"Aster"},{"family":"Frayman","given":"Harold"},{"family":"Proctor","given":"Rob"}],"accessed":{"date-parts":[["2023",1,4]]},"issued":{"date-parts":[["2011",12]]}}}],"schema":"https://github.com/citation-style-language/schema/raw/master/csl-citation.json"} </w:instrText>
      </w:r>
      <w:r w:rsidRPr="00662E51">
        <w:rPr>
          <w:szCs w:val="24"/>
        </w:rPr>
        <w:fldChar w:fldCharType="separate"/>
      </w:r>
      <w:r w:rsidR="0095662D" w:rsidRPr="00662E51">
        <w:t>(Lewis et al. 2011)</w:t>
      </w:r>
      <w:r w:rsidRPr="00662E51">
        <w:rPr>
          <w:szCs w:val="24"/>
        </w:rPr>
        <w:fldChar w:fldCharType="end"/>
      </w:r>
      <w:r w:rsidRPr="00662E51">
        <w:rPr>
          <w:szCs w:val="24"/>
        </w:rPr>
        <w:t xml:space="preserve">. At the local scale, the reaction was a neo-colonial attempt to fundamentally reshape the area </w:t>
      </w:r>
      <w:r w:rsidRPr="00662E51">
        <w:rPr>
          <w:szCs w:val="24"/>
        </w:rPr>
        <w:fldChar w:fldCharType="begin"/>
      </w:r>
      <w:r w:rsidR="008835AB" w:rsidRPr="00662E51">
        <w:rPr>
          <w:szCs w:val="24"/>
        </w:rPr>
        <w:instrText xml:space="preserve"> ADDIN ZOTERO_ITEM CSL_CITATION {"citationID":"KZ9jkMkd","properties":{"formattedCitation":"(Horton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It was not only the Council’s doing, either. It was aided and supported by multiple scales of </w:t>
      </w:r>
      <w:r w:rsidR="00A84DA1" w:rsidRPr="00662E51">
        <w:rPr>
          <w:szCs w:val="24"/>
        </w:rPr>
        <w:t>the state</w:t>
      </w:r>
      <w:r w:rsidRPr="00662E51">
        <w:rPr>
          <w:szCs w:val="24"/>
        </w:rPr>
        <w:t xml:space="preserve">, including the then-Mayor of London, Boris Johnson—and then fixed through the structures of the Labour Party. The official government recommendations were encapsulated in </w:t>
      </w:r>
      <w:r w:rsidRPr="00662E51">
        <w:rPr>
          <w:i/>
          <w:iCs/>
          <w:szCs w:val="24"/>
        </w:rPr>
        <w:t>It Took Another Riot</w:t>
      </w:r>
      <w:r w:rsidRPr="00662E51">
        <w:rPr>
          <w:szCs w:val="24"/>
        </w:rPr>
        <w:t xml:space="preserve">, which suggested a fundamental reshaping of Tottenham </w:t>
      </w:r>
      <w:r w:rsidRPr="00662E51">
        <w:rPr>
          <w:szCs w:val="24"/>
        </w:rPr>
        <w:fldChar w:fldCharType="begin"/>
      </w:r>
      <w:r w:rsidR="008835AB" w:rsidRPr="00662E51">
        <w:rPr>
          <w:szCs w:val="24"/>
        </w:rPr>
        <w:instrText xml:space="preserve"> ADDIN ZOTERO_ITEM CSL_CITATION {"citationID":"jWMR4EgL","properties":{"formattedCitation":"(Levett 2012)","plainCitation":"(Levett 2012)","noteIndex":0},"citationItems":[{"id":5070,"uris":["http://zotero.org/users/8977980/items/W57USM36"],"itemData":{"id":5070,"type":"report","publisher":"Mayor of London’s Office","publisher-place":"London","title":"It Took Another Riot: The concluding report of the Mayor of London’s Independent Panel on Tottenham","title-short":"It Took Another Riot","URL":"https://www.london.gov.uk/sites/default/files/it_took_another_riot.pdf","author":[{"family":"Levett","given":"Don"}],"accessed":{"date-parts":[["2023",9,12]]},"issued":{"date-parts":[["2012",12,11]]}}}],"schema":"https://github.com/citation-style-language/schema/raw/master/csl-citation.json"} </w:instrText>
      </w:r>
      <w:r w:rsidRPr="00662E51">
        <w:rPr>
          <w:szCs w:val="24"/>
        </w:rPr>
        <w:fldChar w:fldCharType="separate"/>
      </w:r>
      <w:r w:rsidR="0095662D" w:rsidRPr="00662E51">
        <w:t>(Levett 2012)</w:t>
      </w:r>
      <w:r w:rsidRPr="00662E51">
        <w:rPr>
          <w:szCs w:val="24"/>
        </w:rPr>
        <w:fldChar w:fldCharType="end"/>
      </w:r>
      <w:r w:rsidRPr="00662E51">
        <w:rPr>
          <w:szCs w:val="24"/>
        </w:rPr>
        <w:t xml:space="preserve">. In the words of Activist 1, the report was a “slandering and smearing [of] Tottenham.” </w:t>
      </w:r>
      <w:r w:rsidR="00E03C99" w:rsidRPr="00662E51">
        <w:rPr>
          <w:szCs w:val="24"/>
        </w:rPr>
        <w:t xml:space="preserve">Indeed, </w:t>
      </w:r>
      <w:r w:rsidR="00B05B7E" w:rsidRPr="00662E51">
        <w:rPr>
          <w:szCs w:val="24"/>
        </w:rPr>
        <w:t>the report describes the area as follows:</w:t>
      </w:r>
    </w:p>
    <w:p w14:paraId="4B9A6B2C" w14:textId="77777777" w:rsidR="002F6D1D" w:rsidRDefault="002F6D1D" w:rsidP="002F6D1D">
      <w:pPr>
        <w:tabs>
          <w:tab w:val="left" w:pos="546"/>
        </w:tabs>
        <w:ind w:left="720"/>
        <w:rPr>
          <w:szCs w:val="24"/>
        </w:rPr>
      </w:pPr>
    </w:p>
    <w:p w14:paraId="625CE071" w14:textId="043177FF" w:rsidR="00B05B7E" w:rsidRDefault="00B05B7E" w:rsidP="002F6D1D">
      <w:pPr>
        <w:tabs>
          <w:tab w:val="left" w:pos="546"/>
        </w:tabs>
        <w:ind w:left="720"/>
        <w:rPr>
          <w:szCs w:val="24"/>
        </w:rPr>
      </w:pPr>
      <w:r w:rsidRPr="00662E51">
        <w:rPr>
          <w:szCs w:val="24"/>
        </w:rPr>
        <w:t>Overcrowded homes mean children have nowhere to do homework, and shared beds can affect their sleep and ability to concentrate during the day. Poor educational attainment affects their prospects later in life, and their aspirations too. Poor skills and prospects lead to unemployment, and to crime. Poor diets and higher levels of alcohol abuse, obesity, diabetes and smoking all reduce life expectancy and quality</w:t>
      </w:r>
      <w:r w:rsidR="002F6D1D">
        <w:rPr>
          <w:szCs w:val="24"/>
        </w:rPr>
        <w:t>.</w:t>
      </w:r>
      <w:r w:rsidRPr="00662E51">
        <w:rPr>
          <w:szCs w:val="24"/>
        </w:rPr>
        <w:t xml:space="preserve"> </w:t>
      </w:r>
      <w:r w:rsidR="00280F79" w:rsidRPr="00662E51">
        <w:rPr>
          <w:szCs w:val="24"/>
        </w:rPr>
        <w:fldChar w:fldCharType="begin"/>
      </w:r>
      <w:r w:rsidR="008835AB" w:rsidRPr="00662E51">
        <w:rPr>
          <w:szCs w:val="24"/>
        </w:rPr>
        <w:instrText xml:space="preserve"> ADDIN ZOTERO_ITEM CSL_CITATION {"citationID":"bXoQYHax","properties":{"formattedCitation":"(Levett 2012, 72)","plainCitation":"(Levett 2012, 72)","noteIndex":0},"citationItems":[{"id":5070,"uris":["http://zotero.org/users/8977980/items/W57USM36"],"itemData":{"id":5070,"type":"report","publisher":"Mayor of London’s Office","publisher-place":"London","title":"It Took Another Riot: The concluding report of the Mayor of London’s Independent Panel on Tottenham","title-short":"It Took Another Riot","URL":"https://www.london.gov.uk/sites/default/files/it_took_another_riot.pdf","author":[{"family":"Levett","given":"Don"}],"accessed":{"date-parts":[["2023",9,12]]},"issued":{"date-parts":[["2012",12,11]]}},"locator":"72"}],"schema":"https://github.com/citation-style-language/schema/raw/master/csl-citation.json"} </w:instrText>
      </w:r>
      <w:r w:rsidR="00280F79" w:rsidRPr="00662E51">
        <w:rPr>
          <w:szCs w:val="24"/>
        </w:rPr>
        <w:fldChar w:fldCharType="separate"/>
      </w:r>
      <w:r w:rsidR="00280F79" w:rsidRPr="00662E51">
        <w:t>(Levett 2012, 72)</w:t>
      </w:r>
      <w:r w:rsidR="00280F79" w:rsidRPr="00662E51">
        <w:rPr>
          <w:szCs w:val="24"/>
        </w:rPr>
        <w:fldChar w:fldCharType="end"/>
      </w:r>
    </w:p>
    <w:p w14:paraId="21F8327D" w14:textId="77777777" w:rsidR="002F6D1D" w:rsidRPr="00662E51" w:rsidRDefault="002F6D1D" w:rsidP="002F6D1D">
      <w:pPr>
        <w:tabs>
          <w:tab w:val="left" w:pos="546"/>
        </w:tabs>
        <w:ind w:left="720"/>
        <w:rPr>
          <w:szCs w:val="24"/>
        </w:rPr>
      </w:pPr>
    </w:p>
    <w:p w14:paraId="5D9C2DF9" w14:textId="19AD7302" w:rsidR="00621C17" w:rsidRPr="00662E51" w:rsidRDefault="00621C17" w:rsidP="00F56305">
      <w:pPr>
        <w:tabs>
          <w:tab w:val="left" w:pos="546"/>
        </w:tabs>
        <w:spacing w:line="360" w:lineRule="auto"/>
        <w:ind w:left="0"/>
        <w:rPr>
          <w:szCs w:val="24"/>
        </w:rPr>
      </w:pPr>
      <w:r w:rsidRPr="00662E51">
        <w:rPr>
          <w:szCs w:val="24"/>
        </w:rPr>
        <w:t xml:space="preserve">As full analysis of the report is better captured else </w:t>
      </w:r>
      <w:r w:rsidRPr="00662E51">
        <w:rPr>
          <w:szCs w:val="24"/>
        </w:rPr>
        <w:fldChar w:fldCharType="begin"/>
      </w:r>
      <w:r w:rsidR="008835AB" w:rsidRPr="00662E51">
        <w:rPr>
          <w:szCs w:val="24"/>
        </w:rPr>
        <w:instrText xml:space="preserve"> ADDIN ZOTERO_ITEM CSL_CITATION {"citationID":"Jeombo9x","properties":{"formattedCitation":"(Horton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CITY","URL":"https://www.uclpress.co.uk/products/240669","author":[{"family":"Horton","given":"Amy"},{"family":"Penny","given":"Joe"}],"issued":{"date-parts":[["2024"]]}},"label":"page"}],"schema":"https://github.com/citation-style-language/schema/raw/master/csl-citation.json"}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I primarily focus on </w:t>
      </w:r>
      <w:r w:rsidR="002D3D07">
        <w:rPr>
          <w:szCs w:val="24"/>
        </w:rPr>
        <w:t>three</w:t>
      </w:r>
      <w:r w:rsidRPr="00662E51">
        <w:rPr>
          <w:szCs w:val="24"/>
        </w:rPr>
        <w:t xml:space="preserve"> particular claims in the HRW masterplan </w:t>
      </w:r>
      <w:r w:rsidRPr="00662E51">
        <w:rPr>
          <w:szCs w:val="24"/>
        </w:rPr>
        <w:fldChar w:fldCharType="begin"/>
      </w:r>
      <w:r w:rsidR="008835AB" w:rsidRPr="00662E51">
        <w:rPr>
          <w:szCs w:val="24"/>
        </w:rPr>
        <w:instrText xml:space="preserve"> ADDIN ZOTERO_ITEM CSL_CITATION {"citationID":"pYgnF6fE","properties":{"formattedCitation":"(Arup 2014)","plainCitation":"(Arup 2014)","noteIndex":0},"citationItems":[{"id":5648,"uris":["http://zotero.org/users/8977980/items/QYPUBGC9"],"itemData":{"id":5648,"type":"report","publisher":"Haringey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schema":"https://github.com/citation-style-language/schema/raw/master/csl-citation.json"} </w:instrText>
      </w:r>
      <w:r w:rsidRPr="00662E51">
        <w:rPr>
          <w:szCs w:val="24"/>
        </w:rPr>
        <w:fldChar w:fldCharType="separate"/>
      </w:r>
      <w:r w:rsidR="0095662D" w:rsidRPr="00662E51">
        <w:t>(Arup 2014)</w:t>
      </w:r>
      <w:r w:rsidRPr="00662E51">
        <w:rPr>
          <w:szCs w:val="24"/>
        </w:rPr>
        <w:fldChar w:fldCharType="end"/>
      </w:r>
      <w:r w:rsidR="00A76C1B" w:rsidRPr="00662E51">
        <w:rPr>
          <w:szCs w:val="24"/>
        </w:rPr>
        <w:t xml:space="preserve"> that reflect the findings of</w:t>
      </w:r>
      <w:r w:rsidR="00564A76" w:rsidRPr="00662E51">
        <w:rPr>
          <w:szCs w:val="24"/>
        </w:rPr>
        <w:t xml:space="preserve"> </w:t>
      </w:r>
      <w:r w:rsidR="00564A76" w:rsidRPr="00662E51">
        <w:rPr>
          <w:i/>
          <w:iCs/>
          <w:szCs w:val="24"/>
        </w:rPr>
        <w:t>It Took Another Riot</w:t>
      </w:r>
      <w:r w:rsidRPr="00662E51">
        <w:rPr>
          <w:szCs w:val="24"/>
        </w:rPr>
        <w:t xml:space="preserve">: the need to solve worklessness, provide different types of retail, and build new forms of housing. </w:t>
      </w:r>
    </w:p>
    <w:p w14:paraId="173072D6" w14:textId="42293D8B" w:rsidR="001B1D0F" w:rsidRDefault="001B1D0F" w:rsidP="00F56305">
      <w:pPr>
        <w:tabs>
          <w:tab w:val="left" w:pos="546"/>
        </w:tabs>
        <w:spacing w:line="360" w:lineRule="auto"/>
        <w:ind w:left="0"/>
        <w:rPr>
          <w:szCs w:val="24"/>
        </w:rPr>
      </w:pPr>
      <w:r w:rsidRPr="00662E51">
        <w:rPr>
          <w:szCs w:val="24"/>
        </w:rPr>
        <w:lastRenderedPageBreak/>
        <w:tab/>
      </w:r>
      <w:r w:rsidRPr="00662E51">
        <w:rPr>
          <w:szCs w:val="24"/>
        </w:rPr>
        <w:tab/>
      </w:r>
      <w:r w:rsidR="00621C17" w:rsidRPr="00662E51">
        <w:rPr>
          <w:szCs w:val="24"/>
        </w:rPr>
        <w:t xml:space="preserve">Produced by Arup </w:t>
      </w:r>
      <w:r w:rsidR="00621C17" w:rsidRPr="00662E51">
        <w:rPr>
          <w:szCs w:val="24"/>
        </w:rPr>
        <w:fldChar w:fldCharType="begin"/>
      </w:r>
      <w:r w:rsidR="008835AB" w:rsidRPr="00662E51">
        <w:rPr>
          <w:szCs w:val="24"/>
        </w:rPr>
        <w:instrText xml:space="preserve"> ADDIN ZOTERO_ITEM CSL_CITATION {"citationID":"jgERPuQQ","properties":{"formattedCitation":"(2014)","plainCitation":"(2014)","noteIndex":0},"citationItems":[{"id":5648,"uris":["http://zotero.org/users/8977980/items/QYPUBGC9"],"itemData":{"id":5648,"type":"report","publisher":"Haringey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abel":"page","suppress-author":true}],"schema":"https://github.com/citation-style-language/schema/raw/master/csl-citation.json"} </w:instrText>
      </w:r>
      <w:r w:rsidR="00621C17" w:rsidRPr="00662E51">
        <w:rPr>
          <w:szCs w:val="24"/>
        </w:rPr>
        <w:fldChar w:fldCharType="separate"/>
      </w:r>
      <w:r w:rsidR="0095662D" w:rsidRPr="00662E51">
        <w:t>(2014)</w:t>
      </w:r>
      <w:r w:rsidR="00621C17" w:rsidRPr="00662E51">
        <w:rPr>
          <w:szCs w:val="24"/>
        </w:rPr>
        <w:fldChar w:fldCharType="end"/>
      </w:r>
      <w:r w:rsidR="00621C17" w:rsidRPr="00662E51">
        <w:rPr>
          <w:szCs w:val="24"/>
        </w:rPr>
        <w:t xml:space="preserve">, the masterplan lists seven major concerns that are allegedly being addressed, of which worklessness and retail are prominent elements. For employment opportunities, Arup </w:t>
      </w:r>
      <w:r w:rsidR="00621C17" w:rsidRPr="00662E51">
        <w:rPr>
          <w:szCs w:val="24"/>
        </w:rPr>
        <w:fldChar w:fldCharType="begin"/>
      </w:r>
      <w:r w:rsidR="008835AB" w:rsidRPr="00662E51">
        <w:rPr>
          <w:szCs w:val="24"/>
        </w:rPr>
        <w:instrText xml:space="preserve"> ADDIN ZOTERO_ITEM CSL_CITATION {"citationID":"Hknj2dZb","properties":{"formattedCitation":"(2014, 5)","plainCitation":"(2014, 5)","noteIndex":0},"citationItems":[{"id":5648,"uris":["http://zotero.org/users/8977980/items/QYPUBGC9"],"itemData":{"id":5648,"type":"report","publisher":"Haringey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ocator":"5","label":"page","suppress-author":true}],"schema":"https://github.com/citation-style-language/schema/raw/master/csl-citation.json"} </w:instrText>
      </w:r>
      <w:r w:rsidR="00621C17" w:rsidRPr="00662E51">
        <w:rPr>
          <w:szCs w:val="24"/>
        </w:rPr>
        <w:fldChar w:fldCharType="separate"/>
      </w:r>
      <w:r w:rsidR="0095662D" w:rsidRPr="00662E51">
        <w:t>(2014, 5)</w:t>
      </w:r>
      <w:r w:rsidR="00621C17" w:rsidRPr="00662E51">
        <w:rPr>
          <w:szCs w:val="24"/>
        </w:rPr>
        <w:fldChar w:fldCharType="end"/>
      </w:r>
      <w:r w:rsidR="00621C17" w:rsidRPr="00662E51">
        <w:rPr>
          <w:szCs w:val="24"/>
        </w:rPr>
        <w:t xml:space="preserve"> write,</w:t>
      </w:r>
    </w:p>
    <w:p w14:paraId="5EFC7D43" w14:textId="77777777" w:rsidR="00582ADE" w:rsidRPr="00662E51" w:rsidRDefault="00582ADE" w:rsidP="00582ADE">
      <w:pPr>
        <w:tabs>
          <w:tab w:val="left" w:pos="546"/>
        </w:tabs>
        <w:ind w:left="0"/>
        <w:rPr>
          <w:szCs w:val="24"/>
        </w:rPr>
      </w:pPr>
    </w:p>
    <w:p w14:paraId="7593EC4D" w14:textId="0C35C7FF" w:rsidR="001B1D0F" w:rsidRDefault="001B1D0F" w:rsidP="00582ADE">
      <w:pPr>
        <w:tabs>
          <w:tab w:val="left" w:pos="546"/>
        </w:tabs>
        <w:ind w:left="720"/>
        <w:rPr>
          <w:szCs w:val="24"/>
        </w:rPr>
      </w:pPr>
      <w:r w:rsidRPr="00662E51">
        <w:rPr>
          <w:szCs w:val="24"/>
        </w:rPr>
        <w:t>The masterplan sets out how High Road West could become a new leisure and sports destination for north London, attracting new businesses</w:t>
      </w:r>
      <w:r w:rsidR="00BE56E2" w:rsidRPr="00662E51">
        <w:rPr>
          <w:szCs w:val="24"/>
        </w:rPr>
        <w:t>…</w:t>
      </w:r>
      <w:r w:rsidRPr="00662E51">
        <w:rPr>
          <w:szCs w:val="24"/>
        </w:rPr>
        <w:t xml:space="preserve"> There will be new workspaces behind the shops on the High Road, which will allow existing businesses to expand and provide space for new start-up businesses. There will also be improvements to some existing workspaces.</w:t>
      </w:r>
    </w:p>
    <w:p w14:paraId="188446B8" w14:textId="77777777" w:rsidR="00582ADE" w:rsidRPr="00662E51" w:rsidRDefault="00582ADE" w:rsidP="00582ADE">
      <w:pPr>
        <w:tabs>
          <w:tab w:val="left" w:pos="546"/>
        </w:tabs>
        <w:ind w:left="720"/>
        <w:rPr>
          <w:szCs w:val="24"/>
        </w:rPr>
      </w:pPr>
    </w:p>
    <w:p w14:paraId="4B9C8FF5" w14:textId="6A4D1B94" w:rsidR="00621C17" w:rsidRPr="00662E51" w:rsidRDefault="00621C17" w:rsidP="00F56305">
      <w:pPr>
        <w:tabs>
          <w:tab w:val="left" w:pos="546"/>
        </w:tabs>
        <w:spacing w:line="360" w:lineRule="auto"/>
        <w:ind w:left="0"/>
        <w:rPr>
          <w:szCs w:val="24"/>
        </w:rPr>
      </w:pPr>
      <w:r w:rsidRPr="00662E51">
        <w:rPr>
          <w:szCs w:val="24"/>
        </w:rPr>
        <w:t xml:space="preserve">Start-up businesses will be linked to providing “more help to get on the jobs ladder and support for entrepreneurs,” and most of the new jobs will be either in leisure, retail, or “food and beverage outlets” instead of office jobs </w:t>
      </w:r>
      <w:r w:rsidRPr="00662E51">
        <w:rPr>
          <w:szCs w:val="24"/>
        </w:rPr>
        <w:fldChar w:fldCharType="begin"/>
      </w:r>
      <w:r w:rsidR="008835AB" w:rsidRPr="00662E51">
        <w:rPr>
          <w:szCs w:val="24"/>
        </w:rPr>
        <w:instrText xml:space="preserve"> ADDIN ZOTERO_ITEM CSL_CITATION {"citationID":"ET2CMHAt","properties":{"formattedCitation":"(Arup 2014, 6, 12)","plainCitation":"(Arup 2014, 6, 12)","noteIndex":0},"citationItems":[{"id":5648,"uris":["http://zotero.org/users/8977980/items/QYPUBGC9"],"itemData":{"id":5648,"type":"report","publisher":"Haringey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Pack","URL":"https://www.haringey.gov.uk/sites/haringeygovuk/files/view_the_summary_masterplan_pdf_3mb.pdf","author":[{"literal":"Arup"}],"accessed":{"date-parts":[["2024",1,16]]},"issued":{"date-parts":[["2014",9]]}},"locator":"6, 12","label":"page"}],"schema":"https://github.com/citation-style-language/schema/raw/master/csl-citation.json"} </w:instrText>
      </w:r>
      <w:r w:rsidRPr="00662E51">
        <w:rPr>
          <w:szCs w:val="24"/>
        </w:rPr>
        <w:fldChar w:fldCharType="separate"/>
      </w:r>
      <w:r w:rsidR="0095662D" w:rsidRPr="00662E51">
        <w:t>(Arup 2014, 6, 12)</w:t>
      </w:r>
      <w:r w:rsidRPr="00662E51">
        <w:rPr>
          <w:szCs w:val="24"/>
        </w:rPr>
        <w:fldChar w:fldCharType="end"/>
      </w:r>
      <w:r w:rsidRPr="00662E51">
        <w:rPr>
          <w:szCs w:val="24"/>
        </w:rPr>
        <w:t xml:space="preserve">. All the employment opportunities within HRW consultation documents are linked to retail or leisure-related jobs, meaning they are unlikely to be stable, high paying work </w:t>
      </w:r>
      <w:r w:rsidRPr="00662E51">
        <w:rPr>
          <w:szCs w:val="24"/>
        </w:rPr>
        <w:fldChar w:fldCharType="begin"/>
      </w:r>
      <w:r w:rsidR="008835AB" w:rsidRPr="00662E51">
        <w:rPr>
          <w:szCs w:val="24"/>
        </w:rPr>
        <w:instrText xml:space="preserve"> ADDIN ZOTERO_ITEM CSL_CITATION {"citationID":"XW12wQEn","properties":{"formattedCitation":"(Bayliss et al. 2024)","plainCitation":"(Bayliss et al. 2024)","noteIndex":0},"citationItems":[{"id":6278,"uris":["http://zotero.org/users/8977980/items/9UE2KFBV"],"itemData":{"id":6278,"type":"article-journal","abstract":"Recent declarations of the end of neoliberalism in the United Kingdom, especially since the Covid-19 pandemic, are underpinned by diffuse and unstructured understandings of the neoliberal state. We argue that state intervention is both necessary and unavoidable under neoliberalism. This article shows that the ‘market-based’ reforms and the ‘rollback of the state’ that overtly characterise neoliberalism are heavily reliant upon public policy and entail an ongoing role for state intervention both over time and across economic sectors. Using sectoral case studies of housing and water from within the United Kingdom, we demonstrate, through a tight analytical framing of both financialisation and commodification, the variegated though crucial role of the neoliberal state in restructuring provision to facilitate financialised accumulation and their transformations in response to the contradictions, dysfunctions and limitations of neoliberalised social reproduction.","container-title":"European Journal of Social Theory","DOI":"10.1177/13684310241241800","ISSN":"1368-4310","issue":"4","language":"en","page":"540-560","publisher":"SAGE Publications Ltd","source":"SAGE Journals","title":"Reports of my death are greatly exaggerated: The persistence of neoliberalism in Britain","title-short":"Reports of my death are greatly exaggerated","volume":"27","author":[{"family":"Bayliss","given":"Kate"},{"family":"Fine","given":"Ben"},{"family":"Robertson","given":"Mary"},{"family":"Saad-Filho","given":"Alfredo"}],"issued":{"date-parts":[["2024",11,1]]}}}],"schema":"https://github.com/citation-style-language/schema/raw/master/csl-citation.json"} </w:instrText>
      </w:r>
      <w:r w:rsidRPr="00662E51">
        <w:rPr>
          <w:szCs w:val="24"/>
        </w:rPr>
        <w:fldChar w:fldCharType="separate"/>
      </w:r>
      <w:r w:rsidR="0095662D" w:rsidRPr="00662E51">
        <w:t>(Bayliss et al. 2024)</w:t>
      </w:r>
      <w:r w:rsidRPr="00662E51">
        <w:rPr>
          <w:szCs w:val="24"/>
        </w:rPr>
        <w:fldChar w:fldCharType="end"/>
      </w:r>
      <w:r w:rsidRPr="00662E51">
        <w:rPr>
          <w:szCs w:val="24"/>
        </w:rPr>
        <w:t>. Given that such employment already characterises Tottenham, the promise of new jobs appears more related to moralising about perceived worklessness rather than improving living standards for residents.</w:t>
      </w:r>
    </w:p>
    <w:p w14:paraId="5BCF2381" w14:textId="6FB62A33" w:rsidR="008F4C26" w:rsidRDefault="00621C17" w:rsidP="00F56305">
      <w:pPr>
        <w:tabs>
          <w:tab w:val="left" w:pos="546"/>
        </w:tabs>
        <w:spacing w:line="360" w:lineRule="auto"/>
        <w:ind w:left="0"/>
        <w:rPr>
          <w:szCs w:val="24"/>
        </w:rPr>
      </w:pPr>
      <w:r w:rsidRPr="00662E51">
        <w:rPr>
          <w:szCs w:val="24"/>
        </w:rPr>
        <w:tab/>
      </w:r>
      <w:r w:rsidRPr="00662E51">
        <w:rPr>
          <w:szCs w:val="24"/>
        </w:rPr>
        <w:tab/>
        <w:t xml:space="preserve">Finally, the scheme is proposing to build thousands of new homes to replace Love Lane and to offer new supply to the area. Unlike the “high-rise towers” that they will replace, </w:t>
      </w:r>
      <w:r w:rsidR="009F2D8C" w:rsidRPr="00662E51">
        <w:rPr>
          <w:szCs w:val="24"/>
        </w:rPr>
        <w:t xml:space="preserve">the new buildings </w:t>
      </w:r>
    </w:p>
    <w:p w14:paraId="1F199FD8" w14:textId="77777777" w:rsidR="004B22EE" w:rsidRPr="00662E51" w:rsidRDefault="004B22EE" w:rsidP="004B22EE">
      <w:pPr>
        <w:tabs>
          <w:tab w:val="left" w:pos="546"/>
        </w:tabs>
        <w:ind w:left="0"/>
        <w:rPr>
          <w:szCs w:val="24"/>
        </w:rPr>
      </w:pPr>
    </w:p>
    <w:p w14:paraId="5DF1FE5F" w14:textId="25CA2938" w:rsidR="008F4C26" w:rsidRDefault="009F2D8C" w:rsidP="004B22EE">
      <w:pPr>
        <w:tabs>
          <w:tab w:val="left" w:pos="546"/>
        </w:tabs>
        <w:ind w:left="720"/>
        <w:rPr>
          <w:szCs w:val="24"/>
        </w:rPr>
      </w:pPr>
      <w:r w:rsidRPr="00662E51">
        <w:rPr>
          <w:szCs w:val="24"/>
        </w:rPr>
        <w:t>…will be a mix of housing types (including houses, flats and maisonettes) and tenures to meet people’s housing requirements at all stages in their lives, in particular for families. This will create a mixed and balanced community. All homes will have access to private open space – such as gardens, balconies or shared courtyards.  There are a limited number of taller buildings and these will not be for families or affordable housing</w:t>
      </w:r>
      <w:r w:rsidR="004B22EE">
        <w:rPr>
          <w:szCs w:val="24"/>
        </w:rPr>
        <w:t>.</w:t>
      </w:r>
      <w:r w:rsidRPr="00662E51">
        <w:rPr>
          <w:szCs w:val="24"/>
        </w:rPr>
        <w:t xml:space="preserve"> </w:t>
      </w:r>
      <w:r w:rsidR="00C36DFF" w:rsidRPr="00662E51">
        <w:rPr>
          <w:szCs w:val="24"/>
        </w:rPr>
        <w:fldChar w:fldCharType="begin"/>
      </w:r>
      <w:r w:rsidR="008835AB" w:rsidRPr="00662E51">
        <w:rPr>
          <w:szCs w:val="24"/>
        </w:rPr>
        <w:instrText xml:space="preserve"> ADDIN ZOTERO_ITEM CSL_CITATION {"citationID":"UhsbXogD","properties":{"formattedCitation":"(Arup 2014, 4)","plainCitation":"(Arup 2014, 4)","noteIndex":0},"citationItems":[{"id":5648,"uris":["http://zotero.org/users/8977980/items/QYPUBGC9"],"itemData":{"id":5648,"type":"report","publisher":"Haringey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ocator":"4"}],"schema":"https://github.com/citation-style-language/schema/raw/master/csl-citation.json"} </w:instrText>
      </w:r>
      <w:r w:rsidR="00C36DFF" w:rsidRPr="00662E51">
        <w:rPr>
          <w:szCs w:val="24"/>
        </w:rPr>
        <w:fldChar w:fldCharType="separate"/>
      </w:r>
      <w:r w:rsidR="00C36DFF" w:rsidRPr="00662E51">
        <w:t>(Arup 2014, 4)</w:t>
      </w:r>
      <w:r w:rsidR="00C36DFF" w:rsidRPr="00662E51">
        <w:rPr>
          <w:szCs w:val="24"/>
        </w:rPr>
        <w:fldChar w:fldCharType="end"/>
      </w:r>
    </w:p>
    <w:p w14:paraId="1AEAA02A" w14:textId="77777777" w:rsidR="004B22EE" w:rsidRPr="00662E51" w:rsidRDefault="004B22EE" w:rsidP="004B22EE">
      <w:pPr>
        <w:tabs>
          <w:tab w:val="left" w:pos="546"/>
        </w:tabs>
        <w:ind w:left="720"/>
        <w:rPr>
          <w:szCs w:val="24"/>
        </w:rPr>
      </w:pPr>
    </w:p>
    <w:p w14:paraId="504B966D" w14:textId="3632CF08" w:rsidR="00621C17" w:rsidRPr="00662E51" w:rsidRDefault="00621C17" w:rsidP="00F56305">
      <w:pPr>
        <w:tabs>
          <w:tab w:val="left" w:pos="546"/>
        </w:tabs>
        <w:spacing w:line="360" w:lineRule="auto"/>
        <w:ind w:left="0"/>
        <w:rPr>
          <w:szCs w:val="24"/>
        </w:rPr>
      </w:pPr>
      <w:r w:rsidRPr="00662E51">
        <w:rPr>
          <w:szCs w:val="24"/>
        </w:rPr>
        <w:t xml:space="preserve">The stress on mixed types is a direct response to prevalent, negative discourses about high-rise buildings with only public housing. These have circulated since 1970s, and have been repeatedly used to justify replacing social housing with unaffordable, accumulation-oriented developments </w:t>
      </w:r>
      <w:r w:rsidR="003E208B" w:rsidRPr="00662E51">
        <w:rPr>
          <w:szCs w:val="24"/>
        </w:rPr>
        <w:fldChar w:fldCharType="begin"/>
      </w:r>
      <w:r w:rsidR="001B2CAA">
        <w:rPr>
          <w:szCs w:val="24"/>
        </w:rPr>
        <w:instrText xml:space="preserve"> ADDIN ZOTERO_ITEM CSL_CITATION {"citationID":"BZlTBOER","properties":{"formattedCitation":"(Slater 2018b; Watt 2021b)","plainCitation":"(Slater 2018b; Watt 2021b)","noteIndex":0},"citationItems":[{"id":"n0Saldgp/lTrFgxr9","uris":["http://zotero.org/users/8977980/items/G54SJBAX"],"itemData":{"id":"NG4ZTOsG/Ke6QZGDy","type":"article-journal","abstract":"This article explores the history and traces the realisation of a category that was invented by journalists, amplified by free market think tanks and converted into policy doxa (common sense) by politicians in the United Kingdom: the ‘sink estate’. This derogatory designator, signifying social housing estates that supposedly create poverty, family breakdown, worklessness, welfare dependency, antisocial behaviour and personal irresponsibility, has become the symbolic frame justifying current policies towards social housing that have resulted in considerable social suffering and intensified dislocation. The article deploys a conceptual articulation of agnotology (the intentional production of ignorance) with Bourdieu’s theory of symbolic power to understand the institutional arrangements and cognitive systems structuring deeply unequal social relations. Specifically, the highly influential publications on housing by a free market think tank, Policy Exchange, are dissected in order to demonstrate how the activation of territorial stigma has become an instrument of urban politics. The ‘sink estate’, it is argued, is the semantic battering ram in the ideological assault on social housing, deflecting attention away from social housing not only as urgent necessity during a serious crisis of affordability, but as incubator of community, solidarity, shelter and home.","container-title":"The Sociological Review","DOI":"10.1177/0038026118777451","ISSN":"0038-0261","issue":"4","journalAbbreviation":"The Sociological Review","language":"en","note":"publisher: SAGE Publications Ltd","page":"877-897","source":"SAGE Journals","title":"The invention of the ‘sink estate’: Consequential categorisation and the UK housing crisis","title-short":"The invention of the ‘sink estate’","volume":"66","author":[{"family":"Slater","given":"Tom"}],"issued":{"date-parts":[["2018",7,1]]}}},{"id":"n0Saldgp/r7qNchtf","uris":["http://zotero.org/users/8977980/items/BHKUJBH9"],"itemData":{"id":"eCLlSK7E/BjVCKenN","type":"book","abstract":"Public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003E208B" w:rsidRPr="00662E51">
        <w:rPr>
          <w:szCs w:val="24"/>
        </w:rPr>
        <w:fldChar w:fldCharType="separate"/>
      </w:r>
      <w:r w:rsidR="008657DC" w:rsidRPr="00662E51">
        <w:t>(Slater 2018b; Watt 2021b)</w:t>
      </w:r>
      <w:r w:rsidR="003E208B" w:rsidRPr="00662E51">
        <w:rPr>
          <w:szCs w:val="24"/>
        </w:rPr>
        <w:fldChar w:fldCharType="end"/>
      </w:r>
      <w:r w:rsidR="003E208B" w:rsidRPr="00662E51">
        <w:rPr>
          <w:szCs w:val="24"/>
        </w:rPr>
        <w:t>.</w:t>
      </w:r>
      <w:r w:rsidRPr="00662E51">
        <w:rPr>
          <w:szCs w:val="24"/>
        </w:rPr>
        <w:t xml:space="preserve"> Also promised is “better support for young people to get on the housing ladder” </w:t>
      </w:r>
      <w:r w:rsidRPr="00662E51">
        <w:rPr>
          <w:szCs w:val="24"/>
        </w:rPr>
        <w:fldChar w:fldCharType="begin"/>
      </w:r>
      <w:r w:rsidR="008835AB" w:rsidRPr="00662E51">
        <w:rPr>
          <w:szCs w:val="24"/>
        </w:rPr>
        <w:instrText xml:space="preserve"> ADDIN ZOTERO_ITEM CSL_CITATION {"citationID":"OygFvFBT","properties":{"formattedCitation":"(Arup 2014, 10)","plainCitation":"(Arup 2014, 10)","noteIndex":0},"citationItems":[{"id":5648,"uris":["http://zotero.org/users/8977980/items/QYPUBGC9"],"itemData":{"id":5648,"type":"report","publisher":"Haringey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ocator":"10","label":"page"}],"schema":"https://github.com/citation-style-language/schema/raw/master/csl-citation.json"} </w:instrText>
      </w:r>
      <w:r w:rsidRPr="00662E51">
        <w:rPr>
          <w:szCs w:val="24"/>
        </w:rPr>
        <w:fldChar w:fldCharType="separate"/>
      </w:r>
      <w:r w:rsidR="0095662D" w:rsidRPr="00662E51">
        <w:t>(Arup 2014, 10)</w:t>
      </w:r>
      <w:r w:rsidRPr="00662E51">
        <w:rPr>
          <w:szCs w:val="24"/>
        </w:rPr>
        <w:fldChar w:fldCharType="end"/>
      </w:r>
      <w:r w:rsidRPr="00662E51">
        <w:rPr>
          <w:szCs w:val="24"/>
        </w:rPr>
        <w:t xml:space="preserve">, which Activist 1 stated will include shared ownership schemes that may cause more harm than good </w:t>
      </w:r>
      <w:r w:rsidR="008657DC" w:rsidRPr="00662E51">
        <w:rPr>
          <w:szCs w:val="24"/>
        </w:rPr>
        <w:fldChar w:fldCharType="begin"/>
      </w:r>
      <w:r w:rsidR="001B2CAA">
        <w:rPr>
          <w:szCs w:val="24"/>
        </w:rPr>
        <w:instrText xml:space="preserve"> ADDIN ZOTERO_ITEM CSL_CITATION {"citationID":"CT8KDSZJ","properties":{"formattedCitation":"(because of hidden costs; see also Watt 2021b)","plainCitation":"(because of hidden costs; see also Watt 2021b)","noteIndex":0},"citationItems":[{"id":"n0Saldgp/r7qNchtf","uris":["http://zotero.org/users/8977980/items/BHKUJBH9"],"itemData":{"id":"NG4ZTOsG/tDseFk53","type":"book","abstract":"Public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Discontents","author":[{"family":"Watt","given":"Paul"}],"issued":{"date-parts":[["2021",3,31]]}},"prefix":"because of hidden costs; see also "}],"schema":"https://github.com/citation-style-language/schema/raw/master/csl-citation.json"} </w:instrText>
      </w:r>
      <w:r w:rsidR="008657DC" w:rsidRPr="00662E51">
        <w:rPr>
          <w:szCs w:val="24"/>
        </w:rPr>
        <w:fldChar w:fldCharType="separate"/>
      </w:r>
      <w:r w:rsidR="008657DC" w:rsidRPr="00662E51">
        <w:t xml:space="preserve">(because of hidden costs; see also Watt </w:t>
      </w:r>
      <w:r w:rsidR="008657DC" w:rsidRPr="00662E51">
        <w:lastRenderedPageBreak/>
        <w:t>2021b)</w:t>
      </w:r>
      <w:r w:rsidR="008657DC" w:rsidRPr="00662E51">
        <w:rPr>
          <w:szCs w:val="24"/>
        </w:rPr>
        <w:fldChar w:fldCharType="end"/>
      </w:r>
      <w:r w:rsidR="008657DC" w:rsidRPr="00662E51">
        <w:rPr>
          <w:szCs w:val="24"/>
        </w:rPr>
        <w:t xml:space="preserve">. </w:t>
      </w:r>
      <w:r w:rsidRPr="00662E51">
        <w:rPr>
          <w:szCs w:val="24"/>
        </w:rPr>
        <w:t xml:space="preserve">That is why, in the language of the then-Cabinet Member for Regeneration and Housing, Alan Strickland, High Road West “could really bring the area to life” as a “a place that helps every family have the best chances to fulfill their potential” </w:t>
      </w:r>
      <w:r w:rsidRPr="00662E51">
        <w:rPr>
          <w:szCs w:val="24"/>
        </w:rPr>
        <w:fldChar w:fldCharType="begin"/>
      </w:r>
      <w:r w:rsidR="008835AB" w:rsidRPr="00662E51">
        <w:rPr>
          <w:szCs w:val="24"/>
        </w:rPr>
        <w:instrText xml:space="preserve"> ADDIN ZOTERO_ITEM CSL_CITATION {"citationID":"Z4pn4PFy","properties":{"formattedCitation":"(Arup 2014, 1)","plainCitation":"(Arup 2014, 1)","noteIndex":0},"citationItems":[{"id":5648,"uris":["http://zotero.org/users/8977980/items/QYPUBGC9"],"itemData":{"id":5648,"type":"report","publisher":"Haringey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ocator":"1","label":"page"}],"schema":"https://github.com/citation-style-language/schema/raw/master/csl-citation.json"} </w:instrText>
      </w:r>
      <w:r w:rsidRPr="00662E51">
        <w:rPr>
          <w:szCs w:val="24"/>
        </w:rPr>
        <w:fldChar w:fldCharType="separate"/>
      </w:r>
      <w:r w:rsidR="0095662D" w:rsidRPr="00662E51">
        <w:t>(Arup 2014, 1)</w:t>
      </w:r>
      <w:r w:rsidRPr="00662E51">
        <w:rPr>
          <w:szCs w:val="24"/>
        </w:rPr>
        <w:fldChar w:fldCharType="end"/>
      </w:r>
      <w:r w:rsidRPr="00662E51">
        <w:rPr>
          <w:szCs w:val="24"/>
        </w:rPr>
        <w:t xml:space="preserve">. Again, we find moralising language about the kinds of spaces and places that are meant to be found in the new neighbourhood of High Road West—and are meant to replace the disreputable </w:t>
      </w:r>
      <w:r w:rsidR="00BF02B5">
        <w:rPr>
          <w:szCs w:val="24"/>
        </w:rPr>
        <w:t>z</w:t>
      </w:r>
      <w:r w:rsidRPr="00662E51">
        <w:rPr>
          <w:szCs w:val="24"/>
        </w:rPr>
        <w:t xml:space="preserve">places that currently exist in the neighbourhood. </w:t>
      </w:r>
      <w:r w:rsidR="004C33D4" w:rsidRPr="00662E51">
        <w:rPr>
          <w:szCs w:val="24"/>
        </w:rPr>
        <w:t xml:space="preserve">Specifically, </w:t>
      </w:r>
      <w:r w:rsidR="005D7A42" w:rsidRPr="00662E51">
        <w:rPr>
          <w:szCs w:val="24"/>
        </w:rPr>
        <w:t xml:space="preserve">Strickland’s language implies that the area is presently lifeless </w:t>
      </w:r>
      <w:r w:rsidR="00926032" w:rsidRPr="00662E51">
        <w:rPr>
          <w:szCs w:val="24"/>
        </w:rPr>
        <w:t xml:space="preserve">and without community, again mirroring long-standing discourses about </w:t>
      </w:r>
      <w:r w:rsidR="008F7C77">
        <w:rPr>
          <w:szCs w:val="24"/>
        </w:rPr>
        <w:t>the ‘undeserving poor</w:t>
      </w:r>
      <w:r w:rsidR="002E30B9">
        <w:rPr>
          <w:szCs w:val="24"/>
        </w:rPr>
        <w:t>’</w:t>
      </w:r>
      <w:r w:rsidR="008F7C77">
        <w:rPr>
          <w:szCs w:val="24"/>
        </w:rPr>
        <w:t xml:space="preserve">, and </w:t>
      </w:r>
      <w:r w:rsidR="00926032" w:rsidRPr="00662E51">
        <w:rPr>
          <w:szCs w:val="24"/>
        </w:rPr>
        <w:t xml:space="preserve">‘problem places’ and ‘problem people’ that have surfaced throughout this </w:t>
      </w:r>
      <w:r w:rsidR="00485BF9" w:rsidRPr="00662E51">
        <w:rPr>
          <w:szCs w:val="24"/>
        </w:rPr>
        <w:t xml:space="preserve">thesis </w:t>
      </w:r>
      <w:r w:rsidR="00E8765F" w:rsidRPr="00662E51">
        <w:rPr>
          <w:szCs w:val="24"/>
        </w:rPr>
        <w:fldChar w:fldCharType="begin"/>
      </w:r>
      <w:r w:rsidR="001B2CAA">
        <w:rPr>
          <w:szCs w:val="24"/>
        </w:rPr>
        <w:instrText xml:space="preserve"> ADDIN ZOTERO_ITEM CSL_CITATION {"citationID":"4LDlHNyk","properties":{"formattedCitation":"(Dillon and Fanning 2015; Katz [1989] 2013; C. Johnston and Mooney 2007; Severs 2010)","plainCitation":"(Dillon and Fanning 2015; Katz [1989] 2013; C. Johnston and Mooney 2007; Severs 2010)","noteIndex":0},"citationItems":[{"id":"n0Saldgp/2Hzt6BxM","uris":["http://zotero.org/users/8977980/items/RVFCXMEF"],"itemData":{"id":"NG4ZTOsG/rSHFynB9","type":"article-journal","abstract":"David Cameron’s ‘Big Society’ agenda is best understood in terms of ideological and policy continuities with earlier Conservative and New Labour governments. But where previous post-1979 governments have sought to renegotiate the role of the state mostly through privatisations and marketisations of public services, the ‘Big Society’ agenda also proposed the replacement of the state by individual voluntarism and community enterprise. The accompanying political narrative portrays an atomised ‘broken Britain’ but at the same time insists that untapped community spirit can take the place of the state. This article examines the disjuncture between Big Society narratives and urban policy responses to the 2011 Tottenham riots. By comparison with previous local regeneration initiatives in Tottenham there was very little emphasis on community development. Instead explicit goals of gentrification in the Plan for Tottenham echo Thatcher-era approaches to ‘place shaping’ and exemplify a wider re-emphasis on property-led regeneration.","container-title":"Critical Social Policy","DOI":"10.1177/0261018315575103","ISSN":"0261-0183","issue":"2","journalAbbreviation":"Critical Social Policy","language":"en","note":"publisher: SAGE Publications Ltd","page":"188-206","source":"SAGE Journals","title":"Tottenham after the riots: The chimera of community and the property-led regeneration of ‘broken Britain’","title-short":"Tottenham after the riots","volume":"35","author":[{"family":"Dillon","given":"Denis"},{"family":"Fanning","given":"Bryan"}],"issued":{"date-parts":[["2015",5,1]]}}},{"id":7087,"uris":["http://zotero.org/users/8977980/items/HET4FXWX"],"itemData":{"id":7087,"type":"book","abstract":"First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light.\n               \n               \n                \n              ,  \n               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light.","edition":"Second Edition","ISBN":"978-0-19-993395-2","number-of-pages":"368","publisher":"Oxford University Press","publisher-place":"Oxford, New York","source":"Oxford University Press","title":"The Undeserving Poor: America's Enduring Confrontation with Poverty: Fully Updated and Revised","title-short":"The Undeserving Poor","author":[{"family":"Katz","given":"Michael B."}],"issued":{"date-parts":[["2013",11,28]]},"original-date":{"date-parts":[["1989"]]}}},{"id":4027,"uris":["http://zotero.org/users/8977980/items/8HIRKD7J"],"itemData":{"id":4027,"type":"chapter","container-title":"Securing an Urban Renaissance","ISBN":"978-1-84742-247-7","publisher":"Policy Press","publisher-place":"Bristol, UNITED KINGDOM","source":"ProQuest Ebook Central","title":"‘Problem’ people, ‘problem’ places? New Labour and council estates","URL":"http://ebookcentral.proquest.com/lib/durham/detail.action?docID=419289","editor":[{"family":"Atkinson","given":"Rowland"},{"family":"Helms","given":"Gesma"}],"author":[{"family":"Johnston","given":"Charlie"},{"family":"Mooney","given":"Gerry"}],"accessed":{"date-parts":[["2023",3,15]]},"issued":{"date-parts":[["2007"]]}}},{"id":3021,"uris":["http://zotero.org/users/8977980/items/UW5RG3EA"],"itemData":{"id":3021,"type":"article-journal","container-title":"The Journal of Architecture","DOI":"10.1080/13602365.2010.507526","ISSN":"1360-2365, 1466-4410","issue":"4","journalAbbreviation":"The Journal of Architecture","language":"en","page":"449-497","source":"DOI.org (Crossref)","title":"Rookeries and no-go estates: St. Giles and Broadwater Farm, &lt;i&gt;or&lt;/i&gt; middle-class fear of ‘non-street’ housing","title-short":"Rookeries and no-go estates","volume":"15","author":[{"family":"Severs","given":"Dominic"}],"issued":{"date-parts":[["2010",8]]}}}],"schema":"https://github.com/citation-style-language/schema/raw/master/csl-citation.json"} </w:instrText>
      </w:r>
      <w:r w:rsidR="00E8765F" w:rsidRPr="00662E51">
        <w:rPr>
          <w:szCs w:val="24"/>
        </w:rPr>
        <w:fldChar w:fldCharType="separate"/>
      </w:r>
      <w:r w:rsidR="00213B80" w:rsidRPr="00213B80">
        <w:t>(Dillon and Fanning 2015; Katz [1989] 2013; C. Johnston and Mooney 2007; Severs 2010)</w:t>
      </w:r>
      <w:r w:rsidR="00E8765F" w:rsidRPr="00662E51">
        <w:rPr>
          <w:szCs w:val="24"/>
        </w:rPr>
        <w:fldChar w:fldCharType="end"/>
      </w:r>
      <w:r w:rsidR="00485BF9" w:rsidRPr="00662E51">
        <w:rPr>
          <w:szCs w:val="24"/>
        </w:rPr>
        <w:t xml:space="preserve">. </w:t>
      </w:r>
      <w:r w:rsidRPr="00662E51">
        <w:rPr>
          <w:szCs w:val="24"/>
        </w:rPr>
        <w:t xml:space="preserve">For each element, the Council positions not only the current state of the area as deficient, but also HRW as the </w:t>
      </w:r>
      <w:r w:rsidRPr="00662E51">
        <w:rPr>
          <w:i/>
          <w:iCs/>
          <w:szCs w:val="24"/>
        </w:rPr>
        <w:t>only</w:t>
      </w:r>
      <w:r w:rsidRPr="00662E51">
        <w:rPr>
          <w:szCs w:val="24"/>
        </w:rPr>
        <w:t xml:space="preserve"> solution to these problems of worklessness, a lack of retail choice, and the ‘wrong’ mix of housing. </w:t>
      </w:r>
    </w:p>
    <w:p w14:paraId="3F658B63" w14:textId="7E72A391" w:rsidR="00C128F4" w:rsidRDefault="00621C17" w:rsidP="00C128F4">
      <w:pPr>
        <w:tabs>
          <w:tab w:val="left" w:pos="546"/>
        </w:tabs>
        <w:spacing w:line="360" w:lineRule="auto"/>
        <w:ind w:left="0"/>
        <w:rPr>
          <w:szCs w:val="24"/>
        </w:rPr>
      </w:pPr>
      <w:r w:rsidRPr="00662E51">
        <w:rPr>
          <w:szCs w:val="24"/>
        </w:rPr>
        <w:tab/>
      </w:r>
      <w:r w:rsidRPr="00662E51">
        <w:rPr>
          <w:szCs w:val="24"/>
        </w:rPr>
        <w:tab/>
        <w:t xml:space="preserve">Although the Council maintains that they aim to minimise harm, the </w:t>
      </w:r>
      <w:r w:rsidR="00486E28">
        <w:rPr>
          <w:szCs w:val="24"/>
        </w:rPr>
        <w:t>neoliberalism</w:t>
      </w:r>
      <w:r w:rsidRPr="00662E51">
        <w:rPr>
          <w:szCs w:val="24"/>
        </w:rPr>
        <w:t xml:space="preserve"> at play persists. For one, the area will be fundamentally changed, raising the prospect of in-situ displacement </w:t>
      </w:r>
      <w:r w:rsidR="003E208B" w:rsidRPr="00662E51">
        <w:rPr>
          <w:szCs w:val="24"/>
        </w:rPr>
        <w:fldChar w:fldCharType="begin"/>
      </w:r>
      <w:r w:rsidR="001B2CAA">
        <w:rPr>
          <w:szCs w:val="24"/>
        </w:rPr>
        <w:instrText xml:space="preserve"> ADDIN ZOTERO_ITEM CSL_CITATION {"citationID":"Aakcq81z","properties":{"formattedCitation":"(Watt 2021b)","plainCitation":"(Watt 2021b)","noteIndex":0},"citationItems":[{"id":"n0Saldgp/r7qNchtf","uris":["http://zotero.org/users/8977980/items/BHKUJBH9"],"itemData":{"id":"eCLlSK7E/BjVCKenN","type":"book","abstract":"Public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003E208B" w:rsidRPr="00662E51">
        <w:rPr>
          <w:szCs w:val="24"/>
        </w:rPr>
        <w:fldChar w:fldCharType="separate"/>
      </w:r>
      <w:r w:rsidR="0095662D" w:rsidRPr="00662E51">
        <w:rPr>
          <w:szCs w:val="24"/>
        </w:rPr>
        <w:t>(Watt 2021b)</w:t>
      </w:r>
      <w:r w:rsidR="003E208B" w:rsidRPr="00662E51">
        <w:rPr>
          <w:szCs w:val="24"/>
        </w:rPr>
        <w:fldChar w:fldCharType="end"/>
      </w:r>
      <w:r w:rsidR="003E208B" w:rsidRPr="00662E51">
        <w:rPr>
          <w:szCs w:val="24"/>
        </w:rPr>
        <w:t xml:space="preserve">. </w:t>
      </w:r>
      <w:r w:rsidR="00EA7123" w:rsidRPr="00662E51">
        <w:rPr>
          <w:szCs w:val="24"/>
        </w:rPr>
        <w:t xml:space="preserve">Although some current council tenants </w:t>
      </w:r>
      <w:r w:rsidR="00595B73" w:rsidRPr="00662E51">
        <w:rPr>
          <w:szCs w:val="24"/>
        </w:rPr>
        <w:t xml:space="preserve">are able to stay in the area because of the new council homes </w:t>
      </w:r>
      <w:r w:rsidR="00486E28">
        <w:rPr>
          <w:szCs w:val="24"/>
        </w:rPr>
        <w:t xml:space="preserve">to be built by the scheme </w:t>
      </w:r>
      <w:r w:rsidR="00914A5E" w:rsidRPr="00662E51">
        <w:rPr>
          <w:szCs w:val="24"/>
        </w:rPr>
        <w:fldChar w:fldCharType="begin"/>
      </w:r>
      <w:r w:rsidR="00E27440">
        <w:rPr>
          <w:szCs w:val="24"/>
        </w:rPr>
        <w:instrText xml:space="preserve"> ADDIN ZOTERO_ITEM CSL_CITATION {"citationID":"nrcbRbwf","properties":{"formattedCitation":"(Hill 2021)","plainCitation":"(Hill 2021)","noteIndex":0},"citationItems":[{"id":5182,"uris":["http://zotero.org/users/8977980/items/9XUHNLWL"],"itemData":{"id":5182,"type":"article-newspaper","abstract":"Sadiq Khan’s introduction of referendums into the often-fraught issue of estate regeneration was welcomed by some and questioned by others. Those most strongly in favour were often Green, Corbyn Left and other housing activists, who perhaps anticipated that council and housing association tenants would rise up against alleged “social cleansing” and reject redevelopment plans. Others […]","container-title":"OnLondon","language":"en-GB","publisher-place":"London, UK","section":"Analysis","title":"Haringey: The rancorous referendum of the Love Lane estate","title-short":"Haringey","URL":"https://www.onlondon.co.uk/haringey-the-rancorous-referendum-of-the-love-lane-estate/","author":[{"family":"Hill","given":"Dave"}],"accessed":{"date-parts":[["2023",9,27]]},"issued":{"date-parts":[["2021",11,11]]}}}],"schema":"https://github.com/citation-style-language/schema/raw/master/csl-citation.json"} </w:instrText>
      </w:r>
      <w:r w:rsidR="00914A5E" w:rsidRPr="00662E51">
        <w:rPr>
          <w:szCs w:val="24"/>
        </w:rPr>
        <w:fldChar w:fldCharType="separate"/>
      </w:r>
      <w:r w:rsidR="00E27440" w:rsidRPr="00E27440">
        <w:t>(Hill 2021)</w:t>
      </w:r>
      <w:r w:rsidR="00914A5E" w:rsidRPr="00662E51">
        <w:rPr>
          <w:szCs w:val="24"/>
        </w:rPr>
        <w:fldChar w:fldCharType="end"/>
      </w:r>
      <w:r w:rsidR="00EA7123" w:rsidRPr="00662E51">
        <w:rPr>
          <w:szCs w:val="24"/>
        </w:rPr>
        <w:t xml:space="preserve">, </w:t>
      </w:r>
      <w:r w:rsidR="006E298C" w:rsidRPr="00662E51">
        <w:rPr>
          <w:szCs w:val="24"/>
        </w:rPr>
        <w:t xml:space="preserve">the neighbourhood will be markedly different (and more expensive) after the regeneration scheme is over. </w:t>
      </w:r>
      <w:r w:rsidRPr="00662E51">
        <w:rPr>
          <w:szCs w:val="24"/>
        </w:rPr>
        <w:t xml:space="preserve">A shift in orientation toward leisure and retail </w:t>
      </w:r>
      <w:r w:rsidR="00147FE0" w:rsidRPr="00662E51">
        <w:rPr>
          <w:szCs w:val="24"/>
        </w:rPr>
        <w:t>activity—coupled with new market-rate flats—</w:t>
      </w:r>
      <w:r w:rsidRPr="00662E51">
        <w:rPr>
          <w:szCs w:val="24"/>
        </w:rPr>
        <w:t>is designed to attract</w:t>
      </w:r>
      <w:r w:rsidR="00A030F3">
        <w:rPr>
          <w:szCs w:val="24"/>
        </w:rPr>
        <w:t>,</w:t>
      </w:r>
      <w:r w:rsidRPr="00662E51">
        <w:rPr>
          <w:szCs w:val="24"/>
        </w:rPr>
        <w:t xml:space="preserve"> </w:t>
      </w:r>
      <w:r w:rsidR="00102FD9" w:rsidRPr="00662E51">
        <w:rPr>
          <w:szCs w:val="24"/>
        </w:rPr>
        <w:t>and speculate on</w:t>
      </w:r>
      <w:r w:rsidR="00A030F3">
        <w:rPr>
          <w:szCs w:val="24"/>
        </w:rPr>
        <w:t>,</w:t>
      </w:r>
      <w:r w:rsidR="00102FD9" w:rsidRPr="00662E51">
        <w:rPr>
          <w:szCs w:val="24"/>
        </w:rPr>
        <w:t xml:space="preserve"> </w:t>
      </w:r>
      <w:r w:rsidR="00147FE0" w:rsidRPr="00662E51">
        <w:rPr>
          <w:szCs w:val="24"/>
        </w:rPr>
        <w:t xml:space="preserve">additional </w:t>
      </w:r>
      <w:r w:rsidRPr="00662E51">
        <w:rPr>
          <w:szCs w:val="24"/>
        </w:rPr>
        <w:t xml:space="preserve">capital </w:t>
      </w:r>
      <w:r w:rsidR="006E298C" w:rsidRPr="00662E51">
        <w:rPr>
          <w:szCs w:val="24"/>
        </w:rPr>
        <w:t xml:space="preserve">investment </w:t>
      </w:r>
      <w:r w:rsidRPr="00662E51">
        <w:rPr>
          <w:szCs w:val="24"/>
        </w:rPr>
        <w:fldChar w:fldCharType="begin"/>
      </w:r>
      <w:r w:rsidR="008835AB" w:rsidRPr="00662E51">
        <w:rPr>
          <w:szCs w:val="24"/>
        </w:rPr>
        <w:instrText xml:space="preserve"> ADDIN ZOTERO_ITEM CSL_CITATION {"citationID":"SuyfapYE","properties":{"formattedCitation":"(Di Giovanni 2017; Goldman 2011)","plainCitation":"(Di Giovanni 2017; Goldman 2011)","noteIndex":0},"citationItems":[{"id":5760,"uris":["http://zotero.org/users/8977980/items/GSCPPQQZ"],"itemData":{"id":5760,"type":"chapter","abstract":"Authoritarian neoliberalism : towards a new research agenda / Cemal Burak Tansel -- Authoritarian neoliberalism and the disciplining of labour / Mònica Clua-Losada and Olatz Ribera-Almandoz -- Commodified pacification : police, commercial security and the state / Kendra Briken and Volker Eick -- Bodies in resistance : conversations on gender, body politics and authoritarian neoliberalism / Wendy Harcourt -- The right to starve : hunger, discipline and labour market restructuring under authoritarian neoliberalism / Sébastien Rioux -- Urban transformation under authoritarian neoliberalism / Annalena di Giovanni -- From Mare Nostrum to Triton : humanitarian emergencies and neoliberal migration management in the Mediterranean / Luca Manunza -- Cease to exist? : the European \"social\" model and the hardening of \"soft\" EU law / Ian Bruff -- The authoritarian and disciplinary mechanism of reduced sovereignty in the EU : the case of Greece / Panagiotis Sotiris -- Antinomies of authoritarian neoliberalism in Turkey : the Justice and Development Party era / Baris Alp Özden, Ismet Akça and Ahmet Bekmen -- Resistance and passive revolution in Egypt and Morocco / Brecht De Smet and Koenraad Bogaert -- Klepto-neoliberalism : authoritarianism and patronage in Cambodia / Simon Springer -- Variegated neoliberalization as a function and outcome of neo-authoritarianism in China / Kean Fan Lim -- Postscript / Cynthia Enloe","collection-title":"Transforming capitalism","container-title":"States of discipline: authoritarian neoliberalism and the contested reproduction of capitalist order","ISBN":"978-1-78348-620-5","language":"eng","page":"107-124","publisher":"Rowman &amp; Littlefield International","publisher-place":"London ; New York","title":"Urban Transformation under Authoritarian Neoliberalism","editor":[{"family":"Tansel","given":"Cemal Burak"}],"author":[{"family":"Di Giovanni","given":"Annalena"}],"issued":{"date-parts":[["2017"]]}},"label":"page"},{"id":7074,"uris":["http://zotero.org/users/8977980/items/XYWZ6F68"],"itemData":{"id":7074,"type":"article-journal","abstract":"This article explores the process of making Bangalore, India into a ‘world city’ by focusing on specific world-city projects, the parastatal government agencies managing them, the explosive IT industry as the putative engine behind this world-city making, and the inter-urban dynamics across world cities such as Dubai and Singapore. Most of these activities are linked to the highly remunerative challenge of transforming rural economies into urban real estate. Land speculation and active dispossession of those working and living in the rural periphery, on land upon which the new world-city projects are being built, is the main business of government today in Bangalore. This article suggests that this temporary ‘state of exception’, with both its attendant suspensions of civil and human rights as well as their institutionalization into government practices, reflects a shift into new forms of ‘speculative’ government, economy, urbanism and citizenship. Résumé En Inde, Bangalore passe par un processus de fabrication de ‘ville mondiale’. Pour l'étudier, cet article examine les projets spécifiques à cette dimension urbaine, les organes para-étatiques qui les gèrent, le secteur des technologies informatiques en plein essor qui est censéêtre le moteur du processus, ainsi que les dynamiques interurbaines qui relient les villes mondiales comme Dubaï et Singapour. Ces activités sont associées en grande partie à l'entreprise, particulièrement rémunératrice, de transformation des économies rurales en secteur immobilier urbain. Le gouvernement actuel de Bangalore s'emploie principalement à des opérations de spéculation foncière et de dépossession énergique à l'encontre des populations qui travaillent et vivent dans la zone périphérique rurale, sur les terrains où se bâtissent les projets de la ‘ville mondiale’. Cet ‘état d'exception’ temporaire, avec la suspension afférente de droits civiques et humains, parallèlement à son institutionnalisation dans certaines pratiques du gouvernement, reflète le passage vers de nouvelles formes de citoyenneté, d'urbanisme, d'économie et de gouvernement ‘spéculateur’.","container-title":"International Journal of Urban and Regional Research","DOI":"10.1111/j.1468-2427.2010.01001.x","ISSN":"1468-2427","issue":"3","language":"en","license":"© 2010 The Author. International Journal of Urban and Regional Research © 2010 Joint Editors and Blackwell Publishing Ltd","note":"_eprint: https://onlinelibrary.wiley.com/doi/pdf/10.1111/j.1468-2427.2010.01001.x","page":"555-581","source":"Wiley Online Library","title":"Speculative Urbanism and the Making of the Next World City","volume":"35","author":[{"family":"Goldman","given":"Michael"}],"issued":{"date-parts":[["2011"]]}}}],"schema":"https://github.com/citation-style-language/schema/raw/master/csl-citation.json"} </w:instrText>
      </w:r>
      <w:r w:rsidRPr="00662E51">
        <w:rPr>
          <w:szCs w:val="24"/>
        </w:rPr>
        <w:fldChar w:fldCharType="separate"/>
      </w:r>
      <w:r w:rsidR="00102FD9" w:rsidRPr="00662E51">
        <w:rPr>
          <w:szCs w:val="24"/>
        </w:rPr>
        <w:t>(Di Giovanni 2017; Goldman 2011)</w:t>
      </w:r>
      <w:r w:rsidRPr="00662E51">
        <w:rPr>
          <w:szCs w:val="24"/>
        </w:rPr>
        <w:fldChar w:fldCharType="end"/>
      </w:r>
      <w:r w:rsidRPr="00662E51">
        <w:rPr>
          <w:szCs w:val="24"/>
        </w:rPr>
        <w:t xml:space="preserve">. The Council will compulsorily acquire property currently held by homeowners and traders, both accumulating assets by literally dispossessing its current owners </w:t>
      </w:r>
      <w:r w:rsidRPr="00662E51">
        <w:rPr>
          <w:szCs w:val="24"/>
        </w:rPr>
        <w:fldChar w:fldCharType="begin"/>
      </w:r>
      <w:r w:rsidR="008835AB" w:rsidRPr="00662E51">
        <w:rPr>
          <w:szCs w:val="24"/>
        </w:rPr>
        <w:instrText xml:space="preserve"> ADDIN ZOTERO_ITEM CSL_CITATION {"citationID":"z8xSUW8i","properties":{"formattedCitation":"(Harvey 2012; Hodkinson and Essen 2015; Lees and White 2020)","plainCitation":"(Harvey 2012; Hodkinson and Essen 2015; Lees and White 2020)","noteIndex":0},"citationItems":[{"id":6625,"uris":["http://zotero.org/users/8977980/items/MCA38K3Q"],"itemData":{"id":6625,"type":"chapter","abstract":"Both V. I. Lenin and R. Luxemburg, for quite different reasons and utilizing quite different forms of argument, considered that imperialism – a certain form of the production of space — was the answer to the riddle, though both argued that this solution was finite because of its own terminal contradictions. Lenin quotes Cecil Rhodes as saying that colonialism and imperialism abroad were the only possible way to avoid civil war at home. The Europeans in particular are far more attracted to a Kautskyian vision of ultra-imperialism in which all the major capitalist powers will supposedly collaborate on an equal basis. The shape and form any new imperialism will take is therefore up for grabs. What happens within the United States is a vitally important determinant of how the new imperialism might be articulated. And there is, to boot, a gathering storm of opposition to the deepening of accumulation by dispossession.","container-title":"Karl Marx","ISBN":"978-1-315-25119-6","note":"number-of-pages: 25","publisher":"Routledge","title":"The 'New' Imperialism: Accumulation by Dispossession","title-short":"The 'New' Imperialism","author":[{"family":"Harvey","given":"David"}],"issued":{"date-parts":[["2012"]]}}},{"id":3645,"uris":["http://zotero.org/users/8977980/items/TUHA9FP8"],"itemData":{"id":3645,"type":"article-journal","container-title":"International Journal of Law in the Built Environment","issue":"1","journalAbbreviation":"Int'l J.L. Built Env't","language":"eng","page":"72-92-95","source":"HeinOnline","title":"Grounding Accumulation by Dispossession in Everday Life: The Unjust Geographies of Urban Regeneration under the Private Finance Initiative Special Issue: Law and Geography","title-short":"Grounding Accumulation by Dispossession in Everday Life","volume":"7","author":[{"family":"Hodkinson","given":"Stuart"},{"family":"Essen","given":"Chris"}],"issued":{"date-parts":[["2015"]]}}},{"id":664,"uris":["http://zotero.org/users/8977980/items/XQQFXVDC"],"itemData":{"id":664,"type":"article-journal","abstract":"London’s council estates and their residents are under threat like never before. Council tenants are being forced out of their homes due to estate renewal, welfare reforms, poverty, and the precarity of low-income work. Social cleansing can be understood as a geographical project made up of processes, practices, and policies designed to remove council estate residents from space and place, what we call a ‘new accumulative form of (state-led) gentrification’. We outline these accumulative processes, practices and policies, but more importantly we present grounded, empirical evidence of council tenants and leaseholders’ everyday experiences of dispossession, focusing our lens on three south London boroughs identified as eviction hotspots.","container-title":"Housing Studies","DOI":"10.1080/02673037.2019.1680814","ISSN":"0267-3037","issue":"10","note":"_eprint: https://doi.org/10.1080/02673037.2019.1680814","page":"1701-1722","publisher":"Routledge","source":"Taylor and Francis+NEJM","title":"The social cleansing of London council estates: everyday experiences of ‘accumulative dispossession’","title-short":"The social cleansing of London council estates","volume":"35","author":[{"family":"Lees","given":"Loretta"},{"family":"White","given":"Hannah"}],"issued":{"date-parts":[["2020",11,25]]}},"label":"page"}],"schema":"https://github.com/citation-style-language/schema/raw/master/csl-citation.json"} </w:instrText>
      </w:r>
      <w:r w:rsidRPr="00662E51">
        <w:rPr>
          <w:szCs w:val="24"/>
        </w:rPr>
        <w:fldChar w:fldCharType="separate"/>
      </w:r>
      <w:r w:rsidR="00FB5246" w:rsidRPr="00662E51">
        <w:rPr>
          <w:szCs w:val="24"/>
        </w:rPr>
        <w:t>(Harvey 2012; Hodkinson and Essen 2015; Lees and White 2020)</w:t>
      </w:r>
      <w:r w:rsidRPr="00662E51">
        <w:rPr>
          <w:szCs w:val="24"/>
        </w:rPr>
        <w:fldChar w:fldCharType="end"/>
      </w:r>
      <w:r w:rsidRPr="00662E51">
        <w:rPr>
          <w:szCs w:val="24"/>
        </w:rPr>
        <w:t xml:space="preserve"> and</w:t>
      </w:r>
      <w:r w:rsidR="00102FD9" w:rsidRPr="00662E51">
        <w:rPr>
          <w:szCs w:val="24"/>
        </w:rPr>
        <w:t xml:space="preserve"> further</w:t>
      </w:r>
      <w:r w:rsidRPr="00662E51">
        <w:rPr>
          <w:szCs w:val="24"/>
        </w:rPr>
        <w:t xml:space="preserve"> speculating on increased property values in the area </w:t>
      </w:r>
      <w:r w:rsidRPr="00662E51">
        <w:rPr>
          <w:szCs w:val="24"/>
        </w:rPr>
        <w:fldChar w:fldCharType="begin"/>
      </w:r>
      <w:r w:rsidR="008835AB" w:rsidRPr="00662E51">
        <w:rPr>
          <w:szCs w:val="24"/>
        </w:rPr>
        <w:instrText xml:space="preserve"> ADDIN ZOTERO_ITEM CSL_CITATION {"citationID":"TIYg6UKI","properties":{"formattedCitation":"(Horton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rPr>
          <w:szCs w:val="24"/>
        </w:rPr>
        <w:t>(Horton and Penny 2024)</w:t>
      </w:r>
      <w:r w:rsidRPr="00662E51">
        <w:rPr>
          <w:szCs w:val="24"/>
        </w:rPr>
        <w:fldChar w:fldCharType="end"/>
      </w:r>
      <w:r w:rsidRPr="00662E51">
        <w:rPr>
          <w:szCs w:val="24"/>
        </w:rPr>
        <w:t xml:space="preserve">. High Road West also, more importantly, contains a deliberate attempt to ensure legitimation for this project </w:t>
      </w:r>
      <w:r w:rsidRPr="00662E51">
        <w:rPr>
          <w:szCs w:val="24"/>
        </w:rPr>
        <w:fldChar w:fldCharType="begin"/>
      </w:r>
      <w:r w:rsidR="008835AB" w:rsidRPr="00662E51">
        <w:rPr>
          <w:szCs w:val="24"/>
        </w:rPr>
        <w:instrText xml:space="preserve"> ADDIN ZOTERO_ITEM CSL_CITATION {"citationID":"nlBEbnnM","properties":{"formattedCitation":"(Da Costa Vieira 2023)","plainCitation":"(Da Costa Vieira 2023)","noteIndex":0},"citationItems":[{"id":5759,"uris":["http://zotero.org/users/8977980/items/QJQY2YCJ"],"itemData":{"id":5759,"type":"article-journal","abstract":"In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Vieira","given":"Thomas"}],"issued":{"date-parts":[["2023",10,1]]}}}],"schema":"https://github.com/citation-style-language/schema/raw/master/csl-citation.json"} </w:instrText>
      </w:r>
      <w:r w:rsidRPr="00662E51">
        <w:rPr>
          <w:szCs w:val="24"/>
        </w:rPr>
        <w:fldChar w:fldCharType="separate"/>
      </w:r>
      <w:r w:rsidR="0095662D" w:rsidRPr="00662E51">
        <w:rPr>
          <w:szCs w:val="24"/>
        </w:rPr>
        <w:t>(Da Costa Vieira 2023)</w:t>
      </w:r>
      <w:r w:rsidRPr="00662E51">
        <w:rPr>
          <w:szCs w:val="24"/>
        </w:rPr>
        <w:fldChar w:fldCharType="end"/>
      </w:r>
      <w:r w:rsidRPr="00662E51">
        <w:rPr>
          <w:szCs w:val="24"/>
        </w:rPr>
        <w:t xml:space="preserve"> among Tottenham’s population through the promise of new council homes in what is slated to be a “new leisure and sports destination” in London: High Road West </w:t>
      </w:r>
      <w:r w:rsidRPr="00662E51">
        <w:rPr>
          <w:szCs w:val="24"/>
        </w:rPr>
        <w:fldChar w:fldCharType="begin"/>
      </w:r>
      <w:r w:rsidR="008835AB" w:rsidRPr="00662E51">
        <w:rPr>
          <w:szCs w:val="24"/>
        </w:rPr>
        <w:instrText xml:space="preserve"> ADDIN ZOTERO_ITEM CSL_CITATION {"citationID":"tbvRVWkp","properties":{"formattedCitation":"(Arup 2014, 5)","plainCitation":"(Arup 2014, 5)","noteIndex":0},"citationItems":[{"id":5648,"uris":["http://zotero.org/users/8977980/items/QYPUBGC9"],"itemData":{"id":5648,"type":"report","publisher":"Haringey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ocator":"5","label":"page"}],"schema":"https://github.com/citation-style-language/schema/raw/master/csl-citation.json"} </w:instrText>
      </w:r>
      <w:r w:rsidRPr="00662E51">
        <w:rPr>
          <w:szCs w:val="24"/>
        </w:rPr>
        <w:fldChar w:fldCharType="separate"/>
      </w:r>
      <w:r w:rsidR="0095662D" w:rsidRPr="00662E51">
        <w:rPr>
          <w:szCs w:val="24"/>
        </w:rPr>
        <w:t>(Arup 2014, 5)</w:t>
      </w:r>
      <w:r w:rsidRPr="00662E51">
        <w:rPr>
          <w:szCs w:val="24"/>
        </w:rPr>
        <w:fldChar w:fldCharType="end"/>
      </w:r>
      <w:r w:rsidRPr="00662E51">
        <w:rPr>
          <w:szCs w:val="24"/>
        </w:rPr>
        <w:t>. Such effects are racialised, too, emphasising the harm. Activist 1 claimed that the Council itself had produced documents</w:t>
      </w:r>
      <w:r w:rsidR="000342DC" w:rsidRPr="00662E51">
        <w:rPr>
          <w:szCs w:val="24"/>
        </w:rPr>
        <w:t xml:space="preserve">, in which the new homes </w:t>
      </w:r>
    </w:p>
    <w:p w14:paraId="27CD18CF" w14:textId="77777777" w:rsidR="007B4C95" w:rsidRPr="00662E51" w:rsidRDefault="007B4C95" w:rsidP="007B4C95">
      <w:pPr>
        <w:tabs>
          <w:tab w:val="left" w:pos="546"/>
        </w:tabs>
        <w:ind w:left="0"/>
        <w:rPr>
          <w:szCs w:val="24"/>
        </w:rPr>
      </w:pPr>
    </w:p>
    <w:p w14:paraId="6AD3DAC1" w14:textId="6A4B3534" w:rsidR="00714CA3" w:rsidRDefault="00714CA3" w:rsidP="007B4C95">
      <w:pPr>
        <w:tabs>
          <w:tab w:val="left" w:pos="546"/>
        </w:tabs>
        <w:ind w:left="720"/>
        <w:rPr>
          <w:szCs w:val="24"/>
        </w:rPr>
      </w:pPr>
      <w:r w:rsidRPr="00662E51">
        <w:rPr>
          <w:szCs w:val="24"/>
        </w:rPr>
        <w:t>they</w:t>
      </w:r>
      <w:r w:rsidR="000342DC" w:rsidRPr="00662E51">
        <w:rPr>
          <w:szCs w:val="24"/>
        </w:rPr>
        <w:t>’</w:t>
      </w:r>
      <w:r w:rsidRPr="00662E51">
        <w:rPr>
          <w:szCs w:val="24"/>
        </w:rPr>
        <w:t xml:space="preserve">re gonna build are not gonna be </w:t>
      </w:r>
      <w:r w:rsidR="00C128F4" w:rsidRPr="00662E51">
        <w:rPr>
          <w:szCs w:val="24"/>
        </w:rPr>
        <w:t>a</w:t>
      </w:r>
      <w:r w:rsidRPr="00662E51">
        <w:rPr>
          <w:szCs w:val="24"/>
        </w:rPr>
        <w:t xml:space="preserve">ffordable to </w:t>
      </w:r>
      <w:r w:rsidR="00486E28">
        <w:rPr>
          <w:szCs w:val="24"/>
        </w:rPr>
        <w:t>B</w:t>
      </w:r>
      <w:r w:rsidRPr="00662E51">
        <w:rPr>
          <w:szCs w:val="24"/>
        </w:rPr>
        <w:t>lack people</w:t>
      </w:r>
      <w:r w:rsidR="00C128F4" w:rsidRPr="00662E51">
        <w:rPr>
          <w:szCs w:val="24"/>
        </w:rPr>
        <w:t>…</w:t>
      </w:r>
      <w:r w:rsidR="000342DC" w:rsidRPr="00662E51">
        <w:rPr>
          <w:szCs w:val="24"/>
        </w:rPr>
        <w:t xml:space="preserve"> </w:t>
      </w:r>
      <w:r w:rsidRPr="00662E51">
        <w:rPr>
          <w:szCs w:val="24"/>
        </w:rPr>
        <w:t xml:space="preserve">You know, disproportionately </w:t>
      </w:r>
      <w:r w:rsidR="00C128F4" w:rsidRPr="00662E51">
        <w:rPr>
          <w:szCs w:val="24"/>
        </w:rPr>
        <w:t xml:space="preserve">Black </w:t>
      </w:r>
      <w:r w:rsidRPr="00662E51">
        <w:rPr>
          <w:szCs w:val="24"/>
        </w:rPr>
        <w:t>people</w:t>
      </w:r>
      <w:r w:rsidR="00C128F4" w:rsidRPr="00662E51">
        <w:rPr>
          <w:szCs w:val="24"/>
        </w:rPr>
        <w:t xml:space="preserve">[,] </w:t>
      </w:r>
      <w:r w:rsidRPr="00662E51">
        <w:rPr>
          <w:szCs w:val="24"/>
        </w:rPr>
        <w:t>people of colour are gonna be excluded from having access to these homes because of their level of savings and the and the answer is for them to</w:t>
      </w:r>
      <w:r w:rsidR="00824FC0" w:rsidRPr="00662E51">
        <w:rPr>
          <w:szCs w:val="24"/>
        </w:rPr>
        <w:t xml:space="preserve"> get jobs</w:t>
      </w:r>
      <w:r w:rsidR="00C128F4" w:rsidRPr="00662E51">
        <w:rPr>
          <w:szCs w:val="24"/>
        </w:rPr>
        <w:t>… i</w:t>
      </w:r>
      <w:r w:rsidR="000342DC" w:rsidRPr="00662E51">
        <w:rPr>
          <w:szCs w:val="24"/>
        </w:rPr>
        <w:t xml:space="preserve">n </w:t>
      </w:r>
      <w:r w:rsidR="00C128F4" w:rsidRPr="00662E51">
        <w:rPr>
          <w:szCs w:val="24"/>
        </w:rPr>
        <w:t xml:space="preserve">[these] </w:t>
      </w:r>
      <w:r w:rsidR="000342DC" w:rsidRPr="00662E51">
        <w:rPr>
          <w:szCs w:val="24"/>
        </w:rPr>
        <w:t>new industries, in order to earn enough money to stay in the area, and this is really explicit. Yeah, this is what social cleansing looks like, and this is why social cleansing's racist as well.</w:t>
      </w:r>
    </w:p>
    <w:p w14:paraId="0E45BE6A" w14:textId="77777777" w:rsidR="007B4C95" w:rsidRPr="00662E51" w:rsidRDefault="007B4C95" w:rsidP="007B4C95">
      <w:pPr>
        <w:tabs>
          <w:tab w:val="left" w:pos="546"/>
        </w:tabs>
        <w:ind w:left="720"/>
        <w:rPr>
          <w:szCs w:val="24"/>
        </w:rPr>
      </w:pPr>
    </w:p>
    <w:p w14:paraId="7ED6A710" w14:textId="65812579" w:rsidR="00621C17" w:rsidRPr="00662E51" w:rsidRDefault="00621C17" w:rsidP="000342DC">
      <w:pPr>
        <w:tabs>
          <w:tab w:val="left" w:pos="546"/>
        </w:tabs>
        <w:spacing w:line="360" w:lineRule="auto"/>
        <w:ind w:left="0"/>
        <w:rPr>
          <w:szCs w:val="24"/>
        </w:rPr>
      </w:pPr>
      <w:r w:rsidRPr="00662E51">
        <w:rPr>
          <w:szCs w:val="24"/>
        </w:rPr>
        <w:t xml:space="preserve">As such, such circulating discourses seek to both denigrate Tottenham’s present state and elevate its future gentrified state as desirable. They work to not only enlist Haringey’s current residents as soldiers in building this vision, but also to justify regeneration—that will ultimately serve further capitalist accumulation at the expense of the area’s existing community. </w:t>
      </w:r>
    </w:p>
    <w:p w14:paraId="0BD41E5B" w14:textId="77777777" w:rsidR="00621C17" w:rsidRPr="00662E51" w:rsidRDefault="00621C17" w:rsidP="00F56305">
      <w:pPr>
        <w:tabs>
          <w:tab w:val="left" w:pos="546"/>
        </w:tabs>
        <w:spacing w:line="360" w:lineRule="auto"/>
        <w:ind w:left="0"/>
        <w:rPr>
          <w:szCs w:val="24"/>
        </w:rPr>
      </w:pPr>
    </w:p>
    <w:p w14:paraId="639D412E" w14:textId="4BB64BBB" w:rsidR="00621C17" w:rsidRPr="00662E51" w:rsidRDefault="00621C17" w:rsidP="00F56305">
      <w:pPr>
        <w:pStyle w:val="Heading3"/>
      </w:pPr>
      <w:bookmarkStart w:id="471" w:name="_Toc213173989"/>
      <w:bookmarkStart w:id="472" w:name="_Toc221184375"/>
      <w:bookmarkStart w:id="473" w:name="_Toc231215293"/>
      <w:r w:rsidRPr="00662E51">
        <w:t>Community Engagement</w:t>
      </w:r>
      <w:bookmarkEnd w:id="471"/>
      <w:bookmarkEnd w:id="472"/>
      <w:r w:rsidR="00836748">
        <w:t>:</w:t>
      </w:r>
      <w:bookmarkEnd w:id="473"/>
      <w:r w:rsidRPr="00662E51">
        <w:t xml:space="preserve"> </w:t>
      </w:r>
    </w:p>
    <w:p w14:paraId="22DA5D6D" w14:textId="2B841F99" w:rsidR="00621C17" w:rsidRPr="00662E51" w:rsidRDefault="00621C17" w:rsidP="00F56305">
      <w:pPr>
        <w:pStyle w:val="Heading4"/>
        <w:spacing w:before="0" w:after="0"/>
      </w:pPr>
      <w:bookmarkStart w:id="474" w:name="_Toc221184376"/>
      <w:r w:rsidRPr="00662E51">
        <w:t>2013 and 2014 Consultations</w:t>
      </w:r>
      <w:bookmarkEnd w:id="474"/>
      <w:r w:rsidR="00836748">
        <w:t>:</w:t>
      </w:r>
    </w:p>
    <w:p w14:paraId="2E3EDEAA" w14:textId="4319468C" w:rsidR="00621C17" w:rsidRPr="00662E51" w:rsidRDefault="00621C17" w:rsidP="00F56305">
      <w:pPr>
        <w:tabs>
          <w:tab w:val="left" w:pos="546"/>
        </w:tabs>
        <w:spacing w:line="360" w:lineRule="auto"/>
        <w:ind w:left="0"/>
        <w:rPr>
          <w:szCs w:val="24"/>
        </w:rPr>
      </w:pPr>
      <w:r w:rsidRPr="00662E51">
        <w:rPr>
          <w:szCs w:val="24"/>
        </w:rPr>
        <w:tab/>
      </w:r>
      <w:r w:rsidRPr="00662E51">
        <w:rPr>
          <w:szCs w:val="24"/>
        </w:rPr>
        <w:tab/>
        <w:t xml:space="preserve">Having demonstrated how moral discourses surrounding Tottenham positioned the area as in need of regeneration, I turn to analysing how the Council attempted to solicit resident support by scrutinising the consultations for the HRW scheme. Consultations are processes in which the state engages with local communities to inform, solicit opinion, and provide updates on an ongoing development scheme. They are ostensibly the best spaces for direct democratic input. It is not my intention here to merely reinforce assertions that Haringey residents did not feel genuinely consulted </w:t>
      </w:r>
      <w:r w:rsidRPr="00662E51">
        <w:rPr>
          <w:szCs w:val="24"/>
        </w:rPr>
        <w:fldChar w:fldCharType="begin"/>
      </w:r>
      <w:r w:rsidR="008835AB" w:rsidRPr="00662E51">
        <w:rPr>
          <w:szCs w:val="24"/>
        </w:rPr>
        <w:instrText xml:space="preserve"> ADDIN ZOTERO_ITEM CSL_CITATION {"citationID":"2j6TZqmd","properties":{"formattedCitation":"(Horton and Penny 2024; Panton and Walters 2018)","plainCitation":"(Horton and Penny 2024; Panton and Walters 2018)","noteIndex":0},"citationItems":[{"id":5697,"uris":["http://zotero.org/users/8977980/items/ZPYXM7A6"],"itemData":{"id":5697,"type":"book","ISBN":"978-1-80008-710-1","language":"eng","note":"OCLC: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id":3024,"uris":["http://zotero.org/users/8977980/items/NJL87MS9"],"itemData":{"id":3024,"type":"article-journal","abstract":"Austerity was the driving principle behind the UK Coalition Government Comprehensive Spending Review in October 2010, with local government facing a disproportionately high share of the spending cuts. Research has focused on the impact of ‘austerity urbanism’ and urban regeneration; however, there is relatively little focus on sports-led regeneration. This article presents case study research of the stadium-led regeneration project involving Tottenham Hotspur FC and the London Borough of Haringey, focusing on the community perceptions of urban regeneration. It has two aims: ﬁrst, to understand the local authority’s approach to regeneration in the context of the austerity agenda, and second, to understand how this approach was perceived by, and the impact on, those communities living within the geographical locality of the developments. Three themes emerged: ﬁrst, that austerity led the local authority to adopt a pragmatic approach to regeneration; second, that regeneration in a period of austerity is perceived by local communities as a strategy of gentriﬁcation and, third, concerns over the lack of community consultation served as a stimulus for community engagement. Two implications arising from this research are that while community groups in Tottenham had limited success in gaining major changes to the stadium-led regeneration in Tottenham, they have arguably been able to slow down the process. Moreover, they have been successful in bringing together diverse groups across the community to share knowledge in order to challenge further proposals from Haringey Council.","container-title":"International Journal of Sport Policy and Politics","DOI":"10.1080/19406940.2017.1398768","ISSN":"1940-6940, 1940-6959","issue":"1","journalAbbreviation":"International Journal of Sport Policy and Politics","language":"en","page":"163-183","source":"DOI.org (Crossref)","title":"&lt;i&gt;‘It’s just a Trojan horse for gentrification&lt;/i&gt; ’: austerity and stadium-led regeneration","title-short":"&lt;i&gt;‘It’s just a Trojan horse for gentrification&lt;/i&gt; ’","volume":"10","author":[{"family":"Panton","given":"Mark"},{"family":"Walters","given":"Geoff"}],"issued":{"date-parts":[["2018",1,2]]}}}],"schema":"https://github.com/citation-style-language/schema/raw/master/csl-citation.json"} </w:instrText>
      </w:r>
      <w:r w:rsidRPr="00662E51">
        <w:rPr>
          <w:szCs w:val="24"/>
        </w:rPr>
        <w:fldChar w:fldCharType="separate"/>
      </w:r>
      <w:r w:rsidR="0095662D" w:rsidRPr="00662E51">
        <w:t>(Horton and Penny 2024; Panton and Walters 2018)</w:t>
      </w:r>
      <w:r w:rsidRPr="00662E51">
        <w:rPr>
          <w:szCs w:val="24"/>
        </w:rPr>
        <w:fldChar w:fldCharType="end"/>
      </w:r>
      <w:r w:rsidRPr="00662E51">
        <w:rPr>
          <w:szCs w:val="24"/>
        </w:rPr>
        <w:t xml:space="preserve">. Rather, as in Ormerod and MacLeod </w:t>
      </w:r>
      <w:r w:rsidRPr="00662E51">
        <w:rPr>
          <w:szCs w:val="24"/>
        </w:rPr>
        <w:fldChar w:fldCharType="begin"/>
      </w:r>
      <w:r w:rsidR="008835AB" w:rsidRPr="00662E51">
        <w:rPr>
          <w:szCs w:val="24"/>
        </w:rPr>
        <w:instrText xml:space="preserve"> ADDIN ZOTERO_ITEM CSL_CITATION {"citationID":"aoOTW5da","properties":{"formattedCitation":"(2019)","plainCitation":"(2019)","noteIndex":0},"citationItems":[{"id":3317,"uris":["http://zotero.org/users/8977980/items/3FKCPYR3"],"itemData":{"id":3317,"type":"article-journal","abstract":"This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label":"page","suppress-author":true}],"schema":"https://github.com/citation-style-language/schema/raw/master/csl-citation.json"} </w:instrText>
      </w:r>
      <w:r w:rsidRPr="00662E51">
        <w:rPr>
          <w:szCs w:val="24"/>
        </w:rPr>
        <w:fldChar w:fldCharType="separate"/>
      </w:r>
      <w:r w:rsidR="0095662D" w:rsidRPr="00662E51">
        <w:t>(2019)</w:t>
      </w:r>
      <w:r w:rsidRPr="00662E51">
        <w:rPr>
          <w:szCs w:val="24"/>
        </w:rPr>
        <w:fldChar w:fldCharType="end"/>
      </w:r>
      <w:r w:rsidRPr="00662E51">
        <w:rPr>
          <w:szCs w:val="24"/>
        </w:rPr>
        <w:t>, my goal here is to investigate whether consultations are one of the ways in which the local state supports private capital accumulation—that is if consultations that appear to be consensual are</w:t>
      </w:r>
      <w:r w:rsidR="00C82F66">
        <w:rPr>
          <w:szCs w:val="24"/>
        </w:rPr>
        <w:t xml:space="preserve">, in fact, </w:t>
      </w:r>
      <w:r w:rsidRPr="00662E51">
        <w:rPr>
          <w:szCs w:val="24"/>
        </w:rPr>
        <w:t>coercive.</w:t>
      </w:r>
    </w:p>
    <w:p w14:paraId="3CF0DED9" w14:textId="24A0217D" w:rsidR="00621C17" w:rsidRPr="00662E51" w:rsidRDefault="00621C17" w:rsidP="00F56305">
      <w:pPr>
        <w:tabs>
          <w:tab w:val="left" w:pos="546"/>
        </w:tabs>
        <w:spacing w:line="360" w:lineRule="auto"/>
        <w:ind w:left="0"/>
        <w:rPr>
          <w:szCs w:val="24"/>
        </w:rPr>
      </w:pPr>
      <w:r w:rsidRPr="00662E51">
        <w:rPr>
          <w:szCs w:val="24"/>
        </w:rPr>
        <w:tab/>
      </w:r>
      <w:r w:rsidRPr="00662E51">
        <w:rPr>
          <w:szCs w:val="24"/>
        </w:rPr>
        <w:tab/>
        <w:t>I stud</w:t>
      </w:r>
      <w:r w:rsidR="00C90C92">
        <w:rPr>
          <w:szCs w:val="24"/>
        </w:rPr>
        <w:t>ied</w:t>
      </w:r>
      <w:r w:rsidRPr="00662E51">
        <w:rPr>
          <w:szCs w:val="24"/>
        </w:rPr>
        <w:t xml:space="preserve"> two consultations directly related to High Road West in 2013 and 2014 </w:t>
      </w:r>
      <w:r w:rsidRPr="00662E51">
        <w:rPr>
          <w:szCs w:val="24"/>
        </w:rPr>
        <w:fldChar w:fldCharType="begin"/>
      </w:r>
      <w:r w:rsidR="00F15CF8">
        <w:rPr>
          <w:szCs w:val="24"/>
        </w:rPr>
        <w:instrText xml:space="preserve"> ADDIN ZOTERO_ITEM CSL_CITATION {"citationID":"OrB9HFMw","properties":{"formattedCitation":"(Haringey Borough Council 2013a, 2013b)","plainCitation":"(Haringey Borough Council 2013a, 2013b)","noteIndex":0},"citationItems":[{"id":5634,"uris":["http://zotero.org/users/8977980/items/RM3YG23V"],"itemData":{"id":5634,"type":"report","publisher":"Haringey Borough Council","publisher-place":"London, UK","title":"High Road West: Consultation Feedback Report","URL":"https://www.haringey.gov.uk/sites/haringeygovuk/files/2013_a_detailed_report_of_the_consultation_feedback_pdf_2mb.pdf","author":[{"literal":"Haringey Borough Council"}],"accessed":{"date-parts":[["2024",1,16]]},"issued":{"date-parts":[["2013",8]]}}},{"id":5723,"uris":["http://zotero.org/users/8977980/items/DXW563G2"],"itemData":{"id":5723,"type":"report","publisher":"Haringey Borough Council","publisher-place":"London (UK), United Kingdom","title":"High Road West: Creating a Plan for Change","URL":"https://www.haringey.gov.uk/sites/haringeygovuk/files/highroadwestmasterplan.pdf","author":[{"literal":"Haringey Borough Council"}],"accessed":{"date-parts":[["2024",3,12]]},"issued":{"date-parts":[["2013",5]]}}}],"schema":"https://github.com/citation-style-language/schema/raw/master/csl-citation.json"} </w:instrText>
      </w:r>
      <w:r w:rsidRPr="00662E51">
        <w:rPr>
          <w:szCs w:val="24"/>
        </w:rPr>
        <w:fldChar w:fldCharType="separate"/>
      </w:r>
      <w:r w:rsidR="00F15CF8" w:rsidRPr="00F15CF8">
        <w:t>(Haringey Borough Council 2013a, 2013b)</w:t>
      </w:r>
      <w:r w:rsidRPr="00662E51">
        <w:rPr>
          <w:szCs w:val="24"/>
        </w:rPr>
        <w:fldChar w:fldCharType="end"/>
      </w:r>
      <w:r w:rsidRPr="00662E51">
        <w:rPr>
          <w:szCs w:val="24"/>
        </w:rPr>
        <w:t xml:space="preserve"> that sought input in the Masterplan </w:t>
      </w:r>
      <w:r w:rsidRPr="00662E51">
        <w:rPr>
          <w:szCs w:val="24"/>
        </w:rPr>
        <w:fldChar w:fldCharType="begin"/>
      </w:r>
      <w:r w:rsidR="008835AB" w:rsidRPr="00662E51">
        <w:rPr>
          <w:szCs w:val="24"/>
        </w:rPr>
        <w:instrText xml:space="preserve"> ADDIN ZOTERO_ITEM CSL_CITATION {"citationID":"k02Mr8JI","properties":{"formattedCitation":"(Arup 2014)","plainCitation":"(Arup 2014)","noteIndex":0},"citationItems":[{"id":5648,"uris":["http://zotero.org/users/8977980/items/QYPUBGC9"],"itemData":{"id":5648,"type":"report","publisher":"Haringey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schema":"https://github.com/citation-style-language/schema/raw/master/csl-citation.json"} </w:instrText>
      </w:r>
      <w:r w:rsidRPr="00662E51">
        <w:rPr>
          <w:szCs w:val="24"/>
        </w:rPr>
        <w:fldChar w:fldCharType="separate"/>
      </w:r>
      <w:r w:rsidR="0095662D" w:rsidRPr="00662E51">
        <w:t>(Arup 2014)</w:t>
      </w:r>
      <w:r w:rsidRPr="00662E51">
        <w:rPr>
          <w:szCs w:val="24"/>
        </w:rPr>
        <w:fldChar w:fldCharType="end"/>
      </w:r>
      <w:r w:rsidRPr="00662E51">
        <w:rPr>
          <w:szCs w:val="24"/>
        </w:rPr>
        <w:t>. The consultation</w:t>
      </w:r>
      <w:r w:rsidR="0034507C">
        <w:rPr>
          <w:szCs w:val="24"/>
        </w:rPr>
        <w:t>s</w:t>
      </w:r>
      <w:r w:rsidRPr="00662E51">
        <w:rPr>
          <w:szCs w:val="24"/>
        </w:rPr>
        <w:t xml:space="preserve"> ran for </w:t>
      </w:r>
      <w:r w:rsidR="0034507C">
        <w:rPr>
          <w:szCs w:val="24"/>
        </w:rPr>
        <w:t>several months</w:t>
      </w:r>
      <w:r w:rsidRPr="00662E51">
        <w:rPr>
          <w:szCs w:val="24"/>
        </w:rPr>
        <w:t xml:space="preserve">, had drop-in information sessions, and </w:t>
      </w:r>
      <w:r w:rsidR="0034507C">
        <w:rPr>
          <w:szCs w:val="24"/>
        </w:rPr>
        <w:t xml:space="preserve">were </w:t>
      </w:r>
      <w:r w:rsidRPr="00662E51">
        <w:rPr>
          <w:szCs w:val="24"/>
        </w:rPr>
        <w:t xml:space="preserve">publicised via letters, door knocking, and home visits. Targeted groups include Love Lane estate residents, residents of the wider area, and local businesses. Feedback was solicited by written forms. However, the </w:t>
      </w:r>
      <w:r w:rsidRPr="00662E51">
        <w:rPr>
          <w:szCs w:val="24"/>
        </w:rPr>
        <w:lastRenderedPageBreak/>
        <w:t xml:space="preserve">area was subjected to at least three more consultations between 2013 and 2021. This does not include consultations for the Haringey Development Vehicle </w:t>
      </w:r>
      <w:r w:rsidRPr="00662E51">
        <w:rPr>
          <w:szCs w:val="24"/>
        </w:rPr>
        <w:fldChar w:fldCharType="begin"/>
      </w:r>
      <w:r w:rsidR="008835AB" w:rsidRPr="00662E51">
        <w:rPr>
          <w:szCs w:val="24"/>
        </w:rPr>
        <w:instrText xml:space="preserve"> ADDIN ZOTERO_ITEM CSL_CITATION {"citationID":"XYBNoUjD","properties":{"formattedCitation":"(see Horton and Penny 2024)","plainCitation":"(see 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abel":"page","prefix":"see"}],"schema":"https://github.com/citation-style-language/schema/raw/master/csl-citation.json"} </w:instrText>
      </w:r>
      <w:r w:rsidRPr="00662E51">
        <w:rPr>
          <w:szCs w:val="24"/>
        </w:rPr>
        <w:fldChar w:fldCharType="separate"/>
      </w:r>
      <w:r w:rsidR="0095662D" w:rsidRPr="00662E51">
        <w:t>(see Horton and Penny 2024)</w:t>
      </w:r>
      <w:r w:rsidRPr="00662E51">
        <w:rPr>
          <w:szCs w:val="24"/>
        </w:rPr>
        <w:fldChar w:fldCharType="end"/>
      </w:r>
      <w:r w:rsidRPr="00662E51">
        <w:rPr>
          <w:szCs w:val="24"/>
        </w:rPr>
        <w:t xml:space="preserve"> or those for the redevelopment of the THFC stadium </w:t>
      </w:r>
      <w:r w:rsidRPr="00662E51">
        <w:rPr>
          <w:szCs w:val="24"/>
        </w:rPr>
        <w:fldChar w:fldCharType="begin"/>
      </w:r>
      <w:r w:rsidR="00557CA9" w:rsidRPr="00662E51">
        <w:rPr>
          <w:szCs w:val="24"/>
        </w:rPr>
        <w:instrText xml:space="preserve"> ADDIN ZOTERO_ITEM CSL_CITATION {"citationID":"Gn4eV5Xg","properties":{"formattedCitation":"(see Panton and Walters 2018)","plainCitation":"(see Panton and Walters 2018)","noteIndex":0},"citationItems":[{"id":3024,"uris":["http://zotero.org/users/8977980/items/NJL87MS9"],"itemData":{"id":3024,"type":"article-journal","abstract":"Austerity was the driving principle behind the UK Coalition Government Comprehensive Spending Review in October 2010, with local government facing a disproportionately high share of the spending cuts. Research has focused on the impact of ‘austerity urbanism’ and urban regeneration; however, there is relatively little focus on sports-led regeneration. This article presents case study research of the stadium-led regeneration project involving Tottenham Hotspur FC and the London Borough of Haringey, focusing on the community perceptions of urban regeneration. It has two aims: ﬁrst, to understand the local authority’s approach to regeneration in the context of the austerity agenda, and second, to understand how this approach was perceived by, and the impact on, those communities living within the geographical locality of the developments. Three themes emerged: ﬁrst, that austerity led the local authority to adopt a pragmatic approach to regeneration; second, that regeneration in a period of austerity is perceived by local communities as a strategy of gentriﬁcation and, third, concerns over the lack of community consultation served as a stimulus for community engagement. Two implications arising from this research are that while community groups in Tottenham had limited success in gaining major changes to the stadium-led regeneration in Tottenham, they have arguably been able to slow down the process. Moreover, they have been successful in bringing together diverse groups across the community to share knowledge in order to challenge further proposals from Haringey Council.","container-title":"International Journal of Sport Policy and Politics","DOI":"10.1080/19406940.2017.1398768","ISSN":"1940-6940, 1940-6959","issue":"1","journalAbbreviation":"International Journal of Sport Policy and Politics","language":"en","page":"163-183","source":"DOI.org (Crossref)","title":"&lt;i&gt;‘It’s just a Trojan horse for gentrification&lt;/i&gt; ’: austerity and stadium-led regeneration","title-short":"&lt;i&gt;‘It’s just a Trojan horse for gentrification&lt;/i&gt; ’","volume":"10","author":[{"family":"Panton","given":"Mark"},{"family":"Walters","given":"Geoff"}],"issued":{"date-parts":[["2018",1,2]]}},"label":"page","prefix":"see"}],"schema":"https://github.com/citation-style-language/schema/raw/master/csl-citation.json"} </w:instrText>
      </w:r>
      <w:r w:rsidRPr="00662E51">
        <w:rPr>
          <w:szCs w:val="24"/>
        </w:rPr>
        <w:fldChar w:fldCharType="separate"/>
      </w:r>
      <w:r w:rsidR="0095662D" w:rsidRPr="00662E51">
        <w:t>(see Panton and Walters 2018)</w:t>
      </w:r>
      <w:r w:rsidRPr="00662E51">
        <w:rPr>
          <w:szCs w:val="24"/>
        </w:rPr>
        <w:fldChar w:fldCharType="end"/>
      </w:r>
      <w:r w:rsidRPr="00662E51">
        <w:rPr>
          <w:szCs w:val="24"/>
        </w:rPr>
        <w:t xml:space="preserve">. </w:t>
      </w:r>
    </w:p>
    <w:p w14:paraId="725C91E2" w14:textId="0D93E894" w:rsidR="00C80E53" w:rsidRDefault="00621C17" w:rsidP="00F56305">
      <w:pPr>
        <w:tabs>
          <w:tab w:val="left" w:pos="546"/>
        </w:tabs>
        <w:spacing w:line="360" w:lineRule="auto"/>
        <w:ind w:left="0"/>
        <w:rPr>
          <w:szCs w:val="24"/>
        </w:rPr>
      </w:pPr>
      <w:r w:rsidRPr="00662E51">
        <w:rPr>
          <w:szCs w:val="24"/>
        </w:rPr>
        <w:tab/>
      </w:r>
      <w:r w:rsidRPr="00662E51">
        <w:rPr>
          <w:szCs w:val="24"/>
        </w:rPr>
        <w:tab/>
        <w:t xml:space="preserve">These consultations fed into the new Masterplan for High Road West, which the Council </w:t>
      </w:r>
      <w:r w:rsidRPr="00662E51">
        <w:rPr>
          <w:szCs w:val="24"/>
        </w:rPr>
        <w:fldChar w:fldCharType="begin"/>
      </w:r>
      <w:r w:rsidR="008835AB" w:rsidRPr="00662E51">
        <w:rPr>
          <w:szCs w:val="24"/>
        </w:rPr>
        <w:instrText xml:space="preserve"> ADDIN ZOTERO_ITEM CSL_CITATION {"citationID":"Jr7UFYb7","properties":{"formattedCitation":"(2013b)","plainCitation":"(2013b)","noteIndex":0},"citationItems":[{"id":5723,"uris":["http://zotero.org/users/8977980/items/DXW563G2"],"itemData":{"id":5723,"type":"report","publisher":"Haringey Borough Council","publisher-place":"London (UK), United Kingdom","title":"High Road West: Creating a Plan for Change","URL":"https://www.haringey.gov.uk/sites/haringeygovuk/files/highroadwestmasterplan.pdf","author":[{"literal":"Haringey Borough Council"}],"accessed":{"date-parts":[["2024",3,12]]},"issued":{"date-parts":[["2013",5]]}},"label":"page","suppress-author":true}],"schema":"https://github.com/citation-style-language/schema/raw/master/csl-citation.json"} </w:instrText>
      </w:r>
      <w:r w:rsidRPr="00662E51">
        <w:rPr>
          <w:szCs w:val="24"/>
        </w:rPr>
        <w:fldChar w:fldCharType="separate"/>
      </w:r>
      <w:r w:rsidR="0095662D" w:rsidRPr="00662E51">
        <w:t>(2013b)</w:t>
      </w:r>
      <w:r w:rsidRPr="00662E51">
        <w:rPr>
          <w:szCs w:val="24"/>
        </w:rPr>
        <w:fldChar w:fldCharType="end"/>
      </w:r>
      <w:r w:rsidRPr="00662E51">
        <w:rPr>
          <w:szCs w:val="24"/>
        </w:rPr>
        <w:t xml:space="preserve"> says it has been developing in partnership with Arup </w:t>
      </w:r>
      <w:r w:rsidRPr="00662E51">
        <w:rPr>
          <w:szCs w:val="24"/>
        </w:rPr>
        <w:fldChar w:fldCharType="begin"/>
      </w:r>
      <w:r w:rsidR="008835AB" w:rsidRPr="00662E51">
        <w:rPr>
          <w:szCs w:val="24"/>
        </w:rPr>
        <w:instrText xml:space="preserve"> ADDIN ZOTERO_ITEM CSL_CITATION {"citationID":"ykuyOfrI","properties":{"formattedCitation":"(2014)","plainCitation":"(2014)","noteIndex":0},"citationItems":[{"id":5648,"uris":["http://zotero.org/users/8977980/items/QYPUBGC9"],"itemData":{"id":5648,"type":"report","publisher":"Haringey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abel":"page","suppress-author":true}],"schema":"https://github.com/citation-style-language/schema/raw/master/csl-citation.json"} </w:instrText>
      </w:r>
      <w:r w:rsidRPr="00662E51">
        <w:rPr>
          <w:szCs w:val="24"/>
        </w:rPr>
        <w:fldChar w:fldCharType="separate"/>
      </w:r>
      <w:r w:rsidR="0095662D" w:rsidRPr="00662E51">
        <w:t>(2014)</w:t>
      </w:r>
      <w:r w:rsidRPr="00662E51">
        <w:rPr>
          <w:szCs w:val="24"/>
        </w:rPr>
        <w:fldChar w:fldCharType="end"/>
      </w:r>
      <w:r w:rsidRPr="00662E51">
        <w:rPr>
          <w:szCs w:val="24"/>
        </w:rPr>
        <w:t xml:space="preserve"> based on feedback from previous community engagement (i.e., after the 2011 uprising). The first document starts from the assumption that there are only three possible options for the High Road West area, from least drastic (Option 1) to most (Option 3): “This booklet sets out three options that describe how we might build on what’s good about the area to make it even better.” All three options also have the same aims: “to create a new public space linking White Hart Lane Station, Tottenham High Road, the new Spurs stadium and new community facilities,” as well as new homes in the area </w:t>
      </w:r>
      <w:r w:rsidRPr="00662E51">
        <w:rPr>
          <w:szCs w:val="24"/>
        </w:rPr>
        <w:fldChar w:fldCharType="begin"/>
      </w:r>
      <w:r w:rsidR="008835AB" w:rsidRPr="00662E51">
        <w:rPr>
          <w:szCs w:val="24"/>
        </w:rPr>
        <w:instrText xml:space="preserve"> ADDIN ZOTERO_ITEM CSL_CITATION {"citationID":"6Zf5clhk","properties":{"formattedCitation":"(Haringey Borough Council 2013b, 2, 4\\uc0\\u8211{}5)","plainCitation":"(Haringey Borough Council 2013b, 2, 4–5)","noteIndex":0},"citationItems":[{"id":5723,"uris":["http://zotero.org/users/8977980/items/DXW563G2"],"itemData":{"id":5723,"type":"report","publisher":"Haringey Borough Council","publisher-place":"London (UK), United Kingdom","title":"High Road West: Creating a Plan for Change","URL":"https://www.haringey.gov.uk/sites/haringeygovuk/files/highroadwestmasterplan.pdf","author":[{"literal":"Haringey Borough Council"}],"accessed":{"date-parts":[["2024",3,12]]},"issued":{"date-parts":[["2013",5]]}},"locator":"2, 4-5","label":"page"}],"schema":"https://github.com/citation-style-language/schema/raw/master/csl-citation.json"} </w:instrText>
      </w:r>
      <w:r w:rsidRPr="00662E51">
        <w:rPr>
          <w:szCs w:val="24"/>
        </w:rPr>
        <w:fldChar w:fldCharType="separate"/>
      </w:r>
      <w:r w:rsidR="0095662D" w:rsidRPr="00662E51">
        <w:rPr>
          <w:rFonts w:cs="Times New Roman"/>
          <w:kern w:val="0"/>
        </w:rPr>
        <w:t>(Haringey Borough Council 2013b, 2, 4–5)</w:t>
      </w:r>
      <w:r w:rsidRPr="00662E51">
        <w:rPr>
          <w:szCs w:val="24"/>
        </w:rPr>
        <w:fldChar w:fldCharType="end"/>
      </w:r>
      <w:r w:rsidRPr="00662E51">
        <w:rPr>
          <w:szCs w:val="24"/>
        </w:rPr>
        <w:t xml:space="preserve">. No other possibilities are considered, nor is the rationale behind these decisions fully explained. This document thus sets up the expectation that one option going to be chosen regardless of resident input, setting clear boundaries on what is considered contestable. The traders at the Peacock Estate felt </w:t>
      </w:r>
      <w:r w:rsidR="00A140F1">
        <w:rPr>
          <w:szCs w:val="24"/>
        </w:rPr>
        <w:t>likewise</w:t>
      </w:r>
      <w:r w:rsidRPr="00662E51">
        <w:rPr>
          <w:szCs w:val="24"/>
        </w:rPr>
        <w:t>: some responded to this consultation by writing</w:t>
      </w:r>
    </w:p>
    <w:p w14:paraId="1FBF1646" w14:textId="77777777" w:rsidR="00C90C92" w:rsidRPr="00662E51" w:rsidRDefault="00C90C92" w:rsidP="00C90C92">
      <w:pPr>
        <w:tabs>
          <w:tab w:val="left" w:pos="546"/>
        </w:tabs>
        <w:ind w:left="0"/>
        <w:rPr>
          <w:szCs w:val="24"/>
        </w:rPr>
      </w:pPr>
    </w:p>
    <w:p w14:paraId="3ED1380C" w14:textId="1A36E089" w:rsidR="00C80E53" w:rsidRDefault="005A270A" w:rsidP="00C90C92">
      <w:pPr>
        <w:tabs>
          <w:tab w:val="left" w:pos="546"/>
        </w:tabs>
        <w:ind w:left="720"/>
        <w:rPr>
          <w:szCs w:val="24"/>
        </w:rPr>
      </w:pPr>
      <w:r w:rsidRPr="00662E51">
        <w:rPr>
          <w:szCs w:val="24"/>
        </w:rPr>
        <w:t>C</w:t>
      </w:r>
      <w:r w:rsidR="00621C17" w:rsidRPr="00662E51">
        <w:rPr>
          <w:szCs w:val="24"/>
        </w:rPr>
        <w:t xml:space="preserve">learly they [the Council] were </w:t>
      </w:r>
      <w:r w:rsidR="00915458" w:rsidRPr="00662E51">
        <w:rPr>
          <w:szCs w:val="24"/>
        </w:rPr>
        <w:t>NOT</w:t>
      </w:r>
      <w:r w:rsidR="00621C17" w:rsidRPr="00662E51">
        <w:rPr>
          <w:szCs w:val="24"/>
        </w:rPr>
        <w:t xml:space="preserve"> listening, for at no time during the few consultations held did anyone suggest the demolition of the existing High Street shops...there were certainly no requests from the local community to replace them</w:t>
      </w:r>
      <w:r w:rsidR="00915458" w:rsidRPr="00662E51">
        <w:rPr>
          <w:szCs w:val="24"/>
        </w:rPr>
        <w:t xml:space="preserve"> with a larger library/learning centre</w:t>
      </w:r>
      <w:r w:rsidR="00C90C92">
        <w:rPr>
          <w:szCs w:val="24"/>
        </w:rPr>
        <w:t>.</w:t>
      </w:r>
      <w:r w:rsidRPr="00662E51">
        <w:rPr>
          <w:szCs w:val="24"/>
        </w:rPr>
        <w:t xml:space="preserve"> </w:t>
      </w:r>
      <w:r w:rsidR="00621C17" w:rsidRPr="00662E51">
        <w:rPr>
          <w:szCs w:val="24"/>
        </w:rPr>
        <w:fldChar w:fldCharType="begin"/>
      </w:r>
      <w:r w:rsidR="008835AB" w:rsidRPr="00662E51">
        <w:rPr>
          <w:szCs w:val="24"/>
        </w:rPr>
        <w:instrText xml:space="preserve"> ADDIN ZOTERO_ITEM CSL_CITATION {"citationID":"GrMFeQs1","properties":{"formattedCitation":"(Haringey Borough Council 2013a, 52)","plainCitation":"(Haringey Borough Council 2013a, 52)","noteIndex":0},"citationItems":[{"id":5634,"uris":["http://zotero.org/users/8977980/items/RM3YG23V"],"itemData":{"id":5634,"type":"report","publisher":"Haringey Borough Council","publisher-place":"London, UK","title":"High Road West: Consultation Feedback Report","URL":"https://www.haringey.gov.uk/sites/haringeygovuk/files/2013_a_detailed_report_of_the_consultation_feedback_pdf_2mb.pdf","author":[{"literal":"Haringey Borough Council"}],"accessed":{"date-parts":[["2024",1,16]]},"issued":{"date-parts":[["2013",8]]}},"locator":"52"}],"schema":"https://github.com/citation-style-language/schema/raw/master/csl-citation.json"} </w:instrText>
      </w:r>
      <w:r w:rsidR="00621C17" w:rsidRPr="00662E51">
        <w:rPr>
          <w:szCs w:val="24"/>
        </w:rPr>
        <w:fldChar w:fldCharType="separate"/>
      </w:r>
      <w:r w:rsidR="0095662D" w:rsidRPr="00662E51">
        <w:t>(Haringey Borough Council 2013a, 52)</w:t>
      </w:r>
      <w:r w:rsidR="00621C17" w:rsidRPr="00662E51">
        <w:rPr>
          <w:szCs w:val="24"/>
        </w:rPr>
        <w:fldChar w:fldCharType="end"/>
      </w:r>
    </w:p>
    <w:p w14:paraId="4FDC969D" w14:textId="77777777" w:rsidR="00C90C92" w:rsidRPr="00662E51" w:rsidRDefault="00C90C92" w:rsidP="00C90C92">
      <w:pPr>
        <w:tabs>
          <w:tab w:val="left" w:pos="546"/>
        </w:tabs>
        <w:ind w:left="720"/>
        <w:rPr>
          <w:szCs w:val="24"/>
        </w:rPr>
      </w:pPr>
    </w:p>
    <w:p w14:paraId="7FA2026B" w14:textId="0502C437" w:rsidR="00621C17" w:rsidRPr="00662E51" w:rsidRDefault="00ED12D2" w:rsidP="00C80E53">
      <w:pPr>
        <w:tabs>
          <w:tab w:val="left" w:pos="546"/>
        </w:tabs>
        <w:spacing w:line="360" w:lineRule="auto"/>
        <w:ind w:left="0"/>
        <w:rPr>
          <w:szCs w:val="24"/>
        </w:rPr>
      </w:pPr>
      <w:r w:rsidRPr="00662E51">
        <w:rPr>
          <w:szCs w:val="24"/>
        </w:rPr>
        <w:t xml:space="preserve">The very framing of these consultations thus reflects a “a cynical manipulation of community consultation” </w:t>
      </w:r>
      <w:r w:rsidR="00B3748F" w:rsidRPr="00662E51">
        <w:rPr>
          <w:szCs w:val="24"/>
        </w:rPr>
        <w:t xml:space="preserve">by constraining available options to the three proposed plans that were developed by the Council and consultants </w:t>
      </w:r>
      <w:r w:rsidRPr="00662E51">
        <w:rPr>
          <w:szCs w:val="24"/>
        </w:rPr>
        <w:fldChar w:fldCharType="begin"/>
      </w:r>
      <w:r w:rsidR="008835AB" w:rsidRPr="00662E51">
        <w:rPr>
          <w:szCs w:val="24"/>
        </w:rPr>
        <w:instrText xml:space="preserve"> ADDIN ZOTERO_ITEM CSL_CITATION {"citationID":"C7R8RTLj","properties":{"formattedCitation":"(Ormerod and MacLeod 2019, 326)","plainCitation":"(Ormerod and MacLeod 2019, 326)","noteIndex":0},"citationItems":[{"id":3317,"uris":["http://zotero.org/users/8977980/items/3FKCPYR3"],"itemData":{"id":3317,"type":"article-journal","abstract":"This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governance","volume":"18","author":[{"family":"Ormerod","given":"Emma"},{"family":"MacLeod","given":"Gordon"}],"issued":{"date-parts":[["2019",8,1]]}},"locator":"326","label":"page"}],"schema":"https://github.com/citation-style-language/schema/raw/master/csl-citation.json"} </w:instrText>
      </w:r>
      <w:r w:rsidRPr="00662E51">
        <w:rPr>
          <w:szCs w:val="24"/>
        </w:rPr>
        <w:fldChar w:fldCharType="separate"/>
      </w:r>
      <w:r w:rsidRPr="00662E51">
        <w:t>(Ormerod and MacLeod 2019, 326)</w:t>
      </w:r>
      <w:r w:rsidRPr="00662E51">
        <w:rPr>
          <w:szCs w:val="24"/>
        </w:rPr>
        <w:fldChar w:fldCharType="end"/>
      </w:r>
      <w:r w:rsidR="00B3748F" w:rsidRPr="00662E51">
        <w:rPr>
          <w:szCs w:val="24"/>
        </w:rPr>
        <w:t xml:space="preserve">. </w:t>
      </w:r>
      <w:r w:rsidR="00B63E15" w:rsidRPr="00662E51">
        <w:rPr>
          <w:szCs w:val="24"/>
        </w:rPr>
        <w:t xml:space="preserve">That is, while </w:t>
      </w:r>
      <w:r w:rsidR="00392FA6" w:rsidRPr="00662E51">
        <w:rPr>
          <w:szCs w:val="24"/>
        </w:rPr>
        <w:t>Haringey Council could</w:t>
      </w:r>
      <w:r w:rsidR="009C14C7" w:rsidRPr="00662E51">
        <w:rPr>
          <w:szCs w:val="24"/>
        </w:rPr>
        <w:t xml:space="preserve">, for example, </w:t>
      </w:r>
      <w:r w:rsidR="00392FA6" w:rsidRPr="00662E51">
        <w:rPr>
          <w:szCs w:val="24"/>
        </w:rPr>
        <w:t xml:space="preserve">accurately </w:t>
      </w:r>
      <w:r w:rsidR="003F605C" w:rsidRPr="00662E51">
        <w:rPr>
          <w:szCs w:val="24"/>
        </w:rPr>
        <w:t xml:space="preserve">claim that “79% of Love Lane responses agree that more types of housing should be built to meet the needs of the local community,” </w:t>
      </w:r>
      <w:r w:rsidR="00C35C05" w:rsidRPr="00662E51">
        <w:rPr>
          <w:szCs w:val="24"/>
        </w:rPr>
        <w:t>there is little opportunity for the residents</w:t>
      </w:r>
      <w:r w:rsidR="009C14C7" w:rsidRPr="00662E51">
        <w:rPr>
          <w:szCs w:val="24"/>
        </w:rPr>
        <w:t xml:space="preserve"> to adequately express</w:t>
      </w:r>
      <w:r w:rsidR="003F73B5" w:rsidRPr="00662E51">
        <w:rPr>
          <w:szCs w:val="24"/>
        </w:rPr>
        <w:t xml:space="preserve"> what this means in </w:t>
      </w:r>
      <w:r w:rsidR="00CA2E47">
        <w:rPr>
          <w:szCs w:val="24"/>
        </w:rPr>
        <w:t xml:space="preserve">nuanced </w:t>
      </w:r>
      <w:r w:rsidR="003F73B5" w:rsidRPr="00662E51">
        <w:rPr>
          <w:szCs w:val="24"/>
        </w:rPr>
        <w:t>terms</w:t>
      </w:r>
      <w:r w:rsidR="003F605C" w:rsidRPr="00662E51">
        <w:rPr>
          <w:szCs w:val="24"/>
        </w:rPr>
        <w:t xml:space="preserve"> </w:t>
      </w:r>
      <w:r w:rsidR="003F605C" w:rsidRPr="00662E51">
        <w:rPr>
          <w:szCs w:val="24"/>
        </w:rPr>
        <w:fldChar w:fldCharType="begin"/>
      </w:r>
      <w:r w:rsidR="008835AB" w:rsidRPr="00662E51">
        <w:rPr>
          <w:szCs w:val="24"/>
        </w:rPr>
        <w:instrText xml:space="preserve"> ADDIN ZOTERO_ITEM CSL_CITATION {"citationID":"MA9UdyL4","properties":{"formattedCitation":"(Haringey Borough Council 2013a, 31)","plainCitation":"(Haringey Borough Council 2013a, 31)","noteIndex":0},"citationItems":[{"id":5634,"uris":["http://zotero.org/users/8977980/items/RM3YG23V"],"itemData":{"id":5634,"type":"report","publisher":"Haringey Borough Council","publisher-place":"London, UK","title":"High Road West: Consultation Feedback Report","URL":"https://www.haringey.gov.uk/sites/haringeygovuk/files/2013_a_detailed_report_of_the_consultation_feedback_pdf_2mb.pdf","author":[{"literal":"Haringey Borough Council"}],"accessed":{"date-parts":[["2024",1,16]]},"issued":{"date-parts":[["2013",8]]}},"locator":"31","label":"page"}],"schema":"https://github.com/citation-style-language/schema/raw/master/csl-citation.json"} </w:instrText>
      </w:r>
      <w:r w:rsidR="003F605C" w:rsidRPr="00662E51">
        <w:rPr>
          <w:szCs w:val="24"/>
        </w:rPr>
        <w:fldChar w:fldCharType="separate"/>
      </w:r>
      <w:r w:rsidR="00C35C05" w:rsidRPr="00662E51">
        <w:t>(Haringey Borough Council 2013a, 31)</w:t>
      </w:r>
      <w:r w:rsidR="003F605C" w:rsidRPr="00662E51">
        <w:rPr>
          <w:szCs w:val="24"/>
        </w:rPr>
        <w:fldChar w:fldCharType="end"/>
      </w:r>
      <w:r w:rsidR="003F605C" w:rsidRPr="00662E51">
        <w:rPr>
          <w:szCs w:val="24"/>
        </w:rPr>
        <w:t xml:space="preserve">. </w:t>
      </w:r>
      <w:r w:rsidR="00621C17" w:rsidRPr="00662E51">
        <w:rPr>
          <w:szCs w:val="24"/>
        </w:rPr>
        <w:t xml:space="preserve">The following 2014 consultation booklet is broadly </w:t>
      </w:r>
      <w:r w:rsidR="00621C17" w:rsidRPr="00662E51">
        <w:rPr>
          <w:szCs w:val="24"/>
        </w:rPr>
        <w:lastRenderedPageBreak/>
        <w:t xml:space="preserve">analogous but focuses on gathering resident input on an already-produced Masterplan that relies on the 2013 consultation. It lists six changes that are set to occur, ranging from “A new landscaped open space at Moselle Square” to “1,200 new high quality homes” </w:t>
      </w:r>
      <w:r w:rsidR="00621C17" w:rsidRPr="00662E51">
        <w:rPr>
          <w:szCs w:val="24"/>
        </w:rPr>
        <w:fldChar w:fldCharType="begin"/>
      </w:r>
      <w:r w:rsidR="008835AB" w:rsidRPr="00662E51">
        <w:rPr>
          <w:szCs w:val="24"/>
        </w:rPr>
        <w:instrText xml:space="preserve"> ADDIN ZOTERO_ITEM CSL_CITATION {"citationID":"yEDDSE5u","properties":{"formattedCitation":"(Arup 2014, 6)","plainCitation":"(Arup 2014, 6)","noteIndex":0},"citationItems":[{"id":5648,"uris":["http://zotero.org/users/8977980/items/QYPUBGC9"],"itemData":{"id":5648,"type":"report","publisher":"Haringey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ocator":"6"}],"schema":"https://github.com/citation-style-language/schema/raw/master/csl-citation.json"} </w:instrText>
      </w:r>
      <w:r w:rsidR="00621C17" w:rsidRPr="00662E51">
        <w:rPr>
          <w:szCs w:val="24"/>
        </w:rPr>
        <w:fldChar w:fldCharType="separate"/>
      </w:r>
      <w:r w:rsidR="0095662D" w:rsidRPr="00662E51">
        <w:t>(Arup 2014, 6)</w:t>
      </w:r>
      <w:r w:rsidR="00621C17" w:rsidRPr="00662E51">
        <w:rPr>
          <w:szCs w:val="24"/>
        </w:rPr>
        <w:fldChar w:fldCharType="end"/>
      </w:r>
      <w:r w:rsidR="00621C17" w:rsidRPr="00662E51">
        <w:rPr>
          <w:szCs w:val="24"/>
        </w:rPr>
        <w:t xml:space="preserve">. The consultation survey asks impacted residents and businesses neutrally, i.e., such that </w:t>
      </w:r>
      <w:r w:rsidR="00D574A7">
        <w:rPr>
          <w:szCs w:val="24"/>
        </w:rPr>
        <w:t>no reasonable respondent would disagree with the Council’s proposals.</w:t>
      </w:r>
      <w:r w:rsidR="00621C17" w:rsidRPr="00662E51">
        <w:rPr>
          <w:szCs w:val="24"/>
        </w:rPr>
        <w:t xml:space="preserve"> One example is the following, which refers to the nearby White Hart Lane rail station: “A better and more accessible station should be provided which enhances its historic character.” Only 14% were opposed </w:t>
      </w:r>
      <w:r w:rsidR="00621C17" w:rsidRPr="00662E51">
        <w:rPr>
          <w:szCs w:val="24"/>
        </w:rPr>
        <w:fldChar w:fldCharType="begin"/>
      </w:r>
      <w:r w:rsidR="008835AB" w:rsidRPr="00662E51">
        <w:rPr>
          <w:szCs w:val="24"/>
        </w:rPr>
        <w:instrText xml:space="preserve"> ADDIN ZOTERO_ITEM CSL_CITATION {"citationID":"goEBW4Ew","properties":{"formattedCitation":"(Haringey Borough Council 2013a, 34)","plainCitation":"(Haringey Borough Council 2013a, 34)","noteIndex":0},"citationItems":[{"id":5634,"uris":["http://zotero.org/users/8977980/items/RM3YG23V"],"itemData":{"id":5634,"type":"report","publisher":"Haringey Borough Council","publisher-place":"London, UK","title":"High Road West: Consultation Feedback Report","URL":"https://www.haringey.gov.uk/sites/haringeygovuk/files/2013_a_detailed_report_of_the_consultation_feedback_pdf_2mb.pdf","author":[{"literal":"Haringey Borough Council"}],"accessed":{"date-parts":[["2024",1,16]]},"issued":{"date-parts":[["2013",8]]}},"locator":"34"}],"schema":"https://github.com/citation-style-language/schema/raw/master/csl-citation.json"} </w:instrText>
      </w:r>
      <w:r w:rsidR="00621C17" w:rsidRPr="00662E51">
        <w:rPr>
          <w:szCs w:val="24"/>
        </w:rPr>
        <w:fldChar w:fldCharType="separate"/>
      </w:r>
      <w:r w:rsidR="0095662D" w:rsidRPr="00662E51">
        <w:t>(Haringey Borough Council 2013a, 34)</w:t>
      </w:r>
      <w:r w:rsidR="00621C17" w:rsidRPr="00662E51">
        <w:rPr>
          <w:szCs w:val="24"/>
        </w:rPr>
        <w:fldChar w:fldCharType="end"/>
      </w:r>
      <w:r w:rsidR="00621C17" w:rsidRPr="00662E51">
        <w:rPr>
          <w:szCs w:val="24"/>
        </w:rPr>
        <w:t xml:space="preserve">. </w:t>
      </w:r>
      <w:r w:rsidR="003776C1" w:rsidRPr="00662E51">
        <w:rPr>
          <w:szCs w:val="24"/>
        </w:rPr>
        <w:t xml:space="preserve">Such </w:t>
      </w:r>
      <w:r w:rsidR="009D2F12" w:rsidRPr="00662E51">
        <w:rPr>
          <w:szCs w:val="24"/>
        </w:rPr>
        <w:t xml:space="preserve">a broad </w:t>
      </w:r>
      <w:r w:rsidR="003776C1" w:rsidRPr="00662E51">
        <w:rPr>
          <w:szCs w:val="24"/>
        </w:rPr>
        <w:t xml:space="preserve">statement is hard to argue </w:t>
      </w:r>
      <w:r w:rsidR="00DA5F50" w:rsidRPr="00662E51">
        <w:rPr>
          <w:szCs w:val="24"/>
        </w:rPr>
        <w:t>against or</w:t>
      </w:r>
      <w:r w:rsidR="003776C1" w:rsidRPr="00662E51">
        <w:rPr>
          <w:szCs w:val="24"/>
        </w:rPr>
        <w:t xml:space="preserve"> even disagree with. </w:t>
      </w:r>
      <w:r w:rsidR="00621C17" w:rsidRPr="00662E51">
        <w:rPr>
          <w:szCs w:val="24"/>
        </w:rPr>
        <w:t xml:space="preserve">As Ormerod and MacLeod </w:t>
      </w:r>
      <w:r w:rsidR="00621C17" w:rsidRPr="00662E51">
        <w:rPr>
          <w:szCs w:val="24"/>
        </w:rPr>
        <w:fldChar w:fldCharType="begin"/>
      </w:r>
      <w:r w:rsidR="008835AB" w:rsidRPr="00662E51">
        <w:rPr>
          <w:szCs w:val="24"/>
        </w:rPr>
        <w:instrText xml:space="preserve"> ADDIN ZOTERO_ITEM CSL_CITATION {"citationID":"MmMxqjST","properties":{"formattedCitation":"(2019)","plainCitation":"(2019)","noteIndex":0},"citationItems":[{"id":3317,"uris":["http://zotero.org/users/8977980/items/3FKCPYR3"],"itemData":{"id":3317,"type":"article-journal","abstract":"This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label":"page","suppress-author":true}],"schema":"https://github.com/citation-style-language/schema/raw/master/csl-citation.json"} </w:instrText>
      </w:r>
      <w:r w:rsidR="00621C17" w:rsidRPr="00662E51">
        <w:rPr>
          <w:szCs w:val="24"/>
        </w:rPr>
        <w:fldChar w:fldCharType="separate"/>
      </w:r>
      <w:r w:rsidR="0095662D" w:rsidRPr="00662E51">
        <w:t>(2019)</w:t>
      </w:r>
      <w:r w:rsidR="00621C17" w:rsidRPr="00662E51">
        <w:rPr>
          <w:szCs w:val="24"/>
        </w:rPr>
        <w:fldChar w:fldCharType="end"/>
      </w:r>
      <w:r w:rsidR="00621C17" w:rsidRPr="00662E51">
        <w:rPr>
          <w:szCs w:val="24"/>
        </w:rPr>
        <w:t xml:space="preserve"> found, consultation surveys are misleading: they overestimate the true level of support, something that activists have alleged here, too.</w:t>
      </w:r>
      <w:r w:rsidR="00417D81" w:rsidRPr="00662E51">
        <w:rPr>
          <w:szCs w:val="24"/>
        </w:rPr>
        <w:t xml:space="preserve"> </w:t>
      </w:r>
    </w:p>
    <w:p w14:paraId="0543D00A" w14:textId="6F68A76D" w:rsidR="00621C17" w:rsidRPr="00662E51" w:rsidRDefault="00621C17" w:rsidP="00F56305">
      <w:pPr>
        <w:tabs>
          <w:tab w:val="left" w:pos="546"/>
        </w:tabs>
        <w:spacing w:line="360" w:lineRule="auto"/>
        <w:ind w:left="0"/>
        <w:rPr>
          <w:szCs w:val="24"/>
        </w:rPr>
      </w:pPr>
      <w:r w:rsidRPr="00662E51">
        <w:rPr>
          <w:szCs w:val="24"/>
        </w:rPr>
        <w:tab/>
      </w:r>
      <w:r w:rsidRPr="00662E51">
        <w:rPr>
          <w:szCs w:val="24"/>
        </w:rPr>
        <w:tab/>
        <w:t>The same pattern of presentation across both consultations was also true for the prospect of demolition of the Love Lane estate. The lack of clear information about it was why Damien Tissier, the Independent Tenants and Leaseholder Advisor</w:t>
      </w:r>
      <w:r w:rsidRPr="00BD17AF">
        <w:rPr>
          <w:rStyle w:val="FootnoteReference"/>
        </w:rPr>
        <w:footnoteReference w:id="60"/>
      </w:r>
      <w:r w:rsidRPr="00662E51">
        <w:rPr>
          <w:szCs w:val="24"/>
        </w:rPr>
        <w:t xml:space="preserve"> for the Love Lane estate, said “the single most important thing that people didn’t seem to appreciate at the time was that estate was gonna get knocked down”—because, in his mind, the Council were not “upfront about demolition… they certainly did never ask the question” to the residents </w:t>
      </w:r>
      <w:r w:rsidRPr="00662E51">
        <w:rPr>
          <w:szCs w:val="24"/>
        </w:rPr>
        <w:fldChar w:fldCharType="begin"/>
      </w:r>
      <w:r w:rsidR="008835AB" w:rsidRPr="00662E51">
        <w:rPr>
          <w:szCs w:val="24"/>
        </w:rPr>
        <w:instrText xml:space="preserve"> ADDIN ZOTERO_ITEM CSL_CITATION {"citationID":"t8Mud1CP","properties":{"formattedCitation":"(see also Ormerod and MacLeod 2019)","plainCitation":"(see also Ormerod and MacLeod 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governance","volume":"18","author":[{"family":"Ormerod","given":"Emma"},{"family":"MacLeod","given":"Gordon"}],"issued":{"date-parts":[["2019",8,1]]}},"label":"page","prefix":"see also"}],"schema":"https://github.com/citation-style-language/schema/raw/master/csl-citation.json"} </w:instrText>
      </w:r>
      <w:r w:rsidRPr="00662E51">
        <w:rPr>
          <w:szCs w:val="24"/>
        </w:rPr>
        <w:fldChar w:fldCharType="separate"/>
      </w:r>
      <w:r w:rsidR="0095662D" w:rsidRPr="00662E51">
        <w:t>(see also Ormerod and MacLeod 2019)</w:t>
      </w:r>
      <w:r w:rsidRPr="00662E51">
        <w:rPr>
          <w:szCs w:val="24"/>
        </w:rPr>
        <w:fldChar w:fldCharType="end"/>
      </w:r>
      <w:r w:rsidRPr="00662E51">
        <w:rPr>
          <w:szCs w:val="24"/>
        </w:rPr>
        <w:t xml:space="preserve">. For instance, in the 2013 consult booklet, the Council (p. 5) says, “we would need to redevelop existing buildings” at handful of addresses. Nonetheless, it does not explicitly note that these buildings will likely be destroyed. The mock-ups throughout the document do show these structures as missing but this is not overtly noted. In its description of Options 1-3, the Council </w:t>
      </w:r>
      <w:r w:rsidRPr="00662E51">
        <w:rPr>
          <w:szCs w:val="24"/>
        </w:rPr>
        <w:fldChar w:fldCharType="begin"/>
      </w:r>
      <w:r w:rsidR="008835AB" w:rsidRPr="00662E51">
        <w:rPr>
          <w:szCs w:val="24"/>
        </w:rPr>
        <w:instrText xml:space="preserve"> ADDIN ZOTERO_ITEM CSL_CITATION {"citationID":"AN3AjPUd","properties":{"formattedCitation":"(2013b, 8, 10, 12)","plainCitation":"(2013b, 8, 10, 12)","noteIndex":0},"citationItems":[{"id":5723,"uris":["http://zotero.org/users/8977980/items/DXW563G2"],"itemData":{"id":5723,"type":"report","publisher":"Haringey Borough Council","publisher-place":"London (UK), United Kingdom","title":"High Road West: Creating a Plan for Change","URL":"https://www.haringey.gov.uk/sites/haringeygovuk/files/highroadwestmasterplan.pdf","author":[{"literal":"Haringey Borough Council"}],"accessed":{"date-parts":[["2024",3,12]]},"issued":{"date-parts":[["2013",5]]}},"locator":"8, 10, 12","label":"page","suppress-author":true}],"schema":"https://github.com/citation-style-language/schema/raw/master/csl-citation.json"} </w:instrText>
      </w:r>
      <w:r w:rsidRPr="00662E51">
        <w:rPr>
          <w:szCs w:val="24"/>
        </w:rPr>
        <w:fldChar w:fldCharType="separate"/>
      </w:r>
      <w:r w:rsidR="0095662D" w:rsidRPr="00662E51">
        <w:t>(2013b, 8, 10, 12)</w:t>
      </w:r>
      <w:r w:rsidRPr="00662E51">
        <w:rPr>
          <w:szCs w:val="24"/>
        </w:rPr>
        <w:fldChar w:fldCharType="end"/>
      </w:r>
      <w:r w:rsidRPr="00662E51">
        <w:rPr>
          <w:szCs w:val="24"/>
        </w:rPr>
        <w:t xml:space="preserve"> specifies which buildings will be redeveloped but again does not specify demolition, except to note that “ALL affected social rented housing will be replaced.” </w:t>
      </w:r>
      <w:r w:rsidR="00365315" w:rsidRPr="00662E51">
        <w:rPr>
          <w:szCs w:val="24"/>
        </w:rPr>
        <w:t xml:space="preserve">This is perhaps why Haringey Council </w:t>
      </w:r>
      <w:r w:rsidR="00323D39" w:rsidRPr="00662E51">
        <w:rPr>
          <w:szCs w:val="24"/>
        </w:rPr>
        <w:fldChar w:fldCharType="begin"/>
      </w:r>
      <w:r w:rsidR="008835AB" w:rsidRPr="00662E51">
        <w:rPr>
          <w:szCs w:val="24"/>
        </w:rPr>
        <w:instrText xml:space="preserve"> ADDIN ZOTERO_ITEM CSL_CITATION {"citationID":"xIBxaMqP","properties":{"formattedCitation":"(2013a, 36)","plainCitation":"(2013a, 36)","noteIndex":0},"citationItems":[{"id":5634,"uris":["http://zotero.org/users/8977980/items/RM3YG23V"],"itemData":{"id":5634,"type":"report","publisher":"Haringey Borough Council","publisher-place":"London, UK","title":"High Road West: Consultation Feedback Report","URL":"https://www.haringey.gov.uk/sites/haringeygovuk/files/2013_a_detailed_report_of_the_consultation_feedback_pdf_2mb.pdf","author":[{"literal":"Haringey Borough Council"}],"accessed":{"date-parts":[["2024",1,16]]},"issued":{"date-parts":[["2013",8]]}},"locator":"36","label":"page","suppress-author":true}],"schema":"https://github.com/citation-style-language/schema/raw/master/csl-citation.json"} </w:instrText>
      </w:r>
      <w:r w:rsidR="00323D39" w:rsidRPr="00662E51">
        <w:rPr>
          <w:szCs w:val="24"/>
        </w:rPr>
        <w:fldChar w:fldCharType="separate"/>
      </w:r>
      <w:r w:rsidR="00FE2B1A" w:rsidRPr="00662E51">
        <w:t>(2013a, 36)</w:t>
      </w:r>
      <w:r w:rsidR="00323D39" w:rsidRPr="00662E51">
        <w:rPr>
          <w:szCs w:val="24"/>
        </w:rPr>
        <w:fldChar w:fldCharType="end"/>
      </w:r>
      <w:r w:rsidR="005C1BE7" w:rsidRPr="00662E51">
        <w:rPr>
          <w:szCs w:val="24"/>
        </w:rPr>
        <w:t xml:space="preserve"> </w:t>
      </w:r>
      <w:r w:rsidR="00365315" w:rsidRPr="00662E51">
        <w:rPr>
          <w:szCs w:val="24"/>
        </w:rPr>
        <w:t xml:space="preserve">could correctly claim </w:t>
      </w:r>
      <w:r w:rsidR="005C1BE7" w:rsidRPr="00662E51">
        <w:rPr>
          <w:szCs w:val="24"/>
        </w:rPr>
        <w:t>“that despite there being a campaign from outside the estate, which advocated renovation and not demolition of the Love Lane Estate only one Love Lane respondent raised this comment on this section of the feedback form.”</w:t>
      </w:r>
      <w:r w:rsidR="005B2C84" w:rsidRPr="00662E51">
        <w:rPr>
          <w:szCs w:val="24"/>
        </w:rPr>
        <w:t xml:space="preserve"> In using this </w:t>
      </w:r>
      <w:r w:rsidR="005B2C84" w:rsidRPr="00662E51">
        <w:rPr>
          <w:szCs w:val="24"/>
        </w:rPr>
        <w:lastRenderedPageBreak/>
        <w:t xml:space="preserve">language, the Council </w:t>
      </w:r>
      <w:r w:rsidR="00EA1270" w:rsidRPr="00662E51">
        <w:rPr>
          <w:szCs w:val="24"/>
        </w:rPr>
        <w:t xml:space="preserve">marks a strong </w:t>
      </w:r>
      <w:r w:rsidR="005B2C84" w:rsidRPr="00662E51">
        <w:rPr>
          <w:szCs w:val="24"/>
        </w:rPr>
        <w:t xml:space="preserve">boundary between the ‘estate’ as a </w:t>
      </w:r>
      <w:r w:rsidR="00EA1270" w:rsidRPr="00662E51">
        <w:rPr>
          <w:szCs w:val="24"/>
        </w:rPr>
        <w:t xml:space="preserve">clear and uniform whole, and the ‘outside’ that is subsequently rendered as </w:t>
      </w:r>
      <w:r w:rsidR="00EA1270" w:rsidRPr="00662E51">
        <w:rPr>
          <w:i/>
          <w:iCs/>
          <w:szCs w:val="24"/>
        </w:rPr>
        <w:t>too</w:t>
      </w:r>
      <w:r w:rsidR="00EA1270" w:rsidRPr="00662E51">
        <w:rPr>
          <w:szCs w:val="24"/>
        </w:rPr>
        <w:t xml:space="preserve"> political</w:t>
      </w:r>
      <w:r w:rsidR="00350AA2">
        <w:rPr>
          <w:szCs w:val="24"/>
        </w:rPr>
        <w:t>—note the use of ‘campaign’ in</w:t>
      </w:r>
      <w:r w:rsidR="00EA1270" w:rsidRPr="00662E51">
        <w:rPr>
          <w:szCs w:val="24"/>
        </w:rPr>
        <w:t xml:space="preserve"> </w:t>
      </w:r>
      <w:r w:rsidR="00350AA2">
        <w:rPr>
          <w:szCs w:val="24"/>
        </w:rPr>
        <w:t>the council’s document</w:t>
      </w:r>
      <w:r w:rsidR="0032424F">
        <w:rPr>
          <w:szCs w:val="24"/>
        </w:rPr>
        <w:t>, reflecting</w:t>
      </w:r>
      <w:r w:rsidR="00350AA2">
        <w:rPr>
          <w:szCs w:val="24"/>
        </w:rPr>
        <w:t xml:space="preserve"> </w:t>
      </w:r>
      <w:r w:rsidR="0032424F">
        <w:rPr>
          <w:szCs w:val="24"/>
        </w:rPr>
        <w:t xml:space="preserve">Ormerod and MacLeod’s  </w:t>
      </w:r>
      <w:r w:rsidR="0032424F" w:rsidRPr="00662E51">
        <w:rPr>
          <w:szCs w:val="24"/>
        </w:rPr>
        <w:fldChar w:fldCharType="begin"/>
      </w:r>
      <w:r w:rsidR="008346A2">
        <w:rPr>
          <w:szCs w:val="24"/>
        </w:rPr>
        <w:instrText xml:space="preserve"> ADDIN ZOTERO_ITEM CSL_CITATION {"citationID":"7LXf1EHt","properties":{"formattedCitation":"(2019)","plainCitation":"(2019)","noteIndex":0},"citationItems":[{"id":3317,"uris":["http://zotero.org/users/8977980/items/3FKCPYR3"],"itemData":{"id":3317,"type":"article-journal","abstract":"This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governance","volume":"18","author":[{"family":"Ormerod","given":"Emma"},{"family":"MacLeod","given":"Gordon"}],"issued":{"date-parts":[["2019",8,1]]}},"suppress-author":true}],"schema":"https://github.com/citation-style-language/schema/raw/master/csl-citation.json"} </w:instrText>
      </w:r>
      <w:r w:rsidR="0032424F" w:rsidRPr="00662E51">
        <w:rPr>
          <w:szCs w:val="24"/>
        </w:rPr>
        <w:fldChar w:fldCharType="separate"/>
      </w:r>
      <w:r w:rsidR="008346A2" w:rsidRPr="008346A2">
        <w:t>(2019)</w:t>
      </w:r>
      <w:r w:rsidR="0032424F" w:rsidRPr="00662E51">
        <w:rPr>
          <w:szCs w:val="24"/>
        </w:rPr>
        <w:fldChar w:fldCharType="end"/>
      </w:r>
      <w:r w:rsidR="0032424F">
        <w:rPr>
          <w:szCs w:val="24"/>
        </w:rPr>
        <w:t xml:space="preserve"> findings in Gateshead.</w:t>
      </w:r>
      <w:r w:rsidR="009E021F" w:rsidRPr="00662E51">
        <w:rPr>
          <w:szCs w:val="24"/>
        </w:rPr>
        <w:t xml:space="preserve"> </w:t>
      </w:r>
      <w:r w:rsidRPr="00662E51">
        <w:rPr>
          <w:szCs w:val="24"/>
        </w:rPr>
        <w:t>Only in the 2014 consultation</w:t>
      </w:r>
      <w:r w:rsidR="00350AA2">
        <w:rPr>
          <w:szCs w:val="24"/>
        </w:rPr>
        <w:t xml:space="preserve">, </w:t>
      </w:r>
      <w:r w:rsidRPr="00662E51">
        <w:rPr>
          <w:szCs w:val="24"/>
        </w:rPr>
        <w:t>and after Option 3 was chosen</w:t>
      </w:r>
      <w:r w:rsidR="00350AA2">
        <w:rPr>
          <w:szCs w:val="24"/>
        </w:rPr>
        <w:t xml:space="preserve">, </w:t>
      </w:r>
      <w:r w:rsidRPr="00662E51">
        <w:rPr>
          <w:szCs w:val="24"/>
        </w:rPr>
        <w:t xml:space="preserve">does the Council </w:t>
      </w:r>
      <w:r w:rsidRPr="00662E51">
        <w:rPr>
          <w:szCs w:val="24"/>
        </w:rPr>
        <w:fldChar w:fldCharType="begin"/>
      </w:r>
      <w:r w:rsidR="008835AB" w:rsidRPr="00662E51">
        <w:rPr>
          <w:szCs w:val="24"/>
        </w:rPr>
        <w:instrText xml:space="preserve"> ADDIN ZOTERO_ITEM CSL_CITATION {"citationID":"SRQocZaX","properties":{"formattedCitation":"(2014, 28)","plainCitation":"(2014, 28)","noteIndex":0},"citationItems":[{"id":5648,"uris":["http://zotero.org/users/8977980/items/QYPUBGC9"],"itemData":{"id":5648,"type":"report","publisher":"Haringey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locator":"28","label":"page","suppress-author":true}],"schema":"https://github.com/citation-style-language/schema/raw/master/csl-citation.json"} </w:instrText>
      </w:r>
      <w:r w:rsidRPr="00662E51">
        <w:rPr>
          <w:szCs w:val="24"/>
        </w:rPr>
        <w:fldChar w:fldCharType="separate"/>
      </w:r>
      <w:r w:rsidR="0095662D" w:rsidRPr="00662E51">
        <w:t>(2014, 28)</w:t>
      </w:r>
      <w:r w:rsidRPr="00662E51">
        <w:rPr>
          <w:szCs w:val="24"/>
        </w:rPr>
        <w:fldChar w:fldCharType="end"/>
      </w:r>
      <w:r w:rsidRPr="00662E51">
        <w:rPr>
          <w:szCs w:val="24"/>
        </w:rPr>
        <w:t xml:space="preserve"> write that to “bring the changes you’ve told us you want to see, a number of properties would need to be acquired and demolished…”. The language here is instructive: the decision to knock down homes is linked to an apparent need to improve the area and is justified through previous consultations—effectively pinning the outcome on residents’ desires, </w:t>
      </w:r>
      <w:r w:rsidR="005A1574" w:rsidRPr="00662E51">
        <w:rPr>
          <w:szCs w:val="24"/>
        </w:rPr>
        <w:t xml:space="preserve">while simultaneously </w:t>
      </w:r>
      <w:r w:rsidRPr="00662E51">
        <w:rPr>
          <w:szCs w:val="24"/>
        </w:rPr>
        <w:t>obfuscating the Council’s internal</w:t>
      </w:r>
      <w:r w:rsidRPr="00662E51">
        <w:rPr>
          <w:rFonts w:cs="Times New Roman"/>
          <w:szCs w:val="24"/>
        </w:rPr>
        <w:t xml:space="preserve"> decision-making processes that had already chose to demolish Love Lane estate. </w:t>
      </w:r>
      <w:r w:rsidRPr="00662E51">
        <w:rPr>
          <w:szCs w:val="24"/>
        </w:rPr>
        <w:t xml:space="preserve"> </w:t>
      </w:r>
    </w:p>
    <w:p w14:paraId="1590CB34" w14:textId="77777777" w:rsidR="00621C17" w:rsidRDefault="00621C17" w:rsidP="00F56305">
      <w:pPr>
        <w:tabs>
          <w:tab w:val="left" w:pos="546"/>
        </w:tabs>
        <w:spacing w:line="360" w:lineRule="auto"/>
        <w:ind w:left="0"/>
        <w:rPr>
          <w:szCs w:val="24"/>
        </w:rPr>
      </w:pPr>
      <w:r w:rsidRPr="00662E51">
        <w:rPr>
          <w:szCs w:val="24"/>
        </w:rPr>
        <w:tab/>
      </w:r>
      <w:r w:rsidRPr="00662E51">
        <w:rPr>
          <w:szCs w:val="24"/>
        </w:rPr>
        <w:tab/>
        <w:t xml:space="preserve">The above illustrates how residents’ choices were continuously constrained by the Council’s </w:t>
      </w:r>
      <w:r w:rsidRPr="00662E51">
        <w:rPr>
          <w:i/>
          <w:iCs/>
          <w:szCs w:val="24"/>
        </w:rPr>
        <w:t>a priori</w:t>
      </w:r>
      <w:r w:rsidRPr="00662E51">
        <w:rPr>
          <w:szCs w:val="24"/>
        </w:rPr>
        <w:t xml:space="preserve"> setting of policy boundaries. As has been demonstrated, consultations rarely let residents actually decide what is going to happen: Haringey Council’s Labour leaders already decided that Love Lane was going to be regenerated as part of the post-2011 response, which as noted elsewhere was ossified by the local Labour Party’s structure. Instead, residents were just deciding on the margins as opposed to the broad scope of the plan. For instance, Tissier noted that all of his work on Love Lane was “all set within the constraints of the master plan” that was decided in advance</w:t>
      </w:r>
      <w:r w:rsidRPr="00662E51">
        <w:rPr>
          <w:i/>
          <w:iCs/>
          <w:szCs w:val="24"/>
        </w:rPr>
        <w:t xml:space="preserve"> </w:t>
      </w:r>
      <w:r w:rsidRPr="00662E51">
        <w:rPr>
          <w:szCs w:val="24"/>
        </w:rPr>
        <w:t>by Haringey Council, thereby narrowing the space for dissent. Indeed, Tissier said, “[politicians] always talk about the local community being one of the key stakeholders, but the power… that the local community has in these processes is absolutely zero” because the planning process relegates genuine community engagement to these consultations. He continues,</w:t>
      </w:r>
    </w:p>
    <w:p w14:paraId="4CCF385D" w14:textId="77777777" w:rsidR="00AE287B" w:rsidRPr="00662E51" w:rsidRDefault="00AE287B" w:rsidP="00AE287B">
      <w:pPr>
        <w:tabs>
          <w:tab w:val="left" w:pos="546"/>
        </w:tabs>
        <w:ind w:left="0"/>
        <w:rPr>
          <w:szCs w:val="24"/>
        </w:rPr>
      </w:pPr>
    </w:p>
    <w:p w14:paraId="6ED04CE0" w14:textId="77777777" w:rsidR="00621C17" w:rsidRDefault="00621C17" w:rsidP="00AE287B">
      <w:pPr>
        <w:tabs>
          <w:tab w:val="left" w:pos="546"/>
        </w:tabs>
        <w:ind w:left="720"/>
        <w:rPr>
          <w:szCs w:val="24"/>
        </w:rPr>
      </w:pPr>
      <w:r w:rsidRPr="00662E51">
        <w:rPr>
          <w:szCs w:val="24"/>
        </w:rPr>
        <w:t>Community engagement is always a kind of like ‘this is what we [the Council] think… What do you [the resident] think?’ type thing rather than actually sort of really getting in there deep and talking to local people… and saying, ‘what is it that you would like to change?’</w:t>
      </w:r>
    </w:p>
    <w:p w14:paraId="03A38790" w14:textId="77777777" w:rsidR="00AE287B" w:rsidRPr="00662E51" w:rsidRDefault="00AE287B" w:rsidP="00AE287B">
      <w:pPr>
        <w:tabs>
          <w:tab w:val="left" w:pos="546"/>
        </w:tabs>
        <w:ind w:left="720"/>
        <w:rPr>
          <w:szCs w:val="24"/>
        </w:rPr>
      </w:pPr>
    </w:p>
    <w:p w14:paraId="4822160D" w14:textId="09B327B5" w:rsidR="00621C17" w:rsidRPr="00662E51" w:rsidRDefault="00621C17" w:rsidP="00F56305">
      <w:pPr>
        <w:tabs>
          <w:tab w:val="left" w:pos="546"/>
        </w:tabs>
        <w:spacing w:line="360" w:lineRule="auto"/>
        <w:ind w:left="0"/>
        <w:rPr>
          <w:szCs w:val="24"/>
        </w:rPr>
      </w:pPr>
      <w:r w:rsidRPr="00662E51">
        <w:rPr>
          <w:szCs w:val="24"/>
        </w:rPr>
        <w:t xml:space="preserve">This was echoed by Councillor 1 who discussed a review of the scheme conducted by a colleague. The review involved “taking evidence” from stakeholders, and speaking to Love Lane residents, local churches, and THFC. It is telling that Councillor 1 said the chair of the review “put a pen to paper on a series of </w:t>
      </w:r>
      <w:r w:rsidRPr="00662E51">
        <w:rPr>
          <w:szCs w:val="24"/>
        </w:rPr>
        <w:lastRenderedPageBreak/>
        <w:t xml:space="preserve">recommendations,” and so Councillor 1 would only support the scheme with “those kind of caveats.” What matters is that Councillor 1 saw this institutionalised tinkering of the scheme as enough to give their backing, rather than concrete support from their constituents or local residents. Similarly, although Love Lane residents did have some say in deciding the developer partner for the estate, this was limited to only a handful of members of the estate’s Residents Association </w:t>
      </w:r>
      <w:r w:rsidRPr="00662E51">
        <w:rPr>
          <w:szCs w:val="24"/>
        </w:rPr>
        <w:fldChar w:fldCharType="begin"/>
      </w:r>
      <w:r w:rsidR="008835AB" w:rsidRPr="00662E51">
        <w:rPr>
          <w:szCs w:val="24"/>
        </w:rPr>
        <w:instrText xml:space="preserve"> ADDIN ZOTERO_ITEM CSL_CITATION {"citationID":"n9sFUxiA","properties":{"formattedCitation":"(Lovell 2017)","plainCitation":"(Lovell 2017)","noteIndex":0},"citationItems":[{"id":6457,"uris":["http://zotero.org/users/8977980/items/NYNPI9BT"],"itemData":{"id":6457,"type":"report","publisher":"London Borough of Haringey","publisher-place":"London (UK), United Kingdom","title":"High Road West Regeneration Scheme - appointment of a preferred bidder and next steps","URL":"https://www.minutes.haringey.gov.uk/documents/s96091/HRW%20Developer%20Cabinet%20Report%20V15.PDf%2018.33.pdf","author":[{"family":"Lovell","given":"Sarah"}],"issued":{"date-parts":[["2017",9,12]]}}}],"schema":"https://github.com/citation-style-language/schema/raw/master/csl-citation.json"} </w:instrText>
      </w:r>
      <w:r w:rsidRPr="00662E51">
        <w:rPr>
          <w:szCs w:val="24"/>
        </w:rPr>
        <w:fldChar w:fldCharType="separate"/>
      </w:r>
      <w:r w:rsidR="0095662D" w:rsidRPr="00662E51">
        <w:t>(Lovell 2017)</w:t>
      </w:r>
      <w:r w:rsidRPr="00662E51">
        <w:rPr>
          <w:szCs w:val="24"/>
        </w:rPr>
        <w:fldChar w:fldCharType="end"/>
      </w:r>
      <w:r w:rsidRPr="00662E51">
        <w:rPr>
          <w:szCs w:val="24"/>
        </w:rPr>
        <w:t>.</w:t>
      </w:r>
      <w:r w:rsidR="00A140F1">
        <w:rPr>
          <w:szCs w:val="24"/>
        </w:rPr>
        <w:t xml:space="preserve"> </w:t>
      </w:r>
      <w:r w:rsidRPr="00662E51">
        <w:rPr>
          <w:szCs w:val="24"/>
        </w:rPr>
        <w:t xml:space="preserve">Horton and Penny </w:t>
      </w:r>
      <w:r w:rsidRPr="00662E51">
        <w:rPr>
          <w:szCs w:val="24"/>
        </w:rPr>
        <w:fldChar w:fldCharType="begin"/>
      </w:r>
      <w:r w:rsidR="008835AB" w:rsidRPr="00662E51">
        <w:rPr>
          <w:szCs w:val="24"/>
        </w:rPr>
        <w:instrText xml:space="preserve"> ADDIN ZOTERO_ITEM CSL_CITATION {"citationID":"twPM4MNA","properties":{"formattedCitation":"(2024)","plainCitation":"(2024)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label":"page","suppress-author":true}],"schema":"https://github.com/citation-style-language/schema/raw/master/csl-citation.json"} </w:instrText>
      </w:r>
      <w:r w:rsidRPr="00662E51">
        <w:rPr>
          <w:szCs w:val="24"/>
        </w:rPr>
        <w:fldChar w:fldCharType="separate"/>
      </w:r>
      <w:r w:rsidR="0095662D" w:rsidRPr="00662E51">
        <w:t>(2024)</w:t>
      </w:r>
      <w:r w:rsidRPr="00662E51">
        <w:rPr>
          <w:szCs w:val="24"/>
        </w:rPr>
        <w:fldChar w:fldCharType="end"/>
      </w:r>
      <w:r w:rsidRPr="00662E51">
        <w:rPr>
          <w:szCs w:val="24"/>
        </w:rPr>
        <w:t xml:space="preserve"> </w:t>
      </w:r>
      <w:r w:rsidR="00A140F1">
        <w:rPr>
          <w:szCs w:val="24"/>
        </w:rPr>
        <w:t xml:space="preserve">likewise </w:t>
      </w:r>
      <w:r w:rsidRPr="00662E51">
        <w:rPr>
          <w:szCs w:val="24"/>
        </w:rPr>
        <w:t xml:space="preserve">recount how Haringey’s planning consultations for nearby developments were equally constrained. Critically, consultation and balloting processes can induce what Davidson et al. </w:t>
      </w:r>
      <w:r w:rsidRPr="00662E51">
        <w:rPr>
          <w:szCs w:val="24"/>
        </w:rPr>
        <w:fldChar w:fldCharType="begin"/>
      </w:r>
      <w:r w:rsidR="0027380A" w:rsidRPr="00662E51">
        <w:rPr>
          <w:szCs w:val="24"/>
        </w:rPr>
        <w:instrText xml:space="preserve"> ADDIN ZOTERO_ITEM CSL_CITATION {"citationID":"u4B4KGXa","properties":{"formattedCitation":"(2013)","plainCitation":"(2013)","noteIndex":0},"citationItems":[{"id":5771,"uris":["http://zotero.org/users/8977980/items/DC73HLP5"],"itemData":{"id":5771,"type":"article-journal","container-title":"Journal of Urban Regeneration and Renewal","language":"en","source":"hstalks.com","title":"‘It’ll get worse before it gets better’: Local experiences of living in a regeneration area","title-short":"‘It’ll get worse before it gets better’","URL":"doi.org/10.69554/WREP1300","author":[{"family":"Davidson","given":"Gill"},{"family":"Mcguinness","given":"David"},{"family":"Greenhalgh","given":"Paul"},{"family":"Braidford","given":"Paul"},{"family":"Robinson","given":"Fred"}],"accessed":{"date-parts":[["2024",6,21]]},"issued":{"date-parts":[["2013",9,1]]}},"label":"page","suppress-author":true}],"schema":"https://github.com/citation-style-language/schema/raw/master/csl-citation.json"} </w:instrText>
      </w:r>
      <w:r w:rsidRPr="00662E51">
        <w:rPr>
          <w:szCs w:val="24"/>
        </w:rPr>
        <w:fldChar w:fldCharType="separate"/>
      </w:r>
      <w:r w:rsidR="0095662D" w:rsidRPr="00662E51">
        <w:t>(2013)</w:t>
      </w:r>
      <w:r w:rsidRPr="00662E51">
        <w:rPr>
          <w:szCs w:val="24"/>
        </w:rPr>
        <w:fldChar w:fldCharType="end"/>
      </w:r>
      <w:r w:rsidRPr="00662E51">
        <w:rPr>
          <w:szCs w:val="24"/>
        </w:rPr>
        <w:t xml:space="preserve"> call “consultation fatigue,” meaning that people who should be consulted end up exhausted and uninterested in the prospect of yet an additional round of consultation</w:t>
      </w:r>
      <w:r w:rsidR="00165C49">
        <w:rPr>
          <w:szCs w:val="24"/>
        </w:rPr>
        <w:t>. The end result is a weakened and worn down populace who become more willing to acquiesce</w:t>
      </w:r>
      <w:r w:rsidR="0074264B">
        <w:rPr>
          <w:szCs w:val="24"/>
        </w:rPr>
        <w:t xml:space="preserve"> </w:t>
      </w:r>
      <w:r w:rsidR="0074264B">
        <w:rPr>
          <w:szCs w:val="24"/>
        </w:rPr>
        <w:fldChar w:fldCharType="begin"/>
      </w:r>
      <w:r w:rsidR="00546C4F">
        <w:rPr>
          <w:szCs w:val="24"/>
        </w:rPr>
        <w:instrText xml:space="preserve"> ADDIN ZOTERO_ITEM CSL_CITATION {"citationID":"00UoriWp","properties":{"formattedCitation":"(Emejulu and Bassel 2020)","plainCitation":"(Emejulu and Bassel 2020)","noteIndex":0},"citationItems":[{"id":5125,"uris":["http://zotero.org/users/8977980/items/XLEQE7EK"],"itemData":{"id":5125,"type":"article-journal","abstract":"Drawing on our comparative research project conducted in six European cities, this article proposes a tentative politics of exhaustion as a way to understand the promise and perils of women of colour activists’ solidarity work. Through an examination of how women of colour activists strategise, organise and mobilise, we demonstrate the political and psychological impact of exhaustion. To declare exhaustion, we argue, is to hail the equally exhausted to build solidarity. Understanding the politics of exhaustion can help shed light on the creative practices of women of colour activists in European cities today, as well as highlight the structural processes that demand activists’ exhaustion.","container-title":"City","DOI":"10.1080/13604813.2020.1739439","ISSN":"1360-4813","issue":"1-2","note":"_eprint: https://doi.org/10.1080/13604813.2020.1739439","page":"400-406","publisher":"Routledge","source":"Taylor and Francis+NEJM","title":"The politics of exhaustion","volume":"24","author":[{"family":"Emejulu","given":"Akwugo"},{"family":"Bassel","given":"Leah"}],"issued":{"date-parts":[["2020",3,3]]}}}],"schema":"https://github.com/citation-style-language/schema/raw/master/csl-citation.json"} </w:instrText>
      </w:r>
      <w:r w:rsidR="0074264B">
        <w:rPr>
          <w:szCs w:val="24"/>
        </w:rPr>
        <w:fldChar w:fldCharType="separate"/>
      </w:r>
      <w:r w:rsidR="0074264B" w:rsidRPr="00E24F3A">
        <w:t>(Emejulu and Bassel 2020)</w:t>
      </w:r>
      <w:r w:rsidR="0074264B">
        <w:rPr>
          <w:szCs w:val="24"/>
        </w:rPr>
        <w:fldChar w:fldCharType="end"/>
      </w:r>
      <w:r w:rsidR="0074264B" w:rsidRPr="00362DA5">
        <w:rPr>
          <w:szCs w:val="24"/>
        </w:rPr>
        <w:t>.</w:t>
      </w:r>
      <w:r w:rsidRPr="00662E51">
        <w:rPr>
          <w:szCs w:val="24"/>
        </w:rPr>
        <w:t xml:space="preserve"> In the case of Love Lane, Tissier recalls that the impending estate demolition caused severe distress for not only permanent residents but also the temporary residents moved to Love Lane. These marginalised residents did not have the time, space, or resources to adequately engage with the described complex consultation process. This slice of HRW consultations has accordingly illustrated how local states insulate themselves from opposition. However, these manoeuvres should also be understood as disciplining the populace—the insistence on using formal consultation methods forecloses the option of a StopHDV-style resistance </w:t>
      </w:r>
      <w:r w:rsidRPr="00662E51">
        <w:rPr>
          <w:szCs w:val="24"/>
        </w:rPr>
        <w:fldChar w:fldCharType="begin"/>
      </w:r>
      <w:r w:rsidR="008835AB" w:rsidRPr="00662E51">
        <w:rPr>
          <w:szCs w:val="24"/>
        </w:rPr>
        <w:instrText xml:space="preserve"> ADDIN ZOTERO_ITEM CSL_CITATION {"citationID":"dLaQCTTg","properties":{"formattedCitation":"(Horton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that nearly all my participants are and were aligned with. </w:t>
      </w:r>
    </w:p>
    <w:p w14:paraId="5EB4C11F" w14:textId="77777777" w:rsidR="00621C17" w:rsidRPr="00662E51" w:rsidRDefault="00621C17" w:rsidP="00F56305">
      <w:pPr>
        <w:tabs>
          <w:tab w:val="left" w:pos="546"/>
        </w:tabs>
        <w:spacing w:line="360" w:lineRule="auto"/>
        <w:ind w:left="0"/>
        <w:rPr>
          <w:szCs w:val="24"/>
        </w:rPr>
      </w:pPr>
    </w:p>
    <w:p w14:paraId="546C3BCD" w14:textId="06BD022F" w:rsidR="004026DD" w:rsidRPr="00662E51" w:rsidRDefault="00621C17" w:rsidP="00F56305">
      <w:pPr>
        <w:pStyle w:val="Heading4"/>
        <w:spacing w:before="0" w:after="0"/>
        <w:rPr>
          <w:i/>
          <w:iCs/>
        </w:rPr>
      </w:pPr>
      <w:bookmarkStart w:id="475" w:name="_Toc221184377"/>
      <w:r w:rsidRPr="00662E51">
        <w:t>Estate Balloting</w:t>
      </w:r>
      <w:bookmarkEnd w:id="475"/>
      <w:r w:rsidR="00836748">
        <w:t>:</w:t>
      </w:r>
    </w:p>
    <w:p w14:paraId="7BD63C96" w14:textId="66DC802E" w:rsidR="00F87F08" w:rsidRDefault="00621C17" w:rsidP="00F56305">
      <w:pPr>
        <w:pStyle w:val="Newparagraph"/>
        <w:spacing w:line="360" w:lineRule="auto"/>
        <w:jc w:val="both"/>
        <w:rPr>
          <w:rFonts w:ascii="Century Schoolbook" w:hAnsi="Century Schoolbook"/>
        </w:rPr>
      </w:pPr>
      <w:r w:rsidRPr="00662E51">
        <w:rPr>
          <w:rFonts w:ascii="Century Schoolbook" w:hAnsi="Century Schoolbook"/>
        </w:rPr>
        <w:t xml:space="preserve">Yet, it is true that many Love Lane residents supported the tearing down of the estate and later voted to demolish the estate. This subsection examines this secret ballot, which would allow the residents of an estate slated for regeneration the right to stop the process via a simple majority vote of residents </w:t>
      </w:r>
      <w:r w:rsidRPr="00662E51">
        <w:rPr>
          <w:rFonts w:ascii="Century Schoolbook" w:hAnsi="Century Schoolbook"/>
        </w:rPr>
        <w:fldChar w:fldCharType="begin"/>
      </w:r>
      <w:r w:rsidR="008835AB" w:rsidRPr="00662E51">
        <w:rPr>
          <w:rFonts w:ascii="Century Schoolbook" w:hAnsi="Century Schoolbook"/>
        </w:rPr>
        <w:instrText xml:space="preserve"> ADDIN ZOTERO_ITEM CSL_CITATION {"citationID":"clIDFhVV","properties":{"formattedCitation":"(Lees and White 2020)","plainCitation":"(Lees and White 2020)","noteIndex":0},"citationItems":[{"id":664,"uris":["http://zotero.org/users/8977980/items/XQQFXVDC"],"itemData":{"id":664,"type":"article-journal","abstract":"London’s council estates and their residents are under threat like never before. Council tenants are being forced out of their homes due to estate renewal, welfare reforms, poverty, and the precarity of low-income work. Social cleansing can be understood as a geographical project made up of processes, practices, and policies designed to remove council estate residents from space and place, what we call a ‘new accumulative form of (state-led) gentrification’. We outline these accumulative processes, practices and policies, but more importantly we present grounded, empirical evidence of council tenants and leaseholders’ everyday experiences of dispossession, focusing our lens on three south London boroughs identified as eviction hotspots.","container-title":"Housing Studies","DOI":"10.1080/02673037.2019.1680814","ISSN":"0267-3037","issue":"10","note":"_eprint: https://doi.org/10.1080/02673037.2019.1680814","page":"1701-1722","publisher":"Routledge","source":"Taylor and Francis+NEJM","title":"The social cleansing of London council estates: everyday experiences of ‘accumulative dispossession’","title-short":"The social cleansing of London council estates","volume":"35","author":[{"family":"Lees","given":"Loretta"},{"family":"White","given":"Hannah"}],"issued":{"date-parts":[["2020",11,25]]}}}],"schema":"https://github.com/citation-style-language/schema/raw/master/csl-citation.json"} </w:instrText>
      </w:r>
      <w:r w:rsidRPr="00662E51">
        <w:rPr>
          <w:rFonts w:ascii="Century Schoolbook" w:hAnsi="Century Schoolbook"/>
        </w:rPr>
        <w:fldChar w:fldCharType="separate"/>
      </w:r>
      <w:r w:rsidR="0095662D" w:rsidRPr="00662E51">
        <w:rPr>
          <w:rFonts w:ascii="Century Schoolbook" w:hAnsi="Century Schoolbook"/>
        </w:rPr>
        <w:t>(Lees and White 2020)</w:t>
      </w:r>
      <w:r w:rsidRPr="00662E51">
        <w:rPr>
          <w:rFonts w:ascii="Century Schoolbook" w:hAnsi="Century Schoolbook"/>
        </w:rPr>
        <w:fldChar w:fldCharType="end"/>
      </w:r>
      <w:r w:rsidRPr="00662E51">
        <w:rPr>
          <w:rFonts w:ascii="Century Schoolbook" w:hAnsi="Century Schoolbook"/>
        </w:rPr>
        <w:t xml:space="preserve">. In theory, residents have the final say. Instead of viewing the outcome as a true reflection of the residents’ desires, however, activists identified several factors that rendered estate ballots as suspect. First, Activist 1 told me that there is an inherent “power relation between housing officers and tenants,” meaning that in </w:t>
      </w:r>
      <w:r w:rsidRPr="00662E51">
        <w:rPr>
          <w:rFonts w:ascii="Century Schoolbook" w:hAnsi="Century Schoolbook"/>
        </w:rPr>
        <w:lastRenderedPageBreak/>
        <w:t>practice, residents feel intimidated to vote</w:t>
      </w:r>
      <w:r w:rsidR="00F61055">
        <w:rPr>
          <w:rFonts w:ascii="Century Schoolbook" w:hAnsi="Century Schoolbook"/>
        </w:rPr>
        <w:t xml:space="preserve"> in favour</w:t>
      </w:r>
      <w:r w:rsidRPr="00662E51">
        <w:rPr>
          <w:rFonts w:ascii="Century Schoolbook" w:hAnsi="Century Schoolbook"/>
        </w:rPr>
        <w:t>. Both Activists 1 and 2 relayed three to four tenants who felt personally intimidated: Activist 2</w:t>
      </w:r>
      <w:r w:rsidR="006E3C13" w:rsidRPr="00662E51">
        <w:rPr>
          <w:rFonts w:ascii="Century Schoolbook" w:hAnsi="Century Schoolbook"/>
        </w:rPr>
        <w:t>, recounting her experience of canvassing Love Lane estate residents, said</w:t>
      </w:r>
      <w:r w:rsidR="00AE287B">
        <w:rPr>
          <w:rFonts w:ascii="Century Schoolbook" w:hAnsi="Century Schoolbook"/>
        </w:rPr>
        <w:t>,</w:t>
      </w:r>
    </w:p>
    <w:p w14:paraId="01628E31" w14:textId="77777777" w:rsidR="00AE287B" w:rsidRPr="00662E51" w:rsidRDefault="00AE287B" w:rsidP="00AE287B">
      <w:pPr>
        <w:pStyle w:val="Newparagraph"/>
        <w:spacing w:line="240" w:lineRule="auto"/>
        <w:jc w:val="both"/>
        <w:rPr>
          <w:rFonts w:ascii="Century Schoolbook" w:hAnsi="Century Schoolbook"/>
        </w:rPr>
      </w:pPr>
    </w:p>
    <w:p w14:paraId="6309FF08" w14:textId="342E539B" w:rsidR="00F87F08" w:rsidRDefault="006E3C13" w:rsidP="00AE287B">
      <w:pPr>
        <w:pStyle w:val="Newparagraph"/>
        <w:spacing w:line="240" w:lineRule="auto"/>
        <w:ind w:left="720" w:firstLine="0"/>
        <w:rPr>
          <w:rFonts w:ascii="Century Schoolbook" w:hAnsi="Century Schoolbook"/>
        </w:rPr>
      </w:pPr>
      <w:r w:rsidRPr="00662E51">
        <w:rPr>
          <w:rFonts w:ascii="Century Schoolbook" w:hAnsi="Century Schoolbook"/>
        </w:rPr>
        <w:t xml:space="preserve">we spoke to a few people who told me… </w:t>
      </w:r>
      <w:r w:rsidR="00B952EA" w:rsidRPr="00662E51">
        <w:rPr>
          <w:rFonts w:ascii="Century Schoolbook" w:hAnsi="Century Schoolbook"/>
        </w:rPr>
        <w:t>“I'm old lady and I'm foreign,” is what she said to me. And she said “I don't want to cause any trouble here</w:t>
      </w:r>
      <w:r w:rsidR="00DF64A1" w:rsidRPr="00662E51">
        <w:rPr>
          <w:rFonts w:ascii="Century Schoolbook" w:hAnsi="Century Schoolbook"/>
        </w:rPr>
        <w:t xml:space="preserve">, </w:t>
      </w:r>
      <w:r w:rsidR="00B952EA" w:rsidRPr="00662E51">
        <w:rPr>
          <w:rFonts w:ascii="Century Schoolbook" w:hAnsi="Century Schoolbook"/>
        </w:rPr>
        <w:t>even though I don't want them to knock it down. Basically, I've voted yes because I'm afraid</w:t>
      </w:r>
      <w:r w:rsidR="00DF64A1" w:rsidRPr="00662E51">
        <w:rPr>
          <w:rFonts w:ascii="Century Schoolbook" w:hAnsi="Century Schoolbook"/>
        </w:rPr>
        <w:t>.”</w:t>
      </w:r>
      <w:r w:rsidR="00B952EA" w:rsidRPr="00662E51">
        <w:rPr>
          <w:rFonts w:ascii="Century Schoolbook" w:hAnsi="Century Schoolbook"/>
        </w:rPr>
        <w:t xml:space="preserve"> I think she was possibly from Eastern Europe but she's obviously been here for a long time and I think this was what we</w:t>
      </w:r>
      <w:r w:rsidR="00DF64A1" w:rsidRPr="00662E51">
        <w:rPr>
          <w:rFonts w:ascii="Century Schoolbook" w:hAnsi="Century Schoolbook"/>
        </w:rPr>
        <w:t xml:space="preserve"> p</w:t>
      </w:r>
      <w:r w:rsidR="00B952EA" w:rsidRPr="00662E51">
        <w:rPr>
          <w:rFonts w:ascii="Century Schoolbook" w:hAnsi="Century Schoolbook"/>
        </w:rPr>
        <w:t>icked up from a lot of people.</w:t>
      </w:r>
    </w:p>
    <w:p w14:paraId="384F9A6A" w14:textId="77777777" w:rsidR="00AE287B" w:rsidRPr="00662E51" w:rsidRDefault="00AE287B" w:rsidP="00AE287B">
      <w:pPr>
        <w:pStyle w:val="Newparagraph"/>
        <w:spacing w:line="240" w:lineRule="auto"/>
        <w:ind w:left="720" w:firstLine="0"/>
        <w:rPr>
          <w:rFonts w:ascii="Century Schoolbook" w:hAnsi="Century Schoolbook"/>
        </w:rPr>
      </w:pPr>
    </w:p>
    <w:p w14:paraId="1DC4AEA1" w14:textId="0294F2FC" w:rsidR="0022699B" w:rsidRPr="000B4302" w:rsidRDefault="00205C88" w:rsidP="000B4302">
      <w:pPr>
        <w:pStyle w:val="Newparagraph"/>
        <w:spacing w:line="360" w:lineRule="auto"/>
        <w:ind w:firstLine="0"/>
        <w:jc w:val="both"/>
        <w:rPr>
          <w:rFonts w:ascii="Century Schoolbook" w:hAnsi="Century Schoolbook"/>
          <w:i/>
          <w:iCs/>
        </w:rPr>
      </w:pPr>
      <w:r w:rsidRPr="00662E51">
        <w:rPr>
          <w:rFonts w:ascii="Century Schoolbook" w:hAnsi="Century Schoolbook"/>
        </w:rPr>
        <w:t xml:space="preserve">This is true </w:t>
      </w:r>
      <w:r w:rsidR="00621C17" w:rsidRPr="00662E51">
        <w:rPr>
          <w:rFonts w:ascii="Century Schoolbook" w:hAnsi="Century Schoolbook"/>
        </w:rPr>
        <w:t>even though the ballot is secret—emphasising the pressure residents felt. Activist</w:t>
      </w:r>
      <w:r w:rsidR="007A62EC" w:rsidRPr="00662E51">
        <w:rPr>
          <w:rFonts w:ascii="Century Schoolbook" w:hAnsi="Century Schoolbook"/>
        </w:rPr>
        <w:t xml:space="preserve"> </w:t>
      </w:r>
      <w:r w:rsidR="00621C17" w:rsidRPr="00662E51">
        <w:rPr>
          <w:rFonts w:ascii="Century Schoolbook" w:hAnsi="Century Schoolbook"/>
        </w:rPr>
        <w:t xml:space="preserve">1 </w:t>
      </w:r>
      <w:r w:rsidR="007A62EC" w:rsidRPr="00662E51">
        <w:rPr>
          <w:rFonts w:ascii="Century Schoolbook" w:hAnsi="Century Schoolbook"/>
        </w:rPr>
        <w:t xml:space="preserve">also </w:t>
      </w:r>
      <w:r w:rsidR="00621C17" w:rsidRPr="00662E51">
        <w:rPr>
          <w:rFonts w:ascii="Century Schoolbook" w:hAnsi="Century Schoolbook"/>
        </w:rPr>
        <w:t xml:space="preserve">recalled </w:t>
      </w:r>
      <w:r w:rsidR="00621C17" w:rsidRPr="000B4302">
        <w:rPr>
          <w:rFonts w:ascii="Century Schoolbook" w:hAnsi="Century Schoolbook"/>
        </w:rPr>
        <w:t>an older Black resident who stated he had been repeatedly asked to vote</w:t>
      </w:r>
      <w:r w:rsidR="00C47500" w:rsidRPr="000B4302">
        <w:rPr>
          <w:rFonts w:ascii="Century Schoolbook" w:hAnsi="Century Schoolbook"/>
        </w:rPr>
        <w:t>, who “felt intimidated” by council staff</w:t>
      </w:r>
      <w:r w:rsidR="00621C17" w:rsidRPr="000B4302">
        <w:rPr>
          <w:rFonts w:ascii="Century Schoolbook" w:hAnsi="Century Schoolbook"/>
        </w:rPr>
        <w:t xml:space="preserve">. Tissier </w:t>
      </w:r>
      <w:r w:rsidR="00621C17" w:rsidRPr="000B4302">
        <w:rPr>
          <w:rFonts w:ascii="Century Schoolbook" w:hAnsi="Century Schoolbook"/>
        </w:rPr>
        <w:fldChar w:fldCharType="begin"/>
      </w:r>
      <w:r w:rsidR="00621C17" w:rsidRPr="000B4302">
        <w:rPr>
          <w:rFonts w:ascii="Century Schoolbook" w:hAnsi="Century Schoolbook"/>
        </w:rPr>
        <w:instrText xml:space="preserve"> ADDIN ZOTERO_ITEM CSL_CITATION {"citationID":"AdRb6VPQ","properties":{"formattedCitation":"(2021)","plainCitation":"(2021)","noteIndex":0},"citationItems":[{"id":5174,"uris":["http://zotero.org/users/8977980/items/VMYELFEM"],"itemData":{"id":5174,"type":"post-weblog","abstract":"open-letter-by-damian-tissier-22-09-2021Download THE LOVE LANE BALLOT AN OPEN LETTER From: Damian Tissier, Independent Tenant and Leaseholder Advisor at Love Lane To: Date: Dear , In March 2020, El…","container-title":"Haringey Defend Council Housing","language":"en","title":"Open letter on the Love Lane Ballot","URL":"https://haringeydefendcouncilhousingblog.wordpress.com/2021/09/19/open-letter-on-the-love-lane-ballot/","author":[{"family":"Tissier","given":"Damian"}],"accessed":{"date-parts":[["2023",9,27]]},"issued":{"date-parts":[["2021",9,19]]}},"label":"page","suppress-author":true}],"schema":"https://github.com/citation-style-language/schema/raw/master/csl-citation.json"} </w:instrText>
      </w:r>
      <w:r w:rsidR="00621C17" w:rsidRPr="000B4302">
        <w:rPr>
          <w:rFonts w:ascii="Century Schoolbook" w:hAnsi="Century Schoolbook"/>
        </w:rPr>
        <w:fldChar w:fldCharType="separate"/>
      </w:r>
      <w:r w:rsidR="0095662D" w:rsidRPr="000B4302">
        <w:rPr>
          <w:rFonts w:ascii="Century Schoolbook" w:hAnsi="Century Schoolbook"/>
        </w:rPr>
        <w:t>(2021)</w:t>
      </w:r>
      <w:r w:rsidR="00621C17" w:rsidRPr="000B4302">
        <w:rPr>
          <w:rFonts w:ascii="Century Schoolbook" w:hAnsi="Century Schoolbook"/>
        </w:rPr>
        <w:fldChar w:fldCharType="end"/>
      </w:r>
      <w:r w:rsidR="00621C17" w:rsidRPr="000B4302">
        <w:rPr>
          <w:rFonts w:ascii="Century Schoolbook" w:hAnsi="Century Schoolbook"/>
        </w:rPr>
        <w:t xml:space="preserve"> confirms: the Council’s campaign included “quite aggressive cold calling by phone and door-knocking” that amounted to  “residents been called on three occasions per day, including Sundays, and of being visited by two/three officers on more than one occasions.”</w:t>
      </w:r>
      <w:r w:rsidR="000B4302" w:rsidRPr="000B4302">
        <w:rPr>
          <w:rFonts w:ascii="Century Schoolbook" w:hAnsi="Century Schoolbook"/>
        </w:rPr>
        <w:t xml:space="preserve"> </w:t>
      </w:r>
      <w:r w:rsidR="00621C17" w:rsidRPr="000B4302">
        <w:rPr>
          <w:rFonts w:ascii="Century Schoolbook" w:hAnsi="Century Schoolbook"/>
        </w:rPr>
        <w:t>Even when residents did not report feeling directly pressured to vote in favour of demolition, wider structural conditions made it difficult for residents to vote no. For instance, Activist 2 recounted the story of one mother who voted to flatten the</w:t>
      </w:r>
      <w:r w:rsidR="00056DA7" w:rsidRPr="000B4302">
        <w:rPr>
          <w:rFonts w:ascii="Century Schoolbook" w:hAnsi="Century Schoolbook"/>
        </w:rPr>
        <w:t xml:space="preserve"> estate:</w:t>
      </w:r>
      <w:r w:rsidR="00621C17" w:rsidRPr="000B4302">
        <w:rPr>
          <w:rFonts w:ascii="Century Schoolbook" w:hAnsi="Century Schoolbook"/>
        </w:rPr>
        <w:t xml:space="preserve"> </w:t>
      </w:r>
    </w:p>
    <w:p w14:paraId="6BF2413D" w14:textId="77777777" w:rsidR="00AE287B" w:rsidRDefault="00AE287B" w:rsidP="006F32A0">
      <w:pPr>
        <w:tabs>
          <w:tab w:val="left" w:pos="546"/>
        </w:tabs>
        <w:ind w:left="720"/>
        <w:rPr>
          <w:szCs w:val="24"/>
        </w:rPr>
      </w:pPr>
    </w:p>
    <w:p w14:paraId="482C74F2" w14:textId="44EDA57B" w:rsidR="00541090" w:rsidRDefault="0071249C" w:rsidP="006F32A0">
      <w:pPr>
        <w:tabs>
          <w:tab w:val="left" w:pos="546"/>
        </w:tabs>
        <w:ind w:left="720"/>
        <w:rPr>
          <w:szCs w:val="24"/>
        </w:rPr>
      </w:pPr>
      <w:r w:rsidRPr="00662E51">
        <w:rPr>
          <w:szCs w:val="24"/>
        </w:rPr>
        <w:t xml:space="preserve">She was saying “I don't wanna be in this situation. I don't want my children to be in this situation… a </w:t>
      </w:r>
      <w:r w:rsidR="00056DA7" w:rsidRPr="00662E51">
        <w:rPr>
          <w:szCs w:val="24"/>
        </w:rPr>
        <w:t>lot of people are stuck here in limbo and [the Council are] offering us something</w:t>
      </w:r>
      <w:r w:rsidRPr="00662E51">
        <w:rPr>
          <w:szCs w:val="24"/>
        </w:rPr>
        <w:t xml:space="preserve">… </w:t>
      </w:r>
      <w:r w:rsidR="00056DA7" w:rsidRPr="00662E51">
        <w:rPr>
          <w:szCs w:val="24"/>
        </w:rPr>
        <w:t>we feel like we're stuck here</w:t>
      </w:r>
      <w:r w:rsidRPr="00662E51">
        <w:rPr>
          <w:szCs w:val="24"/>
        </w:rPr>
        <w:t xml:space="preserve">. </w:t>
      </w:r>
      <w:r w:rsidR="00056DA7" w:rsidRPr="00662E51">
        <w:rPr>
          <w:szCs w:val="24"/>
        </w:rPr>
        <w:t>And they are offering us [something else].</w:t>
      </w:r>
      <w:r w:rsidRPr="00662E51">
        <w:rPr>
          <w:szCs w:val="24"/>
        </w:rPr>
        <w:t>”</w:t>
      </w:r>
      <w:r w:rsidR="00056DA7" w:rsidRPr="00662E51">
        <w:rPr>
          <w:szCs w:val="24"/>
        </w:rPr>
        <w:t xml:space="preserve"> </w:t>
      </w:r>
      <w:r w:rsidRPr="00662E51">
        <w:rPr>
          <w:szCs w:val="24"/>
        </w:rPr>
        <w:t>T</w:t>
      </w:r>
      <w:r w:rsidR="00056DA7" w:rsidRPr="00662E51">
        <w:rPr>
          <w:szCs w:val="24"/>
        </w:rPr>
        <w:t>his was sort of how I felt like they were selling it to these people. It was this very hard sel</w:t>
      </w:r>
      <w:r w:rsidR="008D4CE8" w:rsidRPr="00662E51">
        <w:rPr>
          <w:szCs w:val="24"/>
        </w:rPr>
        <w:t>l: “</w:t>
      </w:r>
      <w:r w:rsidR="00056DA7" w:rsidRPr="00662E51">
        <w:rPr>
          <w:szCs w:val="24"/>
        </w:rPr>
        <w:t>you will wait here and languish</w:t>
      </w:r>
      <w:r w:rsidR="008D4CE8" w:rsidRPr="00662E51">
        <w:rPr>
          <w:szCs w:val="24"/>
        </w:rPr>
        <w:t xml:space="preserve"> </w:t>
      </w:r>
      <w:r w:rsidR="00056DA7" w:rsidRPr="00662E51">
        <w:rPr>
          <w:szCs w:val="24"/>
        </w:rPr>
        <w:t xml:space="preserve">here for </w:t>
      </w:r>
      <w:r w:rsidR="008D4CE8" w:rsidRPr="00662E51">
        <w:rPr>
          <w:szCs w:val="24"/>
        </w:rPr>
        <w:t xml:space="preserve">twenty </w:t>
      </w:r>
      <w:r w:rsidR="00056DA7" w:rsidRPr="00662E51">
        <w:rPr>
          <w:szCs w:val="24"/>
        </w:rPr>
        <w:t>years and you</w:t>
      </w:r>
      <w:r w:rsidR="008D4CE8" w:rsidRPr="00662E51">
        <w:rPr>
          <w:szCs w:val="24"/>
        </w:rPr>
        <w:t xml:space="preserve"> [Love Lane residents] will </w:t>
      </w:r>
      <w:r w:rsidR="00056DA7" w:rsidRPr="00662E51">
        <w:rPr>
          <w:szCs w:val="24"/>
        </w:rPr>
        <w:t>be in limbo and we won</w:t>
      </w:r>
      <w:r w:rsidR="008D4CE8" w:rsidRPr="00662E51">
        <w:rPr>
          <w:szCs w:val="24"/>
        </w:rPr>
        <w:t>’</w:t>
      </w:r>
      <w:r w:rsidR="00056DA7" w:rsidRPr="00662E51">
        <w:rPr>
          <w:szCs w:val="24"/>
        </w:rPr>
        <w:t>t fix this place because it will still be destined for demolition.</w:t>
      </w:r>
      <w:r w:rsidR="008D4CE8" w:rsidRPr="00662E51">
        <w:rPr>
          <w:szCs w:val="24"/>
        </w:rPr>
        <w:t>”</w:t>
      </w:r>
      <w:r w:rsidR="00056DA7" w:rsidRPr="00662E51">
        <w:rPr>
          <w:szCs w:val="24"/>
        </w:rPr>
        <w:t xml:space="preserve"> </w:t>
      </w:r>
    </w:p>
    <w:p w14:paraId="69CEFDDB" w14:textId="77777777" w:rsidR="00AE287B" w:rsidRPr="00662E51" w:rsidRDefault="00AE287B" w:rsidP="006F32A0">
      <w:pPr>
        <w:tabs>
          <w:tab w:val="left" w:pos="546"/>
        </w:tabs>
        <w:ind w:left="720"/>
        <w:rPr>
          <w:szCs w:val="24"/>
        </w:rPr>
      </w:pPr>
    </w:p>
    <w:p w14:paraId="031636DE" w14:textId="3C145AF7" w:rsidR="00621C17" w:rsidRPr="00662E51" w:rsidRDefault="00621C17" w:rsidP="00F56305">
      <w:pPr>
        <w:tabs>
          <w:tab w:val="left" w:pos="546"/>
        </w:tabs>
        <w:spacing w:line="360" w:lineRule="auto"/>
        <w:ind w:left="0"/>
        <w:rPr>
          <w:szCs w:val="24"/>
        </w:rPr>
      </w:pPr>
      <w:r w:rsidRPr="00662E51">
        <w:rPr>
          <w:szCs w:val="24"/>
        </w:rPr>
        <w:t xml:space="preserve">All organisers told me that Council staff allegedly spoke with residents about the details of the new flats, down to the minutiae of flooring and kitchen design. Activist 3 was instructive: the Council was “taking advantage of people who didn't really understand the full implications but were being tempted with fantasy.” </w:t>
      </w:r>
    </w:p>
    <w:p w14:paraId="5703701E" w14:textId="32A9CDB8" w:rsidR="00C15EFF" w:rsidRPr="00662E51" w:rsidRDefault="00621C17" w:rsidP="00F56305">
      <w:pPr>
        <w:tabs>
          <w:tab w:val="left" w:pos="546"/>
        </w:tabs>
        <w:spacing w:line="360" w:lineRule="auto"/>
        <w:ind w:left="0"/>
        <w:rPr>
          <w:szCs w:val="24"/>
        </w:rPr>
      </w:pPr>
      <w:r w:rsidRPr="00662E51">
        <w:rPr>
          <w:szCs w:val="24"/>
        </w:rPr>
        <w:tab/>
      </w:r>
      <w:r w:rsidRPr="00662E51">
        <w:rPr>
          <w:szCs w:val="24"/>
        </w:rPr>
        <w:tab/>
        <w:t>Love Lane’s status as a destination for temporary residents highlights the</w:t>
      </w:r>
      <w:r w:rsidR="00616104" w:rsidRPr="00662E51">
        <w:rPr>
          <w:szCs w:val="24"/>
        </w:rPr>
        <w:t xml:space="preserve"> insulation and coercion at play</w:t>
      </w:r>
      <w:r w:rsidRPr="00662E51">
        <w:rPr>
          <w:szCs w:val="24"/>
        </w:rPr>
        <w:t xml:space="preserve">. Recall that many residents of the estate in 2021 were temporary residents, which had a significant effect on the outcome of the </w:t>
      </w:r>
      <w:r w:rsidRPr="00662E51">
        <w:rPr>
          <w:szCs w:val="24"/>
        </w:rPr>
        <w:lastRenderedPageBreak/>
        <w:t xml:space="preserve">ballot. Many temporary tenants will have moved to Love Lane long after the 2013-4 consultations, calling into question the level of voter awareness of different potential outcomes or whether there was a vote at all: one-third of residents declined to vote. It is possible that these residents did not know of the vote, which was indicated by my interviewees. However, if the Council was right about the intensity of their get-out-the-vote effort, then disengagement among the precarious population of temporary residents could be read as “a more gentle form of political non-compliance and disagreement” insofar as it is an “active rejection of consensus building” by declining to engage with the formal process of voting in the election </w:t>
      </w:r>
      <w:r w:rsidRPr="00662E51">
        <w:rPr>
          <w:szCs w:val="24"/>
        </w:rPr>
        <w:fldChar w:fldCharType="begin"/>
      </w:r>
      <w:r w:rsidR="008835AB" w:rsidRPr="00662E51">
        <w:rPr>
          <w:szCs w:val="24"/>
        </w:rPr>
        <w:instrText xml:space="preserve"> ADDIN ZOTERO_ITEM CSL_CITATION {"citationID":"D03RmJCm","properties":{"formattedCitation":"(Ormerod and MacLeod 2019, 327)","plainCitation":"(Ormerod and MacLeod 2019, 327)","noteIndex":0},"citationItems":[{"id":3317,"uris":["http://zotero.org/users/8977980/items/3FKCPYR3"],"itemData":{"id":3317,"type":"article-journal","abstract":"This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governance","volume":"18","author":[{"family":"Ormerod","given":"Emma"},{"family":"MacLeod","given":"Gordon"}],"issued":{"date-parts":[["2019",8,1]]}},"locator":"327"}],"schema":"https://github.com/citation-style-language/schema/raw/master/csl-citation.json"} </w:instrText>
      </w:r>
      <w:r w:rsidRPr="00662E51">
        <w:rPr>
          <w:szCs w:val="24"/>
        </w:rPr>
        <w:fldChar w:fldCharType="separate"/>
      </w:r>
      <w:r w:rsidR="0095662D" w:rsidRPr="00662E51">
        <w:t>(Ormerod and MacLeod 2019, 327)</w:t>
      </w:r>
      <w:r w:rsidRPr="00662E51">
        <w:rPr>
          <w:szCs w:val="24"/>
        </w:rPr>
        <w:fldChar w:fldCharType="end"/>
      </w:r>
      <w:r w:rsidRPr="00662E51">
        <w:rPr>
          <w:szCs w:val="24"/>
        </w:rPr>
        <w:t xml:space="preserve">. Alternatively, Tissier reported that many in this group voted for demolition because “that's [their] only chance of getting a council tenancy,” arguing that the ability to obtain a permanent, cheap flat was conditioned on Love Lane’s destruction. </w:t>
      </w:r>
      <w:r w:rsidR="006A43E9" w:rsidRPr="00662E51">
        <w:rPr>
          <w:szCs w:val="24"/>
        </w:rPr>
        <w:t>Councillor 2</w:t>
      </w:r>
      <w:r w:rsidR="006A43E9">
        <w:rPr>
          <w:szCs w:val="24"/>
        </w:rPr>
        <w:t>, for instance</w:t>
      </w:r>
      <w:r w:rsidR="006A43E9" w:rsidRPr="00662E51">
        <w:rPr>
          <w:szCs w:val="24"/>
        </w:rPr>
        <w:t>,</w:t>
      </w:r>
      <w:r w:rsidR="00DB0E04">
        <w:rPr>
          <w:szCs w:val="24"/>
        </w:rPr>
        <w:t xml:space="preserve"> said</w:t>
      </w:r>
      <w:r w:rsidR="006A43E9" w:rsidRPr="00662E51">
        <w:rPr>
          <w:szCs w:val="24"/>
        </w:rPr>
        <w:t xml:space="preserve"> “what sprung it for [</w:t>
      </w:r>
      <w:r w:rsidR="00DB0E04">
        <w:rPr>
          <w:szCs w:val="24"/>
        </w:rPr>
        <w:t>me</w:t>
      </w:r>
      <w:r w:rsidR="006A43E9" w:rsidRPr="00662E51">
        <w:rPr>
          <w:szCs w:val="24"/>
        </w:rPr>
        <w:t>] in the end”</w:t>
      </w:r>
      <w:r w:rsidR="006A43E9">
        <w:rPr>
          <w:szCs w:val="24"/>
        </w:rPr>
        <w:t xml:space="preserve"> to support the scheme</w:t>
      </w:r>
      <w:r w:rsidR="006A43E9" w:rsidRPr="00662E51">
        <w:rPr>
          <w:szCs w:val="24"/>
        </w:rPr>
        <w:t xml:space="preserve"> was that they had interacted with some current Love Lane tenants: “a couple of current tenants who came who were like, we really want this scheme to go ahead because we're gonna get swapped into this nicer new [estate].”</w:t>
      </w:r>
      <w:r w:rsidR="00DB0E04">
        <w:rPr>
          <w:szCs w:val="24"/>
        </w:rPr>
        <w:t xml:space="preserve"> </w:t>
      </w:r>
      <w:r w:rsidRPr="00662E51">
        <w:rPr>
          <w:szCs w:val="24"/>
        </w:rPr>
        <w:t xml:space="preserve">Activist 2 recounted at least a handful of residents facing similar offers from the Council. Whilst being pressured to vote is a clear form of coercion, dangling the prospect of a permanent tenancy in exchange for a vote—no matter how indirect—is </w:t>
      </w:r>
      <w:r w:rsidR="002E0270">
        <w:rPr>
          <w:szCs w:val="24"/>
        </w:rPr>
        <w:t xml:space="preserve">also </w:t>
      </w:r>
      <w:r w:rsidRPr="00662E51">
        <w:rPr>
          <w:szCs w:val="24"/>
        </w:rPr>
        <w:t xml:space="preserve">a coercive act. It is equivalent to threatening deprivation of a secure tenancy should the resident vote to </w:t>
      </w:r>
      <w:r w:rsidR="002E0270" w:rsidRPr="002E0270">
        <w:rPr>
          <w:i/>
          <w:iCs/>
          <w:szCs w:val="24"/>
        </w:rPr>
        <w:t>not</w:t>
      </w:r>
      <w:r w:rsidR="002E0270">
        <w:rPr>
          <w:szCs w:val="24"/>
        </w:rPr>
        <w:t xml:space="preserve"> </w:t>
      </w:r>
      <w:r w:rsidRPr="00662E51">
        <w:rPr>
          <w:szCs w:val="24"/>
        </w:rPr>
        <w:t xml:space="preserve">demolish Love Lane. </w:t>
      </w:r>
      <w:r w:rsidR="00124E3A">
        <w:rPr>
          <w:szCs w:val="24"/>
        </w:rPr>
        <w:t>This</w:t>
      </w:r>
      <w:r w:rsidR="00BC04E4">
        <w:rPr>
          <w:szCs w:val="24"/>
        </w:rPr>
        <w:t xml:space="preserve"> was </w:t>
      </w:r>
      <w:r w:rsidR="00124E3A">
        <w:rPr>
          <w:szCs w:val="24"/>
        </w:rPr>
        <w:t xml:space="preserve">coupled with the possibility of remaining in </w:t>
      </w:r>
      <w:r w:rsidR="00070DE8">
        <w:rPr>
          <w:szCs w:val="24"/>
        </w:rPr>
        <w:t>an estate made intentionally obsolete</w:t>
      </w:r>
      <w:r w:rsidR="00BC04E4">
        <w:rPr>
          <w:szCs w:val="24"/>
        </w:rPr>
        <w:t xml:space="preserve">, effectively coercing residents </w:t>
      </w:r>
      <w:r w:rsidR="00070DE8">
        <w:rPr>
          <w:szCs w:val="24"/>
        </w:rPr>
        <w:t xml:space="preserve">to vote for flattening Love Lane. </w:t>
      </w:r>
      <w:r w:rsidR="00C15EFF" w:rsidRPr="00662E51">
        <w:rPr>
          <w:szCs w:val="24"/>
        </w:rPr>
        <w:t xml:space="preserve">Indeed, as Hill </w:t>
      </w:r>
      <w:r w:rsidR="00C66210">
        <w:rPr>
          <w:szCs w:val="24"/>
        </w:rPr>
        <w:fldChar w:fldCharType="begin"/>
      </w:r>
      <w:r w:rsidR="00C66210">
        <w:rPr>
          <w:szCs w:val="24"/>
        </w:rPr>
        <w:instrText xml:space="preserve"> ADDIN ZOTERO_ITEM CSL_CITATION {"citationID":"R2S2ukaU","properties":{"formattedCitation":"(2021)","plainCitation":"(2021)","noteIndex":0},"citationItems":[{"id":5182,"uris":["http://zotero.org/users/8977980/items/9XUHNLWL"],"itemData":{"id":5182,"type":"article-newspaper","abstract":"Sadiq Khan’s introduction of referendums into the often-fraught issue of estate regeneration was welcomed by some and questioned by others. Those most strongly in favour were often Green, Corbyn Left and other housing activists, who perhaps anticipated that council and housing association tenants would rise up against alleged “social cleansing” and reject redevelopment plans. Others […]","container-title":"OnLondon","language":"en-GB","publisher-place":"London, UK","section":"Analysis","title":"Haringey: The rancorous referendum of the Love Lane estate","title-short":"Haringey","URL":"https://www.onlondon.co.uk/haringey-the-rancorous-referendum-of-the-love-lane-estate/","author":[{"family":"Hill","given":"Dave"}],"accessed":{"date-parts":[["2023",9,27]]},"issued":{"date-parts":[["2021",11,11]]}},"suppress-author":true}],"schema":"https://github.com/citation-style-language/schema/raw/master/csl-citation.json"} </w:instrText>
      </w:r>
      <w:r w:rsidR="00C66210">
        <w:rPr>
          <w:szCs w:val="24"/>
        </w:rPr>
        <w:fldChar w:fldCharType="separate"/>
      </w:r>
      <w:r w:rsidR="00C66210" w:rsidRPr="00C66210">
        <w:t>(2021)</w:t>
      </w:r>
      <w:r w:rsidR="00C66210">
        <w:rPr>
          <w:szCs w:val="24"/>
        </w:rPr>
        <w:fldChar w:fldCharType="end"/>
      </w:r>
      <w:r w:rsidR="002E0270">
        <w:rPr>
          <w:szCs w:val="24"/>
        </w:rPr>
        <w:t xml:space="preserve"> </w:t>
      </w:r>
      <w:r w:rsidR="00C15EFF" w:rsidRPr="00662E51">
        <w:rPr>
          <w:szCs w:val="24"/>
        </w:rPr>
        <w:t xml:space="preserve">reports, </w:t>
      </w:r>
      <w:r w:rsidR="003D27B3" w:rsidRPr="00662E51">
        <w:rPr>
          <w:szCs w:val="24"/>
        </w:rPr>
        <w:t xml:space="preserve">this worry informed the </w:t>
      </w:r>
      <w:r w:rsidR="00BC04E4">
        <w:rPr>
          <w:szCs w:val="24"/>
        </w:rPr>
        <w:t>aims</w:t>
      </w:r>
      <w:r w:rsidR="00C15EFF" w:rsidRPr="00662E51">
        <w:rPr>
          <w:szCs w:val="24"/>
        </w:rPr>
        <w:t xml:space="preserve"> of the Temporary Accommodation Group Love Lane (TAG)</w:t>
      </w:r>
      <w:r w:rsidR="003D27B3" w:rsidRPr="00662E51">
        <w:rPr>
          <w:szCs w:val="24"/>
        </w:rPr>
        <w:t xml:space="preserve">, who </w:t>
      </w:r>
      <w:r w:rsidR="00BC04E4">
        <w:rPr>
          <w:szCs w:val="24"/>
        </w:rPr>
        <w:t>demanded</w:t>
      </w:r>
      <w:r w:rsidR="003D27B3" w:rsidRPr="00662E51">
        <w:rPr>
          <w:szCs w:val="24"/>
        </w:rPr>
        <w:t xml:space="preserve"> blinding guarantees of council tenancies for all Love Lane residents</w:t>
      </w:r>
      <w:r w:rsidR="00BC04E4">
        <w:rPr>
          <w:szCs w:val="24"/>
        </w:rPr>
        <w:t xml:space="preserve">, regardless of their type of tenancy </w:t>
      </w:r>
      <w:r w:rsidR="00777E8D">
        <w:rPr>
          <w:szCs w:val="24"/>
        </w:rPr>
        <w:t>(</w:t>
      </w:r>
      <w:r w:rsidR="00777E8D">
        <w:t>s</w:t>
      </w:r>
      <w:r w:rsidR="00777E8D" w:rsidRPr="00D3031B">
        <w:t>ee Section 1.3.3</w:t>
      </w:r>
      <w:r w:rsidR="00777E8D">
        <w:t>)</w:t>
      </w:r>
      <w:r w:rsidR="003D27B3" w:rsidRPr="00662E51">
        <w:rPr>
          <w:szCs w:val="24"/>
        </w:rPr>
        <w:t xml:space="preserve">. </w:t>
      </w:r>
    </w:p>
    <w:p w14:paraId="06439DC5" w14:textId="39190491" w:rsidR="00621C17" w:rsidRPr="00662E51" w:rsidRDefault="00C15EFF" w:rsidP="00F56305">
      <w:pPr>
        <w:tabs>
          <w:tab w:val="left" w:pos="546"/>
        </w:tabs>
        <w:spacing w:line="360" w:lineRule="auto"/>
        <w:ind w:left="0"/>
        <w:rPr>
          <w:szCs w:val="24"/>
        </w:rPr>
      </w:pPr>
      <w:r w:rsidRPr="00662E51">
        <w:rPr>
          <w:szCs w:val="24"/>
        </w:rPr>
        <w:tab/>
      </w:r>
      <w:r w:rsidRPr="00662E51">
        <w:rPr>
          <w:szCs w:val="24"/>
        </w:rPr>
        <w:tab/>
      </w:r>
      <w:r w:rsidR="00621C17" w:rsidRPr="00662E51">
        <w:rPr>
          <w:szCs w:val="24"/>
        </w:rPr>
        <w:t>The furore continued after the ballot concluded, with multiple groups clamouring for a re-run because of the concerns of pressuring and intimidation. Activist</w:t>
      </w:r>
      <w:r w:rsidR="0038099D">
        <w:rPr>
          <w:szCs w:val="24"/>
        </w:rPr>
        <w:t>s</w:t>
      </w:r>
      <w:r w:rsidR="00621C17" w:rsidRPr="00662E51">
        <w:rPr>
          <w:szCs w:val="24"/>
        </w:rPr>
        <w:t xml:space="preserve"> 2 </w:t>
      </w:r>
      <w:r w:rsidR="0038099D">
        <w:rPr>
          <w:szCs w:val="24"/>
        </w:rPr>
        <w:t xml:space="preserve">and </w:t>
      </w:r>
      <w:r w:rsidR="00621C17" w:rsidRPr="00662E51">
        <w:rPr>
          <w:szCs w:val="24"/>
        </w:rPr>
        <w:t xml:space="preserve">4 introduced motions within their local Labour Party branches demanding as such. The pressure culminated in several councillors likewise pushing for an inquiry into the election. Ultimately, however, the Council formally </w:t>
      </w:r>
      <w:r w:rsidR="00621C17" w:rsidRPr="00662E51">
        <w:rPr>
          <w:szCs w:val="24"/>
        </w:rPr>
        <w:lastRenderedPageBreak/>
        <w:t xml:space="preserve">accepted the results, undeterred by legitimate concerns regarding vote handling—several council staff had, against protocol, picked up and delivered residents’ votes </w:t>
      </w:r>
      <w:r w:rsidR="00621C17" w:rsidRPr="00662E51">
        <w:rPr>
          <w:szCs w:val="24"/>
        </w:rPr>
        <w:fldChar w:fldCharType="begin"/>
      </w:r>
      <w:r w:rsidR="008835AB" w:rsidRPr="00662E51">
        <w:rPr>
          <w:szCs w:val="24"/>
        </w:rPr>
        <w:instrText xml:space="preserve"> ADDIN ZOTERO_ITEM CSL_CITATION {"citationID":"2C2Rl4g1","properties":{"formattedCitation":"(Allin 2021)","plainCitation":"(Allin 2021)","noteIndex":0},"citationItems":[{"id":5184,"uris":["http://zotero.org/users/8977980/items/ZHJZCQWF"],"itemData":{"id":5184,"type":"article-newspaper","abstract":"Council committee recommends inquiry into estate redevelopment ballot following concerns over way it was run","container-title":"Haringey Community Press","language":"en-GB","note":"section: News","publisher-place":"London, UK","section":"News","title":"Councillors demand inquiry into Love Lane Estate ballot","URL":"https://haringeycommunitypress.co.uk/2021/11/30/councillors-demand-inquiry-into-love-lane-estate-ballot/","author":[{"family":"Allin","given":"Simon"}],"accessed":{"date-parts":[["2023",9,27]]},"issued":{"date-parts":[["2021",11,30]]}}}],"schema":"https://github.com/citation-style-language/schema/raw/master/csl-citation.json"} </w:instrText>
      </w:r>
      <w:r w:rsidR="00621C17" w:rsidRPr="00662E51">
        <w:rPr>
          <w:szCs w:val="24"/>
        </w:rPr>
        <w:fldChar w:fldCharType="separate"/>
      </w:r>
      <w:r w:rsidR="0095662D" w:rsidRPr="00662E51">
        <w:t>(Allin 2021)</w:t>
      </w:r>
      <w:r w:rsidR="00621C17" w:rsidRPr="00662E51">
        <w:rPr>
          <w:szCs w:val="24"/>
        </w:rPr>
        <w:fldChar w:fldCharType="end"/>
      </w:r>
      <w:r w:rsidR="00621C17" w:rsidRPr="00662E51">
        <w:rPr>
          <w:szCs w:val="24"/>
        </w:rPr>
        <w:t xml:space="preserve">. Given the power of the Council’s leadership to whip votes with the threat of suspension from the Labour Party, recall Councillor 6’s opinion that the leadership have significant sway over policy decisions. Indeed, several anti-HDV councillors were threatened with having the whip withdrawn during the StopHDV campaign, which was only stymied by direct intervention by Corbyn-backed national party officials </w:t>
      </w:r>
      <w:r w:rsidR="00621C17" w:rsidRPr="00662E51">
        <w:rPr>
          <w:szCs w:val="24"/>
        </w:rPr>
        <w:fldChar w:fldCharType="begin"/>
      </w:r>
      <w:r w:rsidR="008835AB" w:rsidRPr="00662E51">
        <w:rPr>
          <w:szCs w:val="24"/>
        </w:rPr>
        <w:instrText xml:space="preserve"> ADDIN ZOTERO_ITEM CSL_CITATION {"citationID":"oChLRmWO","properties":{"formattedCitation":"(Horton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00621C17" w:rsidRPr="00662E51">
        <w:rPr>
          <w:szCs w:val="24"/>
        </w:rPr>
        <w:fldChar w:fldCharType="separate"/>
      </w:r>
      <w:r w:rsidR="0095662D" w:rsidRPr="00662E51">
        <w:t>(Horton and Penny 2024)</w:t>
      </w:r>
      <w:r w:rsidR="00621C17" w:rsidRPr="00662E51">
        <w:rPr>
          <w:szCs w:val="24"/>
        </w:rPr>
        <w:fldChar w:fldCharType="end"/>
      </w:r>
      <w:r w:rsidR="00621C17" w:rsidRPr="00662E51">
        <w:rPr>
          <w:szCs w:val="24"/>
        </w:rPr>
        <w:t xml:space="preserve">. Such resistance is additionally hampered by the intra, cross-scale-party politics discussed above. The Council staff’s reliance on an outside consultant’s approval of the ballot process likewise insulates it from dissent, shifting responsibility to a non-political entity. Such tactics are meant to ensure the Love Lane public “not just passively accept, but ideally to actively and willingly participate in, [the] neoliberal accumulation strategy” of estate regeneration </w:t>
      </w:r>
      <w:r w:rsidR="00621C17" w:rsidRPr="00662E51">
        <w:rPr>
          <w:szCs w:val="24"/>
        </w:rPr>
        <w:fldChar w:fldCharType="begin"/>
      </w:r>
      <w:r w:rsidR="008835AB" w:rsidRPr="00662E51">
        <w:rPr>
          <w:szCs w:val="24"/>
        </w:rPr>
        <w:instrText xml:space="preserve"> ADDIN ZOTERO_ITEM CSL_CITATION {"citationID":"qCFuN6na","properties":{"formattedCitation":"(Da Costa Vieira 2023, 730)","plainCitation":"(Da Costa Vieira 2023, 730)","noteIndex":0},"citationItems":[{"id":5759,"uris":["http://zotero.org/users/8977980/items/QJQY2YCJ"],"itemData":{"id":5759,"type":"article-journal","abstract":"In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Vieira","given":"Thomas"}],"issued":{"date-parts":[["2023",10,1]]}},"locator":"730"}],"schema":"https://github.com/citation-style-language/schema/raw/master/csl-citation.json"} </w:instrText>
      </w:r>
      <w:r w:rsidR="00621C17" w:rsidRPr="00662E51">
        <w:rPr>
          <w:szCs w:val="24"/>
        </w:rPr>
        <w:fldChar w:fldCharType="separate"/>
      </w:r>
      <w:r w:rsidR="0095662D" w:rsidRPr="00662E51">
        <w:t>(Da Costa Vieira 2023, 730)</w:t>
      </w:r>
      <w:r w:rsidR="00621C17" w:rsidRPr="00662E51">
        <w:rPr>
          <w:szCs w:val="24"/>
        </w:rPr>
        <w:fldChar w:fldCharType="end"/>
      </w:r>
      <w:r w:rsidR="00621C17" w:rsidRPr="00662E51">
        <w:rPr>
          <w:szCs w:val="24"/>
        </w:rPr>
        <w:t xml:space="preserve">. Without somehow ensuring the vote passes—i.e., manufacturing consent—then the entire HRW scheme could not proceed. The organisers I spoke to were convinced that they could have won the ballot had the council not, in the words of Activist 2, </w:t>
      </w:r>
      <w:bookmarkStart w:id="476" w:name="_Hlk206754212"/>
      <w:r w:rsidR="00621C17" w:rsidRPr="00662E51">
        <w:rPr>
          <w:szCs w:val="24"/>
        </w:rPr>
        <w:t xml:space="preserve">“cheated” by handling residents’ ballots. Activist </w:t>
      </w:r>
      <w:bookmarkEnd w:id="476"/>
      <w:r w:rsidR="00621C17" w:rsidRPr="00662E51">
        <w:rPr>
          <w:szCs w:val="24"/>
        </w:rPr>
        <w:t>4 echoed this, arguing the ‘no’ vote would have won had they been “left alone.” While referendums are, by their nature, adversarial and rest on both sides making their case, the cases of ballot handling, pressuring, and persistent contact rise above simple persuasion. Indeed, the evidence indicates that residents felt afraid to vote against the demolition. Thus, whereas estate balloting was initially hailed as a move towards giving residents more power in estate regeneration, the process itself has had numerous problems. The evidence above demonstrates that, like consultations, the balloting process has become a system through which the local state can exercise AN’s insulation and coercion.</w:t>
      </w:r>
    </w:p>
    <w:p w14:paraId="6B084E1B" w14:textId="14FC60B5" w:rsidR="00621C17" w:rsidRPr="00662E51" w:rsidRDefault="00621C17" w:rsidP="00F56305">
      <w:pPr>
        <w:tabs>
          <w:tab w:val="left" w:pos="546"/>
        </w:tabs>
        <w:spacing w:line="360" w:lineRule="auto"/>
        <w:ind w:left="0"/>
        <w:rPr>
          <w:szCs w:val="24"/>
        </w:rPr>
      </w:pPr>
      <w:r w:rsidRPr="00662E51">
        <w:rPr>
          <w:szCs w:val="24"/>
        </w:rPr>
        <w:tab/>
      </w:r>
      <w:r w:rsidRPr="00662E51">
        <w:rPr>
          <w:szCs w:val="24"/>
        </w:rPr>
        <w:tab/>
        <w:t xml:space="preserve">Consultations have become what Muir </w:t>
      </w:r>
      <w:r w:rsidRPr="00662E51">
        <w:rPr>
          <w:szCs w:val="24"/>
        </w:rPr>
        <w:fldChar w:fldCharType="begin"/>
      </w:r>
      <w:r w:rsidR="008835AB" w:rsidRPr="00662E51">
        <w:rPr>
          <w:szCs w:val="24"/>
        </w:rPr>
        <w:instrText xml:space="preserve"> ADDIN ZOTERO_ITEM CSL_CITATION {"citationID":"GWVpAP5m","properties":{"formattedCitation":"(2004, 953\\uc0\\u8211{}54)","plainCitation":"(2004, 953–54)","noteIndex":0},"citationItems":[{"id":5783,"uris":["http://zotero.org/users/8977980/items/C934UGLZ"],"itemData":{"id":5783,"type":"article-journal","abstract":"This paper reports the findings of research into the representation of local interests in area</w:instrText>
      </w:r>
      <w:r w:rsidR="008835AB" w:rsidRPr="00662E51">
        <w:rPr>
          <w:rFonts w:ascii="Cambria Math" w:hAnsi="Cambria Math" w:cs="Cambria Math"/>
          <w:szCs w:val="24"/>
        </w:rPr>
        <w:instrText>‐</w:instrText>
      </w:r>
      <w:r w:rsidR="008835AB" w:rsidRPr="00662E51">
        <w:rPr>
          <w:szCs w:val="24"/>
        </w:rPr>
        <w:instrText>based urban regeneration programmes in Northern Ireland and the Republic of Ireland. The two case studies are contextualised by a review of the promotion of public participation in urban regeneration in both parts of Ireland and theorised as a site of interaction between state agencies and civil society. It is argued that the practice of public participation is a hegemonic project, which, within urban regeneration, is operationalised through partnership structures. The paper concludes that many factors from within and outside the case study programmes affected their consultation processes. Therefore the design and implementation of regeneration programmes should be undertaken in the context of an understanding of the relationship between the state and civil society in the empirical case.","container-title":"Housing Studies","DOI":"10.1080/0267303042000293026","ISSN":"0267-3037","issue":"6","note":"_eprint: https://doi.org/10.1080/0267303042000293026","page":"947–966","publisher":"Routledge","source":"Taylor and Francis+NEJM","title":"Public participation in area</w:instrText>
      </w:r>
      <w:r w:rsidR="008835AB" w:rsidRPr="00662E51">
        <w:rPr>
          <w:rFonts w:ascii="Cambria Math" w:hAnsi="Cambria Math" w:cs="Cambria Math"/>
          <w:szCs w:val="24"/>
        </w:rPr>
        <w:instrText>‐</w:instrText>
      </w:r>
      <w:r w:rsidR="008835AB" w:rsidRPr="00662E51">
        <w:rPr>
          <w:szCs w:val="24"/>
        </w:rPr>
        <w:instrText xml:space="preserve">based urban regeneration programmes","volume":"19","author":[{"family":"Muir","given":"Jenny"}],"issued":{"date-parts":[["2004",11,1]]}},"locator":"953-4","label":"page","suppress-author":true}],"schema":"https://github.com/citation-style-language/schema/raw/master/csl-citation.json"} </w:instrText>
      </w:r>
      <w:r w:rsidRPr="00662E51">
        <w:rPr>
          <w:szCs w:val="24"/>
        </w:rPr>
        <w:fldChar w:fldCharType="separate"/>
      </w:r>
      <w:r w:rsidR="0095662D" w:rsidRPr="00662E51">
        <w:rPr>
          <w:rFonts w:cs="Times New Roman"/>
          <w:kern w:val="0"/>
        </w:rPr>
        <w:t>(2004, 953–54)</w:t>
      </w:r>
      <w:r w:rsidRPr="00662E51">
        <w:rPr>
          <w:szCs w:val="24"/>
        </w:rPr>
        <w:fldChar w:fldCharType="end"/>
      </w:r>
      <w:r w:rsidRPr="00662E51">
        <w:rPr>
          <w:szCs w:val="24"/>
        </w:rPr>
        <w:t xml:space="preserve"> calls a hegemonic project: “the nature of participation may be contested, but its practice is not.” This means that government accepts consultation as an unqualified good because it “provide[s] an arena for the management of social conflict,” even when it is not particularly successful, as seen in the furore around the Love Lane ballot. Teets </w:t>
      </w:r>
      <w:r w:rsidRPr="00662E51">
        <w:rPr>
          <w:szCs w:val="24"/>
        </w:rPr>
        <w:lastRenderedPageBreak/>
        <w:fldChar w:fldCharType="begin"/>
      </w:r>
      <w:r w:rsidR="00557CA9" w:rsidRPr="00662E51">
        <w:rPr>
          <w:szCs w:val="24"/>
        </w:rPr>
        <w:instrText xml:space="preserve"> ADDIN ZOTERO_ITEM CSL_CITATION {"citationID":"yjOMHZsU","properties":{"formattedCitation":"(2013, 36)","plainCitation":"(2013, 36)","noteIndex":0},"citationItems":[{"id":5767,"uris":["http://zotero.org/users/8977980/items/GMH3IM63"],"itemData":{"id":5767,"type":"article-journal","abstract":"In this article, I analyse civil society development in China using examples from Beijing to demonstrate the causal role of local officials' ideas about these groups during the last 20 years. I argue that the decentralization of public welfare and the linkage of promotion to the delivery of these goods supported the idea of local government–civil society collaboration. This idea was undermined by international examples of civil society opposing authoritarianism and the strength of the state-led development model after the 2008 economic crisis. I find growing convergence on a new model of state–society relationship that I call “consultative authoritarianism,” which encourages the simultaneous expansion of a fairly autonomous civil society and the development of more indirect tools of state control. This model challenges the conventional wisdom that an operationally autonomous civil society cannot exist inside authoritarian regimes and that the presence of civil society is an indicator of democratization.","container-title":"The China Quarterly","DOI":"10.1017/S0305741012001269","ISSN":"0305-7410, 1468-2648","language":"en","page":"19-38","source":"Cambridge University Press","title":"Let Many Civil Societies Bloom: The Rise of Consultative Authoritarianism in China","title-short":"Let Many Civil Societies Bloom","volume":"213","author":[{"family":"Teets","given":"Jessica C."}],"issued":{"date-parts":[["2013",3]]}},"locator":"36","label":"page","suppress-author":true}],"schema":"https://github.com/citation-style-language/schema/raw/master/csl-citation.json"} </w:instrText>
      </w:r>
      <w:r w:rsidRPr="00662E51">
        <w:rPr>
          <w:szCs w:val="24"/>
        </w:rPr>
        <w:fldChar w:fldCharType="separate"/>
      </w:r>
      <w:r w:rsidR="0095662D" w:rsidRPr="00662E51">
        <w:t>(2013, 36)</w:t>
      </w:r>
      <w:r w:rsidRPr="00662E51">
        <w:rPr>
          <w:szCs w:val="24"/>
        </w:rPr>
        <w:fldChar w:fldCharType="end"/>
      </w:r>
      <w:r w:rsidRPr="00662E51">
        <w:rPr>
          <w:szCs w:val="24"/>
        </w:rPr>
        <w:t xml:space="preserve"> describes the resulting structure as “consultative authoritarianism” in which consultations have become one item within a wider toolbox of “more sophisticated and indirect tools of state control” that have the façade of democracy. Lees </w:t>
      </w:r>
      <w:r w:rsidRPr="00662E51">
        <w:rPr>
          <w:szCs w:val="24"/>
        </w:rPr>
        <w:fldChar w:fldCharType="begin"/>
      </w:r>
      <w:r w:rsidRPr="00662E51">
        <w:rPr>
          <w:szCs w:val="24"/>
        </w:rPr>
        <w:instrText xml:space="preserve"> ADDIN ZOTERO_ITEM CSL_CITATION {"citationID":"L25G1tZr","properties":{"formattedCitation":"(2024)","plainCitation":"(2024)","noteIndex":0},"citationItems":[{"id":5765,"uris":["http://zotero.org/users/8977980/items/2UM7LBBK"],"itemData":{"id":5765,"type":"article-journal","abstract":"In gentrification studies to date, authoritarianism has mainly served as a contextual backdrop to discussions of state-led gentrification. In this concluding essay I reflect on the explorations of ‘ordinary’ geographical cases of ‘everyday authoritarianism’ presented in this intervention on planetary gentrification and urban authoritarianism. The cases of Istanbul, Casablanca and Lijiang show how the complex merging of authoritarian and neoliberal is now one of the cruxes of gentrification globally.","container-title":"International Journal of Urban and Regional Research","DOI":"10.1111/1468-2427.13240","ISSN":"1468-2427","issue":"n/a","language":"en","note":"_eprint: https://onlinelibrary.wiley.com/doi/pdf/10.1111/1468-2427.13240","source":"Wiley Online Library","title":"Planetary Gentrification and Urban Authoritarianism","URL":"https://onlinelibrary.wiley.com/doi/abs/10.1111/1468-2427.13240","volume":"n/a","author":[{"family":"Lees","given":"Loretta"}],"accessed":{"date-parts":[["2024",6,19]]},"issued":{"date-parts":[["2024",6,4]]}},"label":"page","suppress-author":true}],"schema":"https://github.com/citation-style-language/schema/raw/master/csl-citation.json"} </w:instrText>
      </w:r>
      <w:r w:rsidRPr="00662E51">
        <w:rPr>
          <w:szCs w:val="24"/>
        </w:rPr>
        <w:fldChar w:fldCharType="separate"/>
      </w:r>
      <w:r w:rsidR="0095662D" w:rsidRPr="00662E51">
        <w:t>(2024)</w:t>
      </w:r>
      <w:r w:rsidRPr="00662E51">
        <w:rPr>
          <w:szCs w:val="24"/>
        </w:rPr>
        <w:fldChar w:fldCharType="end"/>
      </w:r>
      <w:r w:rsidRPr="00662E51">
        <w:rPr>
          <w:szCs w:val="24"/>
        </w:rPr>
        <w:t xml:space="preserve"> argues that, although originally applied to non-urban contexts, consultative authoritarianism is an increasingly useful framework for understanding speculative urban transformation in an era of widespread discontent with gentrification. What I have described is reminiscent of Penny’s </w:t>
      </w:r>
      <w:r w:rsidRPr="00662E51">
        <w:rPr>
          <w:szCs w:val="24"/>
        </w:rPr>
        <w:fldChar w:fldCharType="begin"/>
      </w:r>
      <w:r w:rsidR="008835AB" w:rsidRPr="00662E51">
        <w:rPr>
          <w:szCs w:val="24"/>
        </w:rPr>
        <w:instrText xml:space="preserve"> ADDIN ZOTERO_ITEM CSL_CITATION {"citationID":"znASyg3V","properties":{"formattedCitation":"(2017, 1367)","plainCitation":"(2017, 1367)","noteIndex":0},"citationItems":[{"id":6459,"uris":["http://zotero.org/users/8977980/items/JCDUZR3B"],"itemData":{"id":6459,"type":"article-journal","abstract":"At a time of “austerity localism”, this paper explores how local authorities in London, England, are simultaneously addressing the dual pressures of delivering fiscal retrenchment and of enrolling citizens in new participatory public service arrangements, asking whether “these trends pull against one another, in opposite directions, or whether they are the tough and tender dimensions of a singular process: austerian management” Drawing on empirical research into the London Borough of Lambeth’s Cooperative Council agenda, as well as Foucauldian and Gramscian critiques of participatory network governance theories and practice, this paper shows how participatory forms of governance can be folded into the logic of hierarchy and coercion through various governmental technologies of performance and agency (consent), and through tactics of administrative domination (coercion). As budget cuts continue to affect local government in England, this paper concludes that although small experiments in participatory governance may persist, the dominant mode of governance is likely to shift towards more hierarchical and coercive forms.","container-title":"Urban Geography","DOI":"10.1080/02723638.2016.1235932","ISSN":"0272-3638","issue":"9","note":"_eprint: https://doi.org/10.1080/02723638.2016.1235932","page":"1352-1373","publisher":"Routledge","source":"Taylor and Francis+NEJM","title":"Between coercion and consent: the politics of “Cooperative Governance” at a time of “Austerity Localism” in London","title-short":"Between coercion and consent","volume":"38","author":[{"family":"Penny","given":"Joe"}],"issued":{"date-parts":[["2017",10,21]]}},"locator":"1367","label":"page","suppress-author":true}],"schema":"https://github.com/citation-style-language/schema/raw/master/csl-citation.json"} </w:instrText>
      </w:r>
      <w:r w:rsidRPr="00662E51">
        <w:rPr>
          <w:szCs w:val="24"/>
        </w:rPr>
        <w:fldChar w:fldCharType="separate"/>
      </w:r>
      <w:r w:rsidR="0095662D" w:rsidRPr="00662E51">
        <w:t>(2017, 1367)</w:t>
      </w:r>
      <w:r w:rsidRPr="00662E51">
        <w:rPr>
          <w:szCs w:val="24"/>
        </w:rPr>
        <w:fldChar w:fldCharType="end"/>
      </w:r>
      <w:r w:rsidRPr="00662E51">
        <w:rPr>
          <w:szCs w:val="24"/>
        </w:rPr>
        <w:t xml:space="preserve"> analysis of community consultation in nearby Lambeth: “residents and groups are encouraged to take part in ‘invited’ spaces of participation in which agendas are pre-determined and substantive decisions have already been made,” which has only centralised decision making.</w:t>
      </w:r>
      <w:r w:rsidR="003F2927" w:rsidRPr="00662E51">
        <w:rPr>
          <w:szCs w:val="24"/>
        </w:rPr>
        <w:t xml:space="preserve"> Specifically, as laid out in Section 7.3.3,</w:t>
      </w:r>
      <w:r w:rsidR="00F070EC" w:rsidRPr="00662E51">
        <w:rPr>
          <w:szCs w:val="24"/>
        </w:rPr>
        <w:t xml:space="preserve"> </w:t>
      </w:r>
      <w:r w:rsidR="00632F8D" w:rsidRPr="00662E51">
        <w:rPr>
          <w:szCs w:val="24"/>
        </w:rPr>
        <w:t xml:space="preserve">Haringey Council had already decided </w:t>
      </w:r>
      <w:r w:rsidR="00295C26" w:rsidRPr="00662E51">
        <w:rPr>
          <w:szCs w:val="24"/>
        </w:rPr>
        <w:t xml:space="preserve">between three substantive options for Love Lane and the HRW area—it just needed to </w:t>
      </w:r>
      <w:r w:rsidR="00F243C9">
        <w:rPr>
          <w:szCs w:val="24"/>
        </w:rPr>
        <w:t>‘</w:t>
      </w:r>
      <w:r w:rsidR="00295C26" w:rsidRPr="00662E51">
        <w:rPr>
          <w:szCs w:val="24"/>
        </w:rPr>
        <w:t>tick the box</w:t>
      </w:r>
      <w:r w:rsidR="00F243C9">
        <w:rPr>
          <w:szCs w:val="24"/>
        </w:rPr>
        <w:t>’</w:t>
      </w:r>
      <w:r w:rsidR="00295C26" w:rsidRPr="00662E51">
        <w:rPr>
          <w:szCs w:val="24"/>
        </w:rPr>
        <w:t xml:space="preserve"> of a ballot and consultation before executing this plan.</w:t>
      </w:r>
      <w:r w:rsidRPr="00662E51">
        <w:rPr>
          <w:szCs w:val="24"/>
        </w:rPr>
        <w:t xml:space="preserve"> I thus contend that these consultations and votes are fundamental parts of a neoliberal and consultative authoritarian approach that is designed to elicit the appearance of consent to crucial decisions about High Road West that the Council and its staff had already made.  </w:t>
      </w:r>
    </w:p>
    <w:p w14:paraId="38A953D7" w14:textId="77777777" w:rsidR="00621C17" w:rsidRPr="00662E51" w:rsidRDefault="00621C17" w:rsidP="00F56305">
      <w:pPr>
        <w:tabs>
          <w:tab w:val="left" w:pos="546"/>
        </w:tabs>
        <w:spacing w:line="360" w:lineRule="auto"/>
        <w:ind w:left="0"/>
        <w:rPr>
          <w:szCs w:val="24"/>
        </w:rPr>
      </w:pPr>
    </w:p>
    <w:p w14:paraId="53023B57" w14:textId="1C097122" w:rsidR="00621C17" w:rsidRPr="00662E51" w:rsidRDefault="00621C17" w:rsidP="00F56305">
      <w:pPr>
        <w:pStyle w:val="Heading2"/>
        <w:rPr>
          <w:b/>
          <w:bCs/>
        </w:rPr>
      </w:pPr>
      <w:bookmarkStart w:id="477" w:name="_Toc213173990"/>
      <w:bookmarkStart w:id="478" w:name="_Toc216096185"/>
      <w:bookmarkStart w:id="479" w:name="_Toc221184378"/>
      <w:bookmarkStart w:id="480" w:name="_Toc231215294"/>
      <w:r w:rsidRPr="00662E51">
        <w:t>Conclusion</w:t>
      </w:r>
      <w:bookmarkEnd w:id="477"/>
      <w:bookmarkEnd w:id="478"/>
      <w:bookmarkEnd w:id="479"/>
      <w:r w:rsidR="00836748">
        <w:t>:</w:t>
      </w:r>
      <w:bookmarkEnd w:id="480"/>
    </w:p>
    <w:p w14:paraId="17AB6973" w14:textId="48166407" w:rsidR="00621C17" w:rsidRPr="00662E51" w:rsidRDefault="00621C17" w:rsidP="00421807">
      <w:pPr>
        <w:spacing w:line="360" w:lineRule="auto"/>
        <w:ind w:left="0"/>
        <w:rPr>
          <w:szCs w:val="24"/>
        </w:rPr>
      </w:pPr>
      <w:r w:rsidRPr="00662E51">
        <w:rPr>
          <w:szCs w:val="24"/>
        </w:rPr>
        <w:t xml:space="preserve">This study sought to understand examine authoritarian neoliberalism at the local scale. More specifically, I examined how the local party and the local state collaborate to ensure a local authoritarian neoliberalism using Haringey Council’s High Road West (HRW) scheme as a case study. HRW, as designed, would demolish a council housing estate of 300 homes, many businesses, and continue state-led gentrification in the area by building thousands of new and mostly unaffordable residences. The scheme did not occur in a vacuum—indeed, its development was concurrent with the Haringey Development Vehicle, a similar (but larger in scale) redevelopment scheme that spawned significant pushback from residents, politicians, and activists alike. This group of opponents was able to successfully cancel the HDV </w:t>
      </w:r>
      <w:r w:rsidRPr="00662E51">
        <w:rPr>
          <w:szCs w:val="24"/>
        </w:rPr>
        <w:fldChar w:fldCharType="begin"/>
      </w:r>
      <w:r w:rsidR="008835AB" w:rsidRPr="00662E51">
        <w:rPr>
          <w:szCs w:val="24"/>
        </w:rPr>
        <w:instrText xml:space="preserve"> ADDIN ZOTERO_ITEM CSL_CITATION {"citationID":"go5mud9f","properties":{"formattedCitation":"(Horton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However, HRW continues unabated. </w:t>
      </w:r>
    </w:p>
    <w:p w14:paraId="25F92963" w14:textId="62F52B57" w:rsidR="00621C17" w:rsidRPr="00662E51" w:rsidRDefault="00621C17" w:rsidP="00F56305">
      <w:pPr>
        <w:spacing w:line="360" w:lineRule="auto"/>
        <w:ind w:left="0" w:firstLine="720"/>
        <w:rPr>
          <w:szCs w:val="24"/>
        </w:rPr>
      </w:pPr>
      <w:r w:rsidRPr="00662E51">
        <w:rPr>
          <w:szCs w:val="24"/>
        </w:rPr>
        <w:lastRenderedPageBreak/>
        <w:t xml:space="preserve">High Road West was examined across </w:t>
      </w:r>
      <w:r w:rsidR="00B003D1">
        <w:rPr>
          <w:szCs w:val="24"/>
        </w:rPr>
        <w:t>three</w:t>
      </w:r>
      <w:r w:rsidRPr="00662E51">
        <w:rPr>
          <w:szCs w:val="24"/>
        </w:rPr>
        <w:t xml:space="preserve"> core constituent elements: first, the scheme, its targets, and its position within the local politics of Haringey; second</w:t>
      </w:r>
      <w:r w:rsidR="00B003D1">
        <w:rPr>
          <w:szCs w:val="24"/>
        </w:rPr>
        <w:t xml:space="preserve">, moral and cultural discourses that surrounded Tottenham; and third, </w:t>
      </w:r>
      <w:r w:rsidRPr="00662E51">
        <w:rPr>
          <w:szCs w:val="24"/>
        </w:rPr>
        <w:t xml:space="preserve">its community engagement, which was intended to </w:t>
      </w:r>
      <w:r w:rsidR="00E16E44">
        <w:rPr>
          <w:szCs w:val="24"/>
        </w:rPr>
        <w:t xml:space="preserve">produce support </w:t>
      </w:r>
      <w:r w:rsidRPr="00662E51">
        <w:rPr>
          <w:szCs w:val="24"/>
        </w:rPr>
        <w:t xml:space="preserve">for the scheme against popular opposition to regeneration. I considered the scheme’s aim to build hundreds of net council homes within the wider context of austerity and the Labour Party, demonstrating that a political push for new council homes effectively locked in the financialised and speculative urban transformation </w:t>
      </w:r>
      <w:r w:rsidRPr="00662E51">
        <w:rPr>
          <w:szCs w:val="24"/>
        </w:rPr>
        <w:fldChar w:fldCharType="begin"/>
      </w:r>
      <w:r w:rsidR="008835AB" w:rsidRPr="00662E51">
        <w:rPr>
          <w:szCs w:val="24"/>
        </w:rPr>
        <w:instrText xml:space="preserve"> ADDIN ZOTERO_ITEM CSL_CITATION {"citationID":"ruWWAtea","properties":{"formattedCitation":"(Horton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demanded within HRW. The scheme’s language also targeted moral and cultural discourses surrounding Tottenham, positioning the area as needed to be fundamentally reshaped after the 2011 uprising </w:t>
      </w:r>
      <w:r w:rsidRPr="00662E51">
        <w:rPr>
          <w:szCs w:val="24"/>
        </w:rPr>
        <w:fldChar w:fldCharType="begin"/>
      </w:r>
      <w:r w:rsidR="008835AB" w:rsidRPr="00662E51">
        <w:rPr>
          <w:szCs w:val="24"/>
        </w:rPr>
        <w:instrText xml:space="preserve"> ADDIN ZOTERO_ITEM CSL_CITATION {"citationID":"q8uoCsFC","properties":{"formattedCitation":"(Lewis et al. 2011)","plainCitation":"(Lewis et al. 2011)","noteIndex":0},"citationItems":[{"id":3068,"uris":["http://zotero.org/users/8977980/items/IC3TXSJ6"],"itemData":{"id":3068,"type":"report","abstract":"The riots in early August 2011 were arguably the worst bout of civil unrest in a generation. However, unlike in the early 1980s there was to be no Scarman-style inquiry into the causes. Meanwhile, politicians and others rushed to pronounce on what had happened, and why, and to offer an array of policy solutions. While several reviews and investigations were subsequently established, a number of very significant gaps in public understanding of the events remained. Most visible among these was what drew people out on to the streets for four nights in August and what motivated them? We’d had riots, but we knew little about the rioters. The Guardian had been at the forefront of the reporting of the riots, both in a traditional journalistic sense and much more broadly through the collection and analysis of data from the courts as arrests and prosecutions mounted up. The opportunity was there to expand this work and to embark on something truly ambitious: a full-scale study of the riots and their aftermath. It was this that led to the partnership with the LSE’s Social Policy Department and, with the generous support of the Joseph Rowntree Foundation and Open Society Foundations, to Reading the Riots. We believe this will prove to be a landmark study. It is a unique collaboration between a national newspaper and a leading university. Its overarching aim has been to conduct high-quality social research at a speed and in a way that maximises its likelihood of affecting public and political debate without sacrificing any of its rigour. This report brings together the outcome of the first phase of the study, focusing in a way that has not previously been possible on the nature, motivations, attitudes and experiences of those who rioted across London and in Birmingham, Manchester, Salford, Nottingham and Liverpool.","genre":"Monograph","language":"en","note":"number-of-pages: 36\npublisher-place: London, UK","publisher":"The London School of Economics and Political Science and The Guardian","title":"Reading the riots: investigating England's summer of disorder","title-short":"Reading the riots","URL":"http://www.guardian.co.uk/uk/series/reading-the-riots","author":[{"family":"Lewis","given":"Paul"},{"family":"Newburn","given":"Tim"},{"family":"Taylor","given":"Matthew"},{"family":"Mcgillivray","given":"Catriona"},{"family":"Greenhill","given":"Aster"},{"family":"Frayman","given":"Harold"},{"family":"Proctor","given":"Rob"}],"accessed":{"date-parts":[["2023",1,4]]},"issued":{"date-parts":[["2011",12]]}}}],"schema":"https://github.com/citation-style-language/schema/raw/master/csl-citation.json"} </w:instrText>
      </w:r>
      <w:r w:rsidRPr="00662E51">
        <w:rPr>
          <w:szCs w:val="24"/>
        </w:rPr>
        <w:fldChar w:fldCharType="separate"/>
      </w:r>
      <w:r w:rsidR="0095662D" w:rsidRPr="00662E51">
        <w:t>(Lewis et al. 2011)</w:t>
      </w:r>
      <w:r w:rsidRPr="00662E51">
        <w:rPr>
          <w:szCs w:val="24"/>
        </w:rPr>
        <w:fldChar w:fldCharType="end"/>
      </w:r>
      <w:r w:rsidRPr="00662E51">
        <w:rPr>
          <w:szCs w:val="24"/>
        </w:rPr>
        <w:t xml:space="preserve">. The Council then placed HRW as an answer to these supposed social problems, attempting to legitimate its policy decisions as a prerequisite to the capital accumulation of regeneration </w:t>
      </w:r>
      <w:r w:rsidRPr="00662E51">
        <w:rPr>
          <w:szCs w:val="24"/>
        </w:rPr>
        <w:fldChar w:fldCharType="begin"/>
      </w:r>
      <w:r w:rsidR="008835AB" w:rsidRPr="00662E51">
        <w:rPr>
          <w:szCs w:val="24"/>
        </w:rPr>
        <w:instrText xml:space="preserve"> ADDIN ZOTERO_ITEM CSL_CITATION {"citationID":"KZ6xX6tB","properties":{"formattedCitation":"(Da Costa Vieira 2023)","plainCitation":"(Da Costa Vieira 2023)","noteIndex":0},"citationItems":[{"id":5759,"uris":["http://zotero.org/users/8977980/items/QJQY2YCJ"],"itemData":{"id":5759,"type":"article-journal","abstract":"In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Vieira","given":"Thomas"}],"issued":{"date-parts":[["2023",10,1]]}}}],"schema":"https://github.com/citation-style-language/schema/raw/master/csl-citation.json"} </w:instrText>
      </w:r>
      <w:r w:rsidRPr="00662E51">
        <w:rPr>
          <w:szCs w:val="24"/>
        </w:rPr>
        <w:fldChar w:fldCharType="separate"/>
      </w:r>
      <w:r w:rsidR="0095662D" w:rsidRPr="00662E51">
        <w:t>(Da Costa Vieira 2023)</w:t>
      </w:r>
      <w:r w:rsidRPr="00662E51">
        <w:rPr>
          <w:szCs w:val="24"/>
        </w:rPr>
        <w:fldChar w:fldCharType="end"/>
      </w:r>
      <w:r w:rsidRPr="00662E51">
        <w:rPr>
          <w:szCs w:val="24"/>
        </w:rPr>
        <w:t xml:space="preserve">. Next, I reviewed the community engagement of the scheme, considering two consultations (2013-4) and the estate ballot in 2021. In both, the Council’s engagement failed to adequately inform residents of planned changes or take their voices into account. Consultations were misleading </w:t>
      </w:r>
      <w:r w:rsidRPr="00662E51">
        <w:rPr>
          <w:szCs w:val="24"/>
        </w:rPr>
        <w:fldChar w:fldCharType="begin"/>
      </w:r>
      <w:r w:rsidR="008835AB" w:rsidRPr="00662E51">
        <w:rPr>
          <w:szCs w:val="24"/>
        </w:rPr>
        <w:instrText xml:space="preserve"> ADDIN ZOTERO_ITEM CSL_CITATION {"citationID":"2OURKkGo","properties":{"formattedCitation":"(Ormerod and MacLeod 2019)","plainCitation":"(Ormerod and MacLeod 2019)","noteIndex":0},"citationItems":[{"id":3317,"uris":["http://zotero.org/users/8977980/items/3FKCPYR3"],"itemData":{"id":3317,"type":"article-journal","abstract":"This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0095662D" w:rsidRPr="00662E51">
        <w:t>(Ormerod and MacLeod 2019)</w:t>
      </w:r>
      <w:r w:rsidRPr="00662E51">
        <w:rPr>
          <w:szCs w:val="24"/>
        </w:rPr>
        <w:fldChar w:fldCharType="end"/>
      </w:r>
      <w:r w:rsidRPr="00662E51">
        <w:rPr>
          <w:szCs w:val="24"/>
        </w:rPr>
        <w:t xml:space="preserve"> and the ballot was possibly fraudulent—or at least not representative of the whole community </w:t>
      </w:r>
      <w:r w:rsidRPr="00662E51">
        <w:rPr>
          <w:szCs w:val="24"/>
        </w:rPr>
        <w:fldChar w:fldCharType="begin"/>
      </w:r>
      <w:r w:rsidR="00557CA9" w:rsidRPr="00662E51">
        <w:rPr>
          <w:szCs w:val="24"/>
        </w:rPr>
        <w:instrText xml:space="preserve"> ADDIN ZOTERO_ITEM CSL_CITATION {"citationID":"dKBN9TKC","properties":{"formattedCitation":"(Tissier 2021)","plainCitation":"(Tissier 2021)","noteIndex":0},"citationItems":[{"id":5174,"uris":["http://zotero.org/users/8977980/items/VMYELFEM"],"itemData":{"id":5174,"type":"post-weblog","abstract":"open-letter-by-damian-tissier-22-09-2021Download THE LOVE LANE BALLOT AN OPEN LETTER From: Damian Tissier, Independent Tenant and Leaseholder Advisor at Love Lane To: Date: Dear , In March 2020, El…","container-title":"Haringey Defend Council Housing","language":"en","title":"Open letter on the Love Lane Ballot","URL":"https://haringeydefendcouncilhousingblog.wordpress.com/2021/09/19/open-letter-on-the-love-lane-ballot/","author":[{"family":"Tissier","given":"Damian"}],"accessed":{"date-parts":[["2023",9,27]]},"issued":{"date-parts":[["2021",9,19]]}}}],"schema":"https://github.com/citation-style-language/schema/raw/master/csl-citation.json"} </w:instrText>
      </w:r>
      <w:r w:rsidRPr="00662E51">
        <w:rPr>
          <w:szCs w:val="24"/>
        </w:rPr>
        <w:fldChar w:fldCharType="separate"/>
      </w:r>
      <w:r w:rsidR="0095662D" w:rsidRPr="00662E51">
        <w:t>(Tissier 2021)</w:t>
      </w:r>
      <w:r w:rsidRPr="00662E51">
        <w:rPr>
          <w:szCs w:val="24"/>
        </w:rPr>
        <w:fldChar w:fldCharType="end"/>
      </w:r>
      <w:r w:rsidRPr="00662E51">
        <w:rPr>
          <w:szCs w:val="24"/>
        </w:rPr>
        <w:t xml:space="preserve">. Again, Labour infighting locked in poor engagement: by restricting “what is and what is not legitimate political action” to the party and marginalising external action, parties can effectively reproduce hierarchical and restrictive—that is, non-democratic—modes of political engagement </w:t>
      </w:r>
      <w:r w:rsidRPr="00662E51">
        <w:rPr>
          <w:szCs w:val="24"/>
        </w:rPr>
        <w:fldChar w:fldCharType="begin"/>
      </w:r>
      <w:r w:rsidR="00557CA9" w:rsidRPr="00662E51">
        <w:rPr>
          <w:szCs w:val="24"/>
        </w:rPr>
        <w:instrText xml:space="preserve"> ADDIN ZOTERO_ITEM CSL_CITATION {"citationID":"ZhaLYUUI","properties":{"formattedCitation":"(Ormerod 2021, 8)","plainCitation":"(Ormerod 2021, 8)","noteIndex":0},"citationItems":[{"id":3295,"uris":["http://zotero.org/users/8977980/items/UP7CRFTK"],"itemData":{"id":3295,"type":"article-journal","abstract":"This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ocator":"8"}],"schema":"https://github.com/citation-style-language/schema/raw/master/csl-citation.json"} </w:instrText>
      </w:r>
      <w:r w:rsidRPr="00662E51">
        <w:rPr>
          <w:szCs w:val="24"/>
        </w:rPr>
        <w:fldChar w:fldCharType="separate"/>
      </w:r>
      <w:r w:rsidR="0095662D" w:rsidRPr="00662E51">
        <w:t>(Ormerod 2021, 8)</w:t>
      </w:r>
      <w:r w:rsidRPr="00662E51">
        <w:rPr>
          <w:szCs w:val="24"/>
        </w:rPr>
        <w:fldChar w:fldCharType="end"/>
      </w:r>
      <w:r w:rsidRPr="00662E51">
        <w:rPr>
          <w:szCs w:val="24"/>
        </w:rPr>
        <w:t xml:space="preserve">. Therefore, “attempts to de-politicise both public engagement (through consultation and participation) and contestation (through resident opposition) are revealed as inherently political”—but more importantly, I have shown that they are practices of AN </w:t>
      </w:r>
      <w:r w:rsidRPr="00662E51">
        <w:rPr>
          <w:szCs w:val="24"/>
        </w:rPr>
        <w:fldChar w:fldCharType="begin"/>
      </w:r>
      <w:r w:rsidR="008835AB" w:rsidRPr="00662E51">
        <w:rPr>
          <w:szCs w:val="24"/>
        </w:rPr>
        <w:instrText xml:space="preserve"> ADDIN ZOTERO_ITEM CSL_CITATION {"citationID":"dJpp5npx","properties":{"formattedCitation":"(Ormerod and MacLeod 2019, 321)","plainCitation":"(Ormerod and MacLeod 2019, 321)","noteIndex":0},"citationItems":[{"id":3317,"uris":["http://zotero.org/users/8977980/items/3FKCPYR3"],"itemData":{"id":3317,"type":"article-journal","abstract":"This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governance","volume":"18","author":[{"family":"Ormerod","given":"Emma"},{"family":"MacLeod","given":"Gordon"}],"issued":{"date-parts":[["2019",8,1]]}},"locator":"321"}],"schema":"https://github.com/citation-style-language/schema/raw/master/csl-citation.json"} </w:instrText>
      </w:r>
      <w:r w:rsidRPr="00662E51">
        <w:rPr>
          <w:szCs w:val="24"/>
        </w:rPr>
        <w:fldChar w:fldCharType="separate"/>
      </w:r>
      <w:r w:rsidR="0095662D" w:rsidRPr="00662E51">
        <w:t>(Ormerod and MacLeod 2019, 321)</w:t>
      </w:r>
      <w:r w:rsidRPr="00662E51">
        <w:rPr>
          <w:szCs w:val="24"/>
        </w:rPr>
        <w:fldChar w:fldCharType="end"/>
      </w:r>
      <w:r w:rsidRPr="00662E51">
        <w:rPr>
          <w:szCs w:val="24"/>
        </w:rPr>
        <w:t xml:space="preserve">. Far from being a national, nonpartisan project, </w:t>
      </w:r>
      <w:r w:rsidR="00216796">
        <w:rPr>
          <w:szCs w:val="24"/>
        </w:rPr>
        <w:t xml:space="preserve">then, </w:t>
      </w:r>
      <w:r w:rsidRPr="00662E51">
        <w:rPr>
          <w:szCs w:val="24"/>
        </w:rPr>
        <w:t>AN can be found at the local scale</w:t>
      </w:r>
      <w:r w:rsidR="00F91C2D">
        <w:rPr>
          <w:szCs w:val="24"/>
        </w:rPr>
        <w:t>—</w:t>
      </w:r>
      <w:r w:rsidRPr="00662E51">
        <w:rPr>
          <w:szCs w:val="24"/>
        </w:rPr>
        <w:t xml:space="preserve">perpetuated by the very political parties that ostensibly seek to politicise policy and provide a vehicle for contestation. </w:t>
      </w:r>
    </w:p>
    <w:p w14:paraId="278EF07F" w14:textId="44ED9560" w:rsidR="000D69B3" w:rsidRDefault="00621C17" w:rsidP="000D69B3">
      <w:pPr>
        <w:spacing w:line="360" w:lineRule="auto"/>
        <w:ind w:left="0" w:firstLine="720"/>
        <w:rPr>
          <w:szCs w:val="24"/>
        </w:rPr>
      </w:pPr>
      <w:r w:rsidRPr="00662E51">
        <w:rPr>
          <w:szCs w:val="24"/>
        </w:rPr>
        <w:t xml:space="preserve">As noted </w:t>
      </w:r>
      <w:r w:rsidR="002B6479" w:rsidRPr="00662E51">
        <w:rPr>
          <w:szCs w:val="24"/>
        </w:rPr>
        <w:t xml:space="preserve">throughout this thesis, </w:t>
      </w:r>
      <w:r w:rsidRPr="00662E51">
        <w:rPr>
          <w:szCs w:val="24"/>
        </w:rPr>
        <w:t xml:space="preserve">studies of AN mechanisms have thus far undertheorised the importance of political parties and the local scale </w:t>
      </w:r>
      <w:r w:rsidRPr="00662E51">
        <w:rPr>
          <w:szCs w:val="24"/>
        </w:rPr>
        <w:fldChar w:fldCharType="begin"/>
      </w:r>
      <w:r w:rsidR="008835AB" w:rsidRPr="00662E51">
        <w:rPr>
          <w:szCs w:val="24"/>
        </w:rPr>
        <w:instrText xml:space="preserve"> ADDIN ZOTERO_ITEM CSL_CITATION {"citationID":"jLvMutXz","properties":{"formattedCitation":"(cf. \\uc0\\u214{}zden et al. 2017)","plainCitation":"(cf. Özden et al. 2017)","noteIndex":0},"citationItems":[{"id":6480,"uris":["http://zotero.org/users/8977980/items/XU857UJW"],"itemData":{"id":6480,"type":"chapter","abstract":"Authoritarian neoliberalism : towards a new research agenda / Cemal Burak Tansel -- Authoritarian neoliberalism and the disciplining of labour / Mònica Clua-Losada and Olatz Ribera-Almandoz -- Commodified pacification : police, commercial security and the state / Kendra Briken and Volker Eick -- Bodies in resistance : conversations on gender, body politics and authoritarian neoliberalism / Wendy Harcourt -- The right to starve : hunger, discipline and labour market restructuring under authoritarian neoliberalism / Sébastien Rioux -- Urban transformation under authoritarian neoliberalism / Annalena di Giovanni -- From Mare Nostrum to Triton : humanitarian emergencies and neoliberal migration management in the Mediterranean / Luca Manunza -- Cease to exist? : the European \"social\" model and the hardening of \"soft\" EU law / Ian Bruff -- The authoritarian and disciplinary mechanism of reduced sovereignty in the EU : the case of Greece / Panagiotis Sotiris -- Antinomies of authoritarian neoliberalism in Turkey : the Justice and Development Party era / Baris Alp Özden, Ismet Akça and Ahmet Bekmen -- Resistance and passive revolution in Egypt and Morocco / Brecht De Smet and Koenraad Bogaert -- Klepto-neoliberalism : authoritarianism and patronage in Cambodia / Simon Springer -- Variegated neoliberalization as a function and outcome of neo-authoritarianism in China / Kean Fan Lim -- Postscript / Cynthia Enloe","collection-title":"Transforming capitalism","container-title":"States of discipline: authoritarian neoliberalism and the contested reproduction of capitalist order","ISBN":"978-1-78348-620-5","language":"eng","publisher":"Rowman &amp; Littlefield International","publisher-place":"London","title":"Antinomies of Authoritarian Neoliberalism in Turkey: The Justice and Development Party Era","editor":[{"family":"Tansel","given":"Cemal Burak"}],"author":[{"family":"Özden","given":"Barış Alp"},{"family":"Akça","given":"İsmet"},{"family":"Bekmen","given":"Ahmet"}],"issued":{"date-parts":[["2017"]]}},"label":"page","prefix":"cf. "}],"schema":"https://github.com/citation-style-language/schema/raw/master/csl-citation.json"} </w:instrText>
      </w:r>
      <w:r w:rsidRPr="00662E51">
        <w:rPr>
          <w:szCs w:val="24"/>
        </w:rPr>
        <w:fldChar w:fldCharType="separate"/>
      </w:r>
      <w:r w:rsidR="0095662D" w:rsidRPr="00662E51">
        <w:rPr>
          <w:rFonts w:cs="Times New Roman"/>
          <w:kern w:val="0"/>
        </w:rPr>
        <w:t xml:space="preserve">(cf. Özden et </w:t>
      </w:r>
      <w:r w:rsidR="0095662D" w:rsidRPr="00662E51">
        <w:rPr>
          <w:rFonts w:cs="Times New Roman"/>
          <w:kern w:val="0"/>
        </w:rPr>
        <w:lastRenderedPageBreak/>
        <w:t>al. 2017)</w:t>
      </w:r>
      <w:r w:rsidRPr="00662E51">
        <w:rPr>
          <w:szCs w:val="24"/>
        </w:rPr>
        <w:fldChar w:fldCharType="end"/>
      </w:r>
      <w:r w:rsidRPr="00662E51">
        <w:rPr>
          <w:szCs w:val="24"/>
        </w:rPr>
        <w:t xml:space="preserve">. Through analysing the precise mechanisms of insulation and coercion in the “specific constellation of neoliberalism and state strategies that exploit the existing gendered, racial and class-based hierarchies,” I have demonstrated how the local state utilises authoritarian neoliberal practices to ensure capitalist accumulation at the local scale </w:t>
      </w:r>
      <w:r w:rsidRPr="00662E51">
        <w:rPr>
          <w:szCs w:val="24"/>
        </w:rPr>
        <w:fldChar w:fldCharType="begin"/>
      </w:r>
      <w:r w:rsidR="008835AB" w:rsidRPr="00662E51">
        <w:rPr>
          <w:szCs w:val="24"/>
        </w:rPr>
        <w:instrText xml:space="preserve"> ADDIN ZOTERO_ITEM CSL_CITATION {"citationID":"HmkGipxh","properties":{"formattedCitation":"(Tansel 2017, 11)","plainCitation":"(Tansel 2017, 11)","noteIndex":0},"citationItems":[{"id":5807,"uris":["http://zotero.org/users/8977980/items/KGMGBNMC"],"itemData":{"id":5807,"type":"book","abstract":"Despite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Burak"}],"issued":{"date-parts":[["2017",2,8]]}},"locator":"11"}],"schema":"https://github.com/citation-style-language/schema/raw/master/csl-citation.json"} </w:instrText>
      </w:r>
      <w:r w:rsidRPr="00662E51">
        <w:rPr>
          <w:szCs w:val="24"/>
        </w:rPr>
        <w:fldChar w:fldCharType="separate"/>
      </w:r>
      <w:r w:rsidR="0095662D" w:rsidRPr="00662E51">
        <w:t>(Tansel 2017, 11)</w:t>
      </w:r>
      <w:r w:rsidRPr="00662E51">
        <w:rPr>
          <w:szCs w:val="24"/>
        </w:rPr>
        <w:fldChar w:fldCharType="end"/>
      </w:r>
      <w:r w:rsidRPr="00662E51">
        <w:rPr>
          <w:szCs w:val="24"/>
        </w:rPr>
        <w:t xml:space="preserve">. I have further illustrated how political parties play a key role in the perpetuation of both insulating and coercive practices, reinforcing the importance of local struggles to understanding the persistence of neoliberal policy. While parties are often valuable vehicles for political action, HRW demonstrates that, often, “political parties and the state culminate in a narrowing of local political power” </w:t>
      </w:r>
      <w:r w:rsidRPr="00662E51">
        <w:rPr>
          <w:szCs w:val="24"/>
        </w:rPr>
        <w:fldChar w:fldCharType="begin"/>
      </w:r>
      <w:r w:rsidR="00557CA9" w:rsidRPr="00662E51">
        <w:rPr>
          <w:szCs w:val="24"/>
        </w:rPr>
        <w:instrText xml:space="preserve"> ADDIN ZOTERO_ITEM CSL_CITATION {"citationID":"dO0IEZ49","properties":{"formattedCitation":"(Ormerod 2021, 3)","plainCitation":"(Ormerod 2021, 3)","noteIndex":0},"citationItems":[{"id":3295,"uris":["http://zotero.org/users/8977980/items/UP7CRFTK"],"itemData":{"id":3295,"type":"article-journal","abstract":"This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ocator":"3","label":"page"}],"schema":"https://github.com/citation-style-language/schema/raw/master/csl-citation.json"} </w:instrText>
      </w:r>
      <w:r w:rsidRPr="00662E51">
        <w:rPr>
          <w:szCs w:val="24"/>
        </w:rPr>
        <w:fldChar w:fldCharType="separate"/>
      </w:r>
      <w:r w:rsidR="0095662D" w:rsidRPr="00662E51">
        <w:t>(Ormerod 2021, 3)</w:t>
      </w:r>
      <w:r w:rsidRPr="00662E51">
        <w:rPr>
          <w:szCs w:val="24"/>
        </w:rPr>
        <w:fldChar w:fldCharType="end"/>
      </w:r>
      <w:r w:rsidRPr="00662E51">
        <w:rPr>
          <w:szCs w:val="24"/>
        </w:rPr>
        <w:t xml:space="preserve">. Taken together, then, the case of HRW helps to explain why and how the neoliberal mindset is able to persist amidst popular opposition. However, as neoliberalism continues to morph—and rely on authoritarian practices to survive—the future remains open. Thus, to respond to Ormerod </w:t>
      </w:r>
      <w:r w:rsidRPr="00662E51">
        <w:rPr>
          <w:szCs w:val="24"/>
        </w:rPr>
        <w:fldChar w:fldCharType="begin"/>
      </w:r>
      <w:r w:rsidRPr="00662E51">
        <w:rPr>
          <w:szCs w:val="24"/>
        </w:rPr>
        <w:instrText xml:space="preserve"> ADDIN ZOTERO_ITEM CSL_CITATION {"citationID":"D07M3nkZ","properties":{"formattedCitation":"(2021)","plainCitation":"(2021)","noteIndex":0},"citationItems":[{"id":3295,"uris":["http://zotero.org/users/8977980/items/UP7CRFTK"],"itemData":{"id":3295,"type":"article-journal","abstract":"This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label":"page","suppress-author":true}],"schema":"https://github.com/citation-style-language/schema/raw/master/csl-citation.json"} </w:instrText>
      </w:r>
      <w:r w:rsidRPr="00662E51">
        <w:rPr>
          <w:szCs w:val="24"/>
        </w:rPr>
        <w:fldChar w:fldCharType="separate"/>
      </w:r>
      <w:r w:rsidR="0095662D" w:rsidRPr="00662E51">
        <w:t>(2021)</w:t>
      </w:r>
      <w:r w:rsidRPr="00662E51">
        <w:rPr>
          <w:szCs w:val="24"/>
        </w:rPr>
        <w:fldChar w:fldCharType="end"/>
      </w:r>
      <w:r w:rsidRPr="00662E51">
        <w:rPr>
          <w:szCs w:val="24"/>
        </w:rPr>
        <w:t>, this chapter reconceptualised the party-state nexus to reveal some of the ways that neoliberalism from above is reified as neoliberalism from below.</w:t>
      </w:r>
    </w:p>
    <w:p w14:paraId="69885432" w14:textId="77777777" w:rsidR="000D69B3" w:rsidRDefault="000D69B3">
      <w:pPr>
        <w:rPr>
          <w:szCs w:val="24"/>
        </w:rPr>
      </w:pPr>
      <w:r>
        <w:rPr>
          <w:szCs w:val="24"/>
        </w:rPr>
        <w:br w:type="page"/>
      </w:r>
    </w:p>
    <w:p w14:paraId="4EAA94FD" w14:textId="77777777" w:rsidR="00B2628A" w:rsidRPr="00662E51" w:rsidRDefault="00B2628A" w:rsidP="00DB0DB6">
      <w:pPr>
        <w:pStyle w:val="Style1"/>
      </w:pPr>
      <w:bookmarkStart w:id="481" w:name="_Toc213173991"/>
      <w:bookmarkStart w:id="482" w:name="_Toc216096186"/>
      <w:bookmarkStart w:id="483" w:name="_Toc221184379"/>
      <w:bookmarkStart w:id="484" w:name="_Toc231215295"/>
      <w:r w:rsidRPr="00662E51">
        <w:lastRenderedPageBreak/>
        <w:t>Chapter 8: Conclusion</w:t>
      </w:r>
      <w:bookmarkEnd w:id="481"/>
      <w:bookmarkEnd w:id="482"/>
      <w:bookmarkEnd w:id="483"/>
      <w:bookmarkEnd w:id="484"/>
    </w:p>
    <w:p w14:paraId="42C6E54F" w14:textId="77777777" w:rsidR="00B2628A" w:rsidRPr="00662E51" w:rsidRDefault="00B2628A" w:rsidP="00F56305">
      <w:pPr>
        <w:pStyle w:val="ListParagraph"/>
        <w:keepNext/>
        <w:keepLines/>
        <w:numPr>
          <w:ilvl w:val="0"/>
          <w:numId w:val="5"/>
        </w:numPr>
        <w:spacing w:line="360" w:lineRule="auto"/>
        <w:contextualSpacing w:val="0"/>
        <w:outlineLvl w:val="1"/>
        <w:rPr>
          <w:rFonts w:eastAsiaTheme="majorEastAsia" w:cstheme="majorBidi"/>
          <w:vanish/>
          <w:u w:val="single"/>
          <w:lang w:eastAsia="en-US"/>
        </w:rPr>
      </w:pPr>
      <w:bookmarkStart w:id="485" w:name="_Toc213160153"/>
      <w:bookmarkStart w:id="486" w:name="_Toc213160237"/>
      <w:bookmarkStart w:id="487" w:name="_Toc213170714"/>
      <w:bookmarkStart w:id="488" w:name="_Toc213173992"/>
      <w:bookmarkStart w:id="489" w:name="_Toc216096017"/>
      <w:bookmarkStart w:id="490" w:name="_Toc216096121"/>
      <w:bookmarkStart w:id="491" w:name="_Toc216096187"/>
      <w:bookmarkStart w:id="492" w:name="_Toc216875772"/>
      <w:bookmarkStart w:id="493" w:name="_Toc216875876"/>
      <w:bookmarkStart w:id="494" w:name="_Toc216876653"/>
      <w:bookmarkStart w:id="495" w:name="_Toc216877820"/>
      <w:bookmarkStart w:id="496" w:name="_Toc216878209"/>
      <w:bookmarkStart w:id="497" w:name="_Toc216878560"/>
      <w:bookmarkStart w:id="498" w:name="_Toc216959867"/>
      <w:bookmarkStart w:id="499" w:name="_Toc216960731"/>
      <w:bookmarkStart w:id="500" w:name="_Toc216968070"/>
      <w:bookmarkStart w:id="501" w:name="_Toc216968331"/>
      <w:bookmarkStart w:id="502" w:name="_Toc216968473"/>
      <w:bookmarkStart w:id="503" w:name="_Toc216970145"/>
      <w:bookmarkStart w:id="504" w:name="_Toc216985791"/>
      <w:bookmarkStart w:id="505" w:name="_Toc216985908"/>
      <w:bookmarkStart w:id="506" w:name="_Toc216986025"/>
      <w:bookmarkStart w:id="507" w:name="_Toc216986142"/>
      <w:bookmarkStart w:id="508" w:name="_Toc216986259"/>
      <w:bookmarkStart w:id="509" w:name="_Toc217295479"/>
      <w:bookmarkStart w:id="510" w:name="_Toc220791101"/>
      <w:bookmarkStart w:id="511" w:name="_Toc220922432"/>
      <w:bookmarkStart w:id="512" w:name="_Toc221112553"/>
      <w:bookmarkStart w:id="513" w:name="_Toc221184380"/>
      <w:bookmarkStart w:id="514" w:name="_Toc221195288"/>
      <w:bookmarkStart w:id="515" w:name="_Toc221786872"/>
      <w:bookmarkStart w:id="516" w:name="_Toc231215296"/>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p>
    <w:p w14:paraId="01229265" w14:textId="537D2B48" w:rsidR="00B2628A" w:rsidRPr="00662E51" w:rsidRDefault="00B2628A" w:rsidP="00F56305">
      <w:pPr>
        <w:pStyle w:val="Heading2"/>
      </w:pPr>
      <w:bookmarkStart w:id="517" w:name="_Toc213173993"/>
      <w:bookmarkStart w:id="518" w:name="_Toc216096188"/>
      <w:bookmarkStart w:id="519" w:name="_Toc221184381"/>
      <w:bookmarkStart w:id="520" w:name="_Toc231215297"/>
      <w:r w:rsidRPr="00662E51">
        <w:t>Introduction</w:t>
      </w:r>
      <w:bookmarkEnd w:id="517"/>
      <w:bookmarkEnd w:id="518"/>
      <w:bookmarkEnd w:id="519"/>
      <w:r w:rsidR="00836748">
        <w:t>:</w:t>
      </w:r>
      <w:bookmarkEnd w:id="520"/>
    </w:p>
    <w:p w14:paraId="2656D00F" w14:textId="3B53B270" w:rsidR="00B2628A" w:rsidRPr="00662E51" w:rsidRDefault="00B2628A" w:rsidP="00F56305">
      <w:pPr>
        <w:spacing w:line="360" w:lineRule="auto"/>
        <w:ind w:left="0"/>
        <w:rPr>
          <w:szCs w:val="24"/>
        </w:rPr>
      </w:pPr>
      <w:r w:rsidRPr="00662E51">
        <w:rPr>
          <w:szCs w:val="24"/>
        </w:rPr>
        <w:t xml:space="preserve">At the core of this doctoral thesis is an attempt to understand how British local governments continue large-scale regeneration schemes in defiance of strong local opposition. </w:t>
      </w:r>
      <w:r w:rsidR="00321FD4" w:rsidRPr="00662E51">
        <w:rPr>
          <w:szCs w:val="24"/>
        </w:rPr>
        <w:t xml:space="preserve">This is paired with an attempt </w:t>
      </w:r>
      <w:r w:rsidRPr="00662E51">
        <w:rPr>
          <w:szCs w:val="24"/>
        </w:rPr>
        <w:t>to uncover how activism can be successful during times of authoritarian neoliberalism (AN)—both contemporary and historical. This thesis additionally examines how the local state and local political parties work together to stifle dissent as well as examining how housing type fits within broader activism. I considered the two threads</w:t>
      </w:r>
      <w:r w:rsidR="00032BCE" w:rsidRPr="00662E51">
        <w:rPr>
          <w:szCs w:val="24"/>
        </w:rPr>
        <w:t xml:space="preserve"> of activism and authoritarian neoliberalism</w:t>
      </w:r>
      <w:r w:rsidRPr="00662E51">
        <w:rPr>
          <w:szCs w:val="24"/>
        </w:rPr>
        <w:t xml:space="preserve"> across three case studies. My examination started with the resistance and activism of the Broadwater Farm Youth Association, considering how</w:t>
      </w:r>
      <w:r w:rsidR="00FB401A">
        <w:rPr>
          <w:szCs w:val="24"/>
        </w:rPr>
        <w:t xml:space="preserve">, </w:t>
      </w:r>
      <w:r w:rsidRPr="00662E51">
        <w:rPr>
          <w:szCs w:val="24"/>
        </w:rPr>
        <w:t>despite its intensity and power</w:t>
      </w:r>
      <w:r w:rsidR="00FB401A">
        <w:rPr>
          <w:szCs w:val="24"/>
        </w:rPr>
        <w:t xml:space="preserve">, </w:t>
      </w:r>
      <w:r w:rsidRPr="00662E51">
        <w:rPr>
          <w:szCs w:val="24"/>
        </w:rPr>
        <w:t xml:space="preserve">authoritarian neoliberalism cannot stifle all opposition. </w:t>
      </w:r>
      <w:r w:rsidR="001101CE" w:rsidRPr="00662E51">
        <w:rPr>
          <w:szCs w:val="24"/>
        </w:rPr>
        <w:t xml:space="preserve">BFYA’s </w:t>
      </w:r>
      <w:r w:rsidRPr="00662E51">
        <w:rPr>
          <w:szCs w:val="24"/>
        </w:rPr>
        <w:t>opposition appears in quieter forms but is still equally transformative. I then continued with analysis of authoritarian neoliberalism by focusing on the local state, considering how it intersects with local political parties. This analysis utilised two case studies, with one considering an instance of activist success (the Haringey Development Vehicle) and another considering activist failure (High Road West). Together, the cases prompted reflections on illiberalism and its various scales, the complex interrelations that compose what we call ‘the state’, and forms of activism that ‘count.’ My doctoral work brings together bodies of literature on the state, activism, and new forms of neoliberalism to understand the contemporary status of council housing in the UK</w:t>
      </w:r>
      <w:r w:rsidR="005A49F5">
        <w:rPr>
          <w:szCs w:val="24"/>
        </w:rPr>
        <w:t xml:space="preserve"> </w:t>
      </w:r>
      <w:r w:rsidR="005A49F5" w:rsidRPr="005A49F5">
        <w:rPr>
          <w:szCs w:val="24"/>
        </w:rPr>
        <w:t>and how it intersects with broader urban changes</w:t>
      </w:r>
      <w:r w:rsidRPr="00662E51">
        <w:rPr>
          <w:szCs w:val="24"/>
        </w:rPr>
        <w:t xml:space="preserve">. </w:t>
      </w:r>
    </w:p>
    <w:p w14:paraId="6B789F19" w14:textId="227872EE" w:rsidR="00B2628A" w:rsidRPr="00662E51" w:rsidRDefault="00B2628A" w:rsidP="00F56305">
      <w:pPr>
        <w:spacing w:line="360" w:lineRule="auto"/>
        <w:ind w:left="0"/>
        <w:rPr>
          <w:szCs w:val="24"/>
        </w:rPr>
      </w:pPr>
      <w:r w:rsidRPr="00662E51">
        <w:rPr>
          <w:szCs w:val="24"/>
        </w:rPr>
        <w:tab/>
        <w:t xml:space="preserve">Throughout this thesis, I have centred the voices, experiences, and perspectives of campaigners and politicians—contemporary and historical. In doing so, I have endeavoured to represent their contradictory and conflicting views without flattening or condensing their heterogeneity. This approach allowed for a more complete understanding of the literal relations from which the local state emerges. I coupled this with a wide range of methods and types of data, which allowed me to reveal the specific mechanisms of both authoritarian neoliberalism </w:t>
      </w:r>
      <w:r w:rsidRPr="00662E51">
        <w:rPr>
          <w:szCs w:val="24"/>
        </w:rPr>
        <w:lastRenderedPageBreak/>
        <w:t xml:space="preserve">at the local level and its resistance. I expand on the insights and contributions in further detail </w:t>
      </w:r>
      <w:r w:rsidR="00727D8C" w:rsidRPr="00662E51">
        <w:rPr>
          <w:szCs w:val="24"/>
        </w:rPr>
        <w:t>in sections below.</w:t>
      </w:r>
    </w:p>
    <w:p w14:paraId="0D7C6AA6" w14:textId="1A759DD9" w:rsidR="00B2628A" w:rsidRPr="00662E51" w:rsidRDefault="00B2628A" w:rsidP="00F56305">
      <w:pPr>
        <w:spacing w:line="360" w:lineRule="auto"/>
        <w:ind w:left="0"/>
        <w:rPr>
          <w:szCs w:val="24"/>
        </w:rPr>
      </w:pPr>
      <w:r w:rsidRPr="00662E51">
        <w:rPr>
          <w:szCs w:val="24"/>
        </w:rPr>
        <w:tab/>
        <w:t>This concluding chapter is organised as follows. Organised by theme, the next sections document the main contributions and findings of this work. The subsequent portion considers the limitations of the project, its future steps, and impact. I finish with</w:t>
      </w:r>
      <w:r w:rsidR="007E04A8" w:rsidRPr="00662E51">
        <w:rPr>
          <w:szCs w:val="24"/>
        </w:rPr>
        <w:t xml:space="preserve"> a</w:t>
      </w:r>
      <w:r w:rsidR="00E064AD" w:rsidRPr="00662E51">
        <w:rPr>
          <w:szCs w:val="24"/>
        </w:rPr>
        <w:t xml:space="preserve"> call to </w:t>
      </w:r>
      <w:r w:rsidR="00F0734A" w:rsidRPr="00662E51">
        <w:rPr>
          <w:szCs w:val="24"/>
        </w:rPr>
        <w:t xml:space="preserve">rigorously </w:t>
      </w:r>
      <w:r w:rsidR="00E064AD" w:rsidRPr="00662E51">
        <w:rPr>
          <w:szCs w:val="24"/>
        </w:rPr>
        <w:t xml:space="preserve">analyse </w:t>
      </w:r>
      <w:r w:rsidR="00F0734A" w:rsidRPr="00662E51">
        <w:rPr>
          <w:szCs w:val="24"/>
        </w:rPr>
        <w:t xml:space="preserve">two vehicles for </w:t>
      </w:r>
      <w:r w:rsidR="007E04A8" w:rsidRPr="00662E51">
        <w:rPr>
          <w:szCs w:val="24"/>
        </w:rPr>
        <w:t>change at a time of rising anti-democratic, authoritarian, and illiberal movements and states</w:t>
      </w:r>
      <w:r w:rsidR="00F0734A" w:rsidRPr="00662E51">
        <w:rPr>
          <w:szCs w:val="24"/>
        </w:rPr>
        <w:t>—the party and ‘quiet’ activism</w:t>
      </w:r>
      <w:r w:rsidR="007E04A8" w:rsidRPr="00662E51">
        <w:rPr>
          <w:szCs w:val="24"/>
        </w:rPr>
        <w:t xml:space="preserve">. </w:t>
      </w:r>
      <w:r w:rsidR="00E064AD" w:rsidRPr="00662E51">
        <w:rPr>
          <w:szCs w:val="24"/>
        </w:rPr>
        <w:t xml:space="preserve">I also suggest that greater attention should be paid to the local scale as a path to rebuilding and strengthening democracy globally. </w:t>
      </w:r>
    </w:p>
    <w:p w14:paraId="79141507" w14:textId="77777777" w:rsidR="00B2628A" w:rsidRPr="00662E51" w:rsidRDefault="00B2628A" w:rsidP="00F56305">
      <w:pPr>
        <w:spacing w:line="360" w:lineRule="auto"/>
        <w:ind w:left="0"/>
        <w:rPr>
          <w:szCs w:val="24"/>
        </w:rPr>
      </w:pPr>
    </w:p>
    <w:p w14:paraId="1277ACA0" w14:textId="03F23BCE" w:rsidR="00B2628A" w:rsidRPr="00662E51" w:rsidRDefault="00B2628A" w:rsidP="00F56305">
      <w:pPr>
        <w:pStyle w:val="Heading2"/>
      </w:pPr>
      <w:bookmarkStart w:id="521" w:name="_Toc213173994"/>
      <w:bookmarkStart w:id="522" w:name="_Toc216096189"/>
      <w:bookmarkStart w:id="523" w:name="_Toc221184382"/>
      <w:bookmarkStart w:id="524" w:name="_Toc231215298"/>
      <w:r w:rsidRPr="00662E51">
        <w:t>Contributions and Findings</w:t>
      </w:r>
      <w:bookmarkEnd w:id="521"/>
      <w:bookmarkEnd w:id="522"/>
      <w:bookmarkEnd w:id="523"/>
      <w:r w:rsidR="00836748">
        <w:t>:</w:t>
      </w:r>
      <w:bookmarkEnd w:id="524"/>
    </w:p>
    <w:p w14:paraId="14262C00" w14:textId="38DE7766" w:rsidR="00B2628A" w:rsidRPr="00662E51" w:rsidRDefault="00B2628A" w:rsidP="00F56305">
      <w:pPr>
        <w:spacing w:line="360" w:lineRule="auto"/>
        <w:ind w:left="0"/>
        <w:rPr>
          <w:szCs w:val="24"/>
        </w:rPr>
      </w:pPr>
      <w:r w:rsidRPr="00662E51">
        <w:rPr>
          <w:szCs w:val="24"/>
        </w:rPr>
        <w:t>My project has brought four important literatures into dialogue: relational perspectives of the state</w:t>
      </w:r>
      <w:r w:rsidR="00B03FD9" w:rsidRPr="00662E51">
        <w:rPr>
          <w:szCs w:val="24"/>
        </w:rPr>
        <w:t xml:space="preserve"> </w:t>
      </w:r>
      <w:r w:rsidR="00270566" w:rsidRPr="00662E51">
        <w:rPr>
          <w:szCs w:val="24"/>
        </w:rPr>
        <w:fldChar w:fldCharType="begin"/>
      </w:r>
      <w:r w:rsidR="00F15CF8">
        <w:rPr>
          <w:szCs w:val="24"/>
        </w:rPr>
        <w:instrText xml:space="preserve"> ADDIN ZOTERO_ITEM CSL_CITATION {"citationID":"W5MZSPxV","properties":{"formattedCitation":"(Hillier et al. 2022; Jessop 2010, 2016; Painter 2006)","plainCitation":"(Hillier et al. 2022; Jessop 2010, 2016; Painter 2006)","noteIndex":0},"citationItems":[{"id":6789,"uris":["http://zotero.org/users/8977980/items/AHSAC3MA"],"itemData":{"id":6789,"type":"book","ISBN":"978-1-7781797-0-9","language":"en","number-of-pages":"191","publisher":"1984press","title":"Regulation Theory, Space and Uneven Development: Conversations and Challenges","title-short":"Regulation Theory, Space and Uneven Development","author":[{"family":"Hillier","given":"Brandon"},{"family":"Philips","given":"Rachel"},{"family":"Peck","given":"Jamie"}],"issued":{"date-parts":[["2022"]]}}},{"id":5755,"uris":["http://zotero.org/users/8977980/items/2VETAAYR"],"itemData":{"id":5755,"type":"book","edition":"Reprinted","ISBN":"978-0-7456-3320-6","language":"eng","number-of-pages":"301","publisher":"Polity Press","publisher-place":"Cambridge","source":"K10plus ISBN","title":"State Power: a strategic-relational approach","title-short":"State power","author":[{"family":"Jessop","given":"Bob"}],"issued":{"date-parts":[["2010"]]}}},{"id":6781,"uris":["http://zotero.org/users/8977980/items/6VKLXRIF"],"itemData":{"id":6781,"type":"book","abstract":"Intro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stateness","volume":"25","author":[{"family":"Painter","given":"Joe"}],"issued":{"date-parts":[["2006",9,1]]}}}],"schema":"https://github.com/citation-style-language/schema/raw/master/csl-citation.json"} </w:instrText>
      </w:r>
      <w:r w:rsidR="00270566" w:rsidRPr="00662E51">
        <w:rPr>
          <w:szCs w:val="24"/>
        </w:rPr>
        <w:fldChar w:fldCharType="separate"/>
      </w:r>
      <w:r w:rsidR="00F15CF8" w:rsidRPr="00F15CF8">
        <w:t>(Hillier et al. 2022; Jessop 2010, 2016; Painter 2006)</w:t>
      </w:r>
      <w:r w:rsidR="00270566" w:rsidRPr="00662E51">
        <w:rPr>
          <w:szCs w:val="24"/>
        </w:rPr>
        <w:fldChar w:fldCharType="end"/>
      </w:r>
      <w:r w:rsidRPr="00662E51">
        <w:rPr>
          <w:szCs w:val="24"/>
        </w:rPr>
        <w:t>, critical views on the Labour Party</w:t>
      </w:r>
      <w:r w:rsidR="00270566" w:rsidRPr="00662E51">
        <w:rPr>
          <w:szCs w:val="24"/>
        </w:rPr>
        <w:t xml:space="preserve"> </w:t>
      </w:r>
      <w:r w:rsidR="00553FB8" w:rsidRPr="00662E51">
        <w:rPr>
          <w:szCs w:val="24"/>
        </w:rPr>
        <w:fldChar w:fldCharType="begin"/>
      </w:r>
      <w:r w:rsidR="00F15CF8">
        <w:rPr>
          <w:szCs w:val="24"/>
        </w:rPr>
        <w:instrText xml:space="preserve"> ADDIN ZOTERO_ITEM CSL_CITATION {"citationID":"zwrPlxtg","properties":{"formattedCitation":"(Cockburn 1980; Gilbert 2021a, 2023; Miliband 1973)","plainCitation":"(Cockburn 1980; Gilbert 2021a, 2023; Miliband 1973)","noteIndex":0},"citationItems":[{"id":5811,"uris":["http://zotero.org/users/8977980/items/U5ZYVUT5"],"itemData":{"id":5811,"type":"book","edition":"Repr","ISBN":"978-0-904383-48-5","language":"eng","number-of-pages":"207","publisher":"Pluto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state","author":[{"family":"Cockburn","given":"Cynthia"}],"issued":{"date-parts":[["1980"]]}}},{"id":6824,"uris":["http://zotero.org/users/8977980/items/ZVTM8KFG"],"itemData":{"id":6824,"type":"post-weblog","abstract":"Why we shouldn't leave the Labour Party","container-title":"The Educator","language":"en-GB","title":"Why We Shouldn't Leave the Labour Party","title-short":"The Educator","URL":"https://peoplesmomentum.com/newsletters/the-educator/why-we-shouldnt-leave-the-labour-party/","author":[{"family":"Gilbert","given":"Jeremy"}],"accessed":{"date-parts":[["2025",8,8]]},"issued":{"date-parts":[["2021",12,15]]}}},{"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6775,"uris":["http://zotero.org/users/8977980/items/WA9H2UEI"],"itemData":{"id":6775,"type":"book","call-number":"324.24107 MIL","edition":"2d ed.","ISBN":"978-0-85036-135-3","language":"eng","number-of-pages":"384","publisher":"Merlin Press","publisher-place":"London","source":"discover.durham.ac.uk","title":"Parliamentary socialism: a study in the politics of Labour","title-short":"Parliamentary socialism","author":[{"family":"Miliband","given":"Ralph"}],"issued":{"date-parts":[["1973"]]}}}],"schema":"https://github.com/citation-style-language/schema/raw/master/csl-citation.json"} </w:instrText>
      </w:r>
      <w:r w:rsidR="00553FB8" w:rsidRPr="00662E51">
        <w:rPr>
          <w:szCs w:val="24"/>
        </w:rPr>
        <w:fldChar w:fldCharType="separate"/>
      </w:r>
      <w:r w:rsidR="00F15CF8" w:rsidRPr="00F15CF8">
        <w:t>(Cockburn 1980; Gilbert 2021a, 2023; Miliband 1973)</w:t>
      </w:r>
      <w:r w:rsidR="00553FB8" w:rsidRPr="00662E51">
        <w:rPr>
          <w:szCs w:val="24"/>
        </w:rPr>
        <w:fldChar w:fldCharType="end"/>
      </w:r>
      <w:r w:rsidRPr="00662E51">
        <w:rPr>
          <w:szCs w:val="24"/>
        </w:rPr>
        <w:t>, authoritarian neoliberalism</w:t>
      </w:r>
      <w:r w:rsidR="00553FB8" w:rsidRPr="00662E51">
        <w:rPr>
          <w:szCs w:val="24"/>
        </w:rPr>
        <w:t xml:space="preserve"> </w:t>
      </w:r>
      <w:r w:rsidR="006D5E35" w:rsidRPr="00662E51">
        <w:rPr>
          <w:szCs w:val="24"/>
        </w:rPr>
        <w:fldChar w:fldCharType="begin"/>
      </w:r>
      <w:r w:rsidR="008835AB" w:rsidRPr="00662E51">
        <w:rPr>
          <w:szCs w:val="24"/>
        </w:rPr>
        <w:instrText xml:space="preserve"> ADDIN ZOTERO_ITEM CSL_CITATION {"citationID":"d2ygZBLs","properties":{"formattedCitation":"(Bruff 2014; Bruff and Tansel 2021; Can et al. 2024)","plainCitation":"(Bruff 2014; Bruff and Tansel 2021; Can et al. 2024)","noteIndex":0},"citationItems":[{"id":5773,"uris":["http://zotero.org/users/8977980/items/YQRZXUST"],"itemData":{"id":5773,"type":"article-journal","container-title":"Rethinking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Neoliberalism","volume":"26","author":[{"family":"Bruff","given":"Ian"}],"issued":{"date-parts":[["2014",1,2]]}}},{"id":6610,"uris":["http://zotero.org/users/8977980/items/2E9XNATW"],"itemData":{"id":6610,"type":"book","collection-title":"Rethinking globalizations","ISBN":"978-1-032-08802-0","language":"eng","number-of-pages":"141","publisher":"Routledge, Taylor &amp; Francis Group","publisher-place":"London New York","source":"K10plus ISBN","title":"Authoritarian neoliberalism: philosophies, practices, contestations","title-short":"Authoritarian neoliberalism","editor":[{"family":"Bruff","given":"Ian"},{"family":"Tansel","given":"Cemal Burak"}],"issued":{"date-parts":[["2021"]]}}},{"id":5762,"uris":["http://zotero.org/users/8977980/items/NKYRYKPW"],"itemData":{"id":5762,"type":"article-journal","abstract":"This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schema":"https://github.com/citation-style-language/schema/raw/master/csl-citation.json"} </w:instrText>
      </w:r>
      <w:r w:rsidR="006D5E35" w:rsidRPr="00662E51">
        <w:rPr>
          <w:szCs w:val="24"/>
        </w:rPr>
        <w:fldChar w:fldCharType="separate"/>
      </w:r>
      <w:r w:rsidR="006D5E35" w:rsidRPr="00662E51">
        <w:t>(Bruff 2014; Bruff and Tansel 2021; Can et al. 2024)</w:t>
      </w:r>
      <w:r w:rsidR="006D5E35" w:rsidRPr="00662E51">
        <w:rPr>
          <w:szCs w:val="24"/>
        </w:rPr>
        <w:fldChar w:fldCharType="end"/>
      </w:r>
      <w:r w:rsidRPr="00662E51">
        <w:rPr>
          <w:szCs w:val="24"/>
        </w:rPr>
        <w:t>, and acts of citizenship</w:t>
      </w:r>
      <w:r w:rsidR="006D5E35" w:rsidRPr="00662E51">
        <w:rPr>
          <w:szCs w:val="24"/>
        </w:rPr>
        <w:t xml:space="preserve"> </w:t>
      </w:r>
      <w:r w:rsidR="006D5E35" w:rsidRPr="00662E51">
        <w:rPr>
          <w:szCs w:val="24"/>
        </w:rPr>
        <w:fldChar w:fldCharType="begin"/>
      </w:r>
      <w:r w:rsidR="008E2F28">
        <w:rPr>
          <w:szCs w:val="24"/>
        </w:rPr>
        <w:instrText xml:space="preserve"> ADDIN ZOTERO_ITEM CSL_CITATION {"citationID":"HtGyv4TM","properties":{"formattedCitation":"(Isin 2008, 2009)","plainCitation":"(Isin 2008, 2009)","noteIndex":0},"citationItems":[{"id":256,"uris":["http://zotero.org/users/8977980/items/ZRWP6PIY"],"itemData":{"id":256,"type":"chapter","abstract":"Politics,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Marc"}],"author":[{"family":"Isin","given":"Engin"}],"accessed":{"date-parts":[["2022",2,3]]},"issued":{"date-parts":[["2008"]]}}},{"id":3264,"uris":["http://zotero.org/users/8977980/items/NL6Y98JU"],"itemData":{"id":3264,"type":"article-journal","abstract":"Throughout the twentieth century the figure of citizenship that has been dominant since the eighteenth and nineteenth centuries has begun to change. We have witnessed the emergence of new rights including ecological, sexual and indigenous rights as well as blurring of the boundaries between human and civil, political and social rights and the articulation of rights by (and to) cities, regions and across states. We have witnessed the birth of new ‘acts of citizenship’: both organized and spontaneous protests to include situationist and carnivalesque forms. We have also witnessed the emergence of ‘activist’ international courts (and judges), as well as new media and social networking as sites of struggles. How subjects act to become citizens and claim citizenship has thus substantially changed. This article interprets these developments as heralding a new figure of citizenship, and begins the important task of developing a new vocabulary by which it can be understood.","container-title":"Subjectivity","DOI":"10.1057/sub.2009.25","ISSN":"1755-635X","issue":"1","journalAbbreviation":"Subjectivity","language":"en","page":"367-388","source":"Springer Link","title":"Citizenship in flux: The figure of the activist citizen","title-short":"Citizenship in flux","volume":"29","author":[{"family":"Isin","given":"Engin"}],"issued":{"date-parts":[["2009",12,1]]}}}],"schema":"https://github.com/citation-style-language/schema/raw/master/csl-citation.json"} </w:instrText>
      </w:r>
      <w:r w:rsidR="006D5E35" w:rsidRPr="00662E51">
        <w:rPr>
          <w:szCs w:val="24"/>
        </w:rPr>
        <w:fldChar w:fldCharType="separate"/>
      </w:r>
      <w:r w:rsidR="008E2F28" w:rsidRPr="008E2F28">
        <w:t>(Isin 2008, 2009)</w:t>
      </w:r>
      <w:r w:rsidR="006D5E35" w:rsidRPr="00662E51">
        <w:rPr>
          <w:szCs w:val="24"/>
        </w:rPr>
        <w:fldChar w:fldCharType="end"/>
      </w:r>
      <w:r w:rsidR="00B03FD9" w:rsidRPr="00662E51">
        <w:rPr>
          <w:szCs w:val="24"/>
        </w:rPr>
        <w:t>.</w:t>
      </w:r>
      <w:r w:rsidRPr="00662E51">
        <w:rPr>
          <w:szCs w:val="24"/>
        </w:rPr>
        <w:t xml:space="preserve"> However, I examine their intersections at a local scale—eschewing an analysis that reifies methodological nationalism </w:t>
      </w:r>
      <w:r w:rsidR="009E5AC5" w:rsidRPr="00662E51">
        <w:rPr>
          <w:szCs w:val="24"/>
        </w:rPr>
        <w:fldChar w:fldCharType="begin"/>
      </w:r>
      <w:r w:rsidR="008835AB" w:rsidRPr="00662E51">
        <w:rPr>
          <w:szCs w:val="24"/>
        </w:rPr>
        <w:instrText xml:space="preserve"> ADDIN ZOTERO_ITEM CSL_CITATION {"citationID":"1pV6ZhA1","properties":{"formattedCitation":"(Beck 2007; Beck and Beck-Gernsheim 2009; Wimmer and Glick Schiller 2002)","plainCitation":"(Beck 2007; Beck and Beck-Gernsheim 2009; Wimmer and Glick Schiller 2002)","noteIndex":0},"citationItems":[{"id":6783,"uris":["http://zotero.org/users/8977980/items/SIBZULEB"],"itemData":{"id":6783,"type":"article-journal","container-title":"Theory, Culture &amp; Society","DOI":"10.1177/02632764070240072505","ISSN":"0263-2764","issue":"7-8","language":"EN","page":"286-290","publisher":"SAGE Publications Ltd","source":"SAGE Journals","title":"The Cosmopolitan Condition: Why Methodological Nationalism Fails","title-short":"The Cosmopolitan Condition","volume":"24","author":[{"family":"Beck","given":"Ulrich"}],"issued":{"date-parts":[["2007",12,1]]}}},{"id":6791,"uris":["http://zotero.org/users/8977980/items/84UUA9Q5"],"itemData":{"id":6791,"type":"article-journal","abstract":"Is there such a thing as ‘global generations’? What does ‘global generation’ mean? Can we, as we did so far, still understand the concept of generation in a national frame of reference? Or do we need a cosmopolitan outlook to understand the generational dynamics that exacerbate inter-generational tensions within nations and intra-generational affinities and conflicts between nations? For example, globalized ‘Consumer Generations’ comprise very different fractions; not only those who buy and live with consumer brands and images, but also those who are unable to buy and live with these symbols, but risk their lives to become migrants to the consumer paradises of the Western World or Dubai. Our thesis is: A cosmopolitan sociology is required in order to understand the situations, impacts, divisions, contradictions, and desires of the global generations. A cosmopolitan sociology means a sociology that gets rid off ‘methodological nationalism’ and takes globality and (human) social life on planet Earth seriously. A cosmopolitan sociology differs from a universalistic one by starting, not from anything supposedly general, but from global variability, global interconnectedness, and global intercommunication. It means treating the global generations not as a single, universal generation with common symbols and a unique consciousness. Rather, it conceptualizes and analyses a multiplicity of global generations that appear as a set of intertwined transnational generational constellations.","container-title":"European Sociological Review","DOI":"10.1093/esr/jcn032","ISSN":"0266-7215","issue":"1","journalAbbreviation":"Eur Sociol Rev","page":"25-36","source":"Silverchair","title":"Global Generations and the Trap of Methodological Nationalism For a Cosmopolitan Turn in the Sociology of Youth and Generation","volume":"25","author":[{"family":"Beck","given":"Ulrich"},{"family":"Beck-Gernsheim","given":"Elisabeth"}],"issued":{"date-parts":[["2009",2,1]]}}},{"id":6784,"uris":["http://zotero.org/users/8977980/items/PD5YHWGU"],"itemData":{"id":6784,"type":"article-journal","abstract":"Methodological nationalism is understood as the assumption that the nation/state/society is the natural social and political form of the modern world. We distinguish three modes of methodological nationalism that have characterized mainstream social science, and then show how these have influenced research on migration. We discover parallels between nationalist thinking and the conceptualization of migration in postwar social sciences. In a historical tour d’horizon, we show that this mainstream concept has developed in close interaction with nation–state building processes in the West and the role that immigration and integration policies have played within them. The shift towards a study of ‘transnational communities’— the last phase in this process — was more a consequence of an epistemic move away from methodological nationalism than of the appearance of new objects of observation. The article concludes by recommending new concepts for analysis that, on the one hand, are not coloured by methodological nationalism and, on the other hand, go beyond the fluidism of much contemporary social theory.","container-title":"Global Networks","DOI":"10.1111/1471-0374.00043","ISSN":"1471-0374","issue":"4","language":"en","license":"Blackwell Publishers Ltd. &amp; Global Networks Partnership 2002","note":"_eprint: https://onlinelibrary.wiley.com/doi/pdf/10.1111/1471-0374.00043","page":"301-334","source":"Wiley Online Library","title":"Methodological nationalism and beyond: nation–state building, migration and the social sciences","title-short":"Methodological nationalism and beyond","volume":"2","author":[{"family":"Wimmer","given":"Andreas"},{"family":"Glick Schiller","given":"Nina"}],"issued":{"date-parts":[["2002"]]}}}],"schema":"https://github.com/citation-style-language/schema/raw/master/csl-citation.json"} </w:instrText>
      </w:r>
      <w:r w:rsidR="009E5AC5" w:rsidRPr="00662E51">
        <w:rPr>
          <w:szCs w:val="24"/>
        </w:rPr>
        <w:fldChar w:fldCharType="separate"/>
      </w:r>
      <w:r w:rsidR="009E1366" w:rsidRPr="00662E51">
        <w:t>(Beck 2007; Beck and Beck-Gernsheim 2009; Wimmer and Glick Schiller 2002)</w:t>
      </w:r>
      <w:r w:rsidR="009E5AC5" w:rsidRPr="00662E51">
        <w:rPr>
          <w:szCs w:val="24"/>
        </w:rPr>
        <w:fldChar w:fldCharType="end"/>
      </w:r>
      <w:r w:rsidR="00746B8B">
        <w:rPr>
          <w:szCs w:val="24"/>
        </w:rPr>
        <w:t>. T</w:t>
      </w:r>
      <w:r w:rsidRPr="00662E51">
        <w:rPr>
          <w:szCs w:val="24"/>
        </w:rPr>
        <w:t>his work concentrates on the interconnections between state, party, illiberalism, and activism in the urban realm. Thinking through how dynamics of authoritarian governance, relations between the state and the party, and the activism work at the local scale opened up new ways of thinking of the urban’s role in capitalist accumulation</w:t>
      </w:r>
      <w:r w:rsidR="00CD381B" w:rsidRPr="00662E51">
        <w:rPr>
          <w:szCs w:val="24"/>
        </w:rPr>
        <w:t xml:space="preserve"> </w:t>
      </w:r>
      <w:r w:rsidR="005E1532" w:rsidRPr="00662E51">
        <w:rPr>
          <w:szCs w:val="24"/>
        </w:rPr>
        <w:fldChar w:fldCharType="begin"/>
      </w:r>
      <w:r w:rsidR="00213B80">
        <w:rPr>
          <w:szCs w:val="24"/>
        </w:rPr>
        <w:instrText xml:space="preserve"> ADDIN ZOTERO_ITEM CSL_CITATION {"citationID":"sXC3mfnc","properties":{"formattedCitation":"(Can et al. 2024; \\uc0\\u214{}zata\\uc0\\u287{}an et al. 2025)","plainCitation":"(Can et al. 2024; Özatağan et al. 2025)","noteIndex":0},"citationItems":[{"id":5762,"uris":["http://zotero.org/users/8977980/items/NKYRYKPW"],"itemData":{"id":5762,"type":"article-journal","abstract":"This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id":7104,"uris":["http://zotero.org/users/8977980/items/52EDWD4T","http://zotero.org/users/8977980/items/35SNJANE"],"itemData":{"id":7104,"type":"article-journal","abstract":"This Special Issue presents ‘authoritarian neoliberal urbanism’ as an empirical marker and a concept that signposts the ascendence of a new constellation in which authoritarianism becomes an ever-growing force in our cities in the neoliberal present, not only structuring how urban space is experienced but also repurposing it to reinforce authoritarian legitimacy and consolidate political power. This paper introduces six contributions that empirically or conceptually uncover some of the complexities of this new constellation which have remained untracked, unnarrated and misdiagnosed. We draw on the collective insights from these contributions to posit that authoritarian neoliberal urbanism is neither monolithic nor uniformly oppressive. It adapts to local contexts and conjunctural shifts, is (re)configured through both formal and informal, flexible and rigid, (il)legitimate and illegible governance tools and through complex engagements between the state, market actors and urban populations alike, often in tandem with the state’s continuous effort to (re)secure political legitimacy. Such paradoxes, we suggest, urge taking seriously the variegated, contested, and evolving nature of authoritarian neoliberal urbanism(s) as well as their context-specific and situated contradictions and ambiguities. It is within these contradictions and ambiguities that alternatives to neoliberal continuity may be found and the intensifying slide towards illiberal form(s) of capitalism can be transcended.","container-title":"Urban Studies","DOI":"10.1177/00420980251361667","ISSN":"0042-0980","issue":"15","language":"EN","page":"2917-2934","publisher":"SAGE Publications Ltd","source":"SAGE Journals","title":"Neoliberal crises and the city: Wrestling with authoritarian neoliberal urbanism(s)","title-short":"Neoliberal crises and the city","volume":"62","author":[{"family":"Özatağan","given":"Güldem"},{"family":"Fearn","given":"Gareth"},{"family":"Eraydin","given":"Ayda"}],"issued":{"date-parts":[["2025",11,1]]}}}],"schema":"https://github.com/citation-style-language/schema/raw/master/csl-citation.json"} </w:instrText>
      </w:r>
      <w:r w:rsidR="005E1532" w:rsidRPr="00662E51">
        <w:rPr>
          <w:szCs w:val="24"/>
        </w:rPr>
        <w:fldChar w:fldCharType="separate"/>
      </w:r>
      <w:r w:rsidR="006508E1" w:rsidRPr="006508E1">
        <w:rPr>
          <w:rFonts w:cs="Times New Roman"/>
          <w:kern w:val="0"/>
        </w:rPr>
        <w:t>(Can et al. 2024; Özatağan et al. 2025)</w:t>
      </w:r>
      <w:r w:rsidR="005E1532" w:rsidRPr="00662E51">
        <w:rPr>
          <w:szCs w:val="24"/>
        </w:rPr>
        <w:fldChar w:fldCharType="end"/>
      </w:r>
      <w:r w:rsidR="00CD381B" w:rsidRPr="00662E51">
        <w:rPr>
          <w:szCs w:val="24"/>
        </w:rPr>
        <w:t>.</w:t>
      </w:r>
      <w:r w:rsidRPr="00662E51">
        <w:rPr>
          <w:szCs w:val="24"/>
        </w:rPr>
        <w:t xml:space="preserve"> </w:t>
      </w:r>
    </w:p>
    <w:p w14:paraId="1772C67B" w14:textId="2FDC5E2D" w:rsidR="00B2628A" w:rsidRPr="00662E51" w:rsidRDefault="00B2628A" w:rsidP="00F56305">
      <w:pPr>
        <w:spacing w:line="360" w:lineRule="auto"/>
        <w:ind w:left="0" w:firstLine="720"/>
        <w:rPr>
          <w:szCs w:val="24"/>
        </w:rPr>
      </w:pPr>
      <w:r w:rsidRPr="00662E51">
        <w:rPr>
          <w:szCs w:val="24"/>
        </w:rPr>
        <w:t xml:space="preserve">Here, I review the contributions made in terms of how a focus at the local scale reveals different interactions between state and party, forming what I term a local ‘state-party nexus,’ encompassing unique cases of local government rule by single parties as is seen in Haringey </w:t>
      </w:r>
      <w:r w:rsidRPr="00662E51">
        <w:rPr>
          <w:szCs w:val="24"/>
        </w:rPr>
        <w:fldChar w:fldCharType="begin"/>
      </w:r>
      <w:r w:rsidR="008835AB" w:rsidRPr="00662E51">
        <w:rPr>
          <w:szCs w:val="24"/>
        </w:rPr>
        <w:instrText xml:space="preserve"> ADDIN ZOTERO_ITEM CSL_CITATION {"citationID":"gtmwLN3z","properties":{"formattedCitation":"(cf. Copus 2004)","plainCitation":"(cf. Copus 2004)","noteIndex":0},"citationItems":[{"id":6766,"uris":["http://zotero.org/users/8977980/items/22FQIFRM"],"itemData":{"id":6766,"type":"book","ISBN":"978-0-7190-6635-1","language":"eng","number-of-pages":"313","publisher":"Manchester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Government","author":[{"family":"Copus","given":"Colin"}],"issued":{"date-parts":[["2004"]]}},"prefix":"cf. "}],"schema":"https://github.com/citation-style-language/schema/raw/master/csl-citation.json"} </w:instrText>
      </w:r>
      <w:r w:rsidRPr="00662E51">
        <w:rPr>
          <w:szCs w:val="24"/>
        </w:rPr>
        <w:fldChar w:fldCharType="separate"/>
      </w:r>
      <w:r w:rsidR="0095662D" w:rsidRPr="00662E51">
        <w:t>(cf. Copus 2004)</w:t>
      </w:r>
      <w:r w:rsidRPr="00662E51">
        <w:rPr>
          <w:szCs w:val="24"/>
        </w:rPr>
        <w:fldChar w:fldCharType="end"/>
      </w:r>
      <w:r w:rsidRPr="00662E51">
        <w:rPr>
          <w:szCs w:val="24"/>
        </w:rPr>
        <w:t xml:space="preserve">. I next demonstrate how my results fill some research gaps on authoritarian neoliberalism by arguing for the role of political parties in the maintenance of capitalist relations. Finally, this section expresses how quieter forms of activism retain their transformative power even when conducted in illiberal times. </w:t>
      </w:r>
    </w:p>
    <w:p w14:paraId="2935254A" w14:textId="77777777" w:rsidR="00B2628A" w:rsidRPr="00662E51" w:rsidRDefault="00B2628A" w:rsidP="00F56305">
      <w:pPr>
        <w:spacing w:line="360" w:lineRule="auto"/>
        <w:ind w:left="0"/>
        <w:rPr>
          <w:szCs w:val="24"/>
        </w:rPr>
      </w:pPr>
    </w:p>
    <w:p w14:paraId="76E46218" w14:textId="7EED0EB8" w:rsidR="00B2628A" w:rsidRPr="00662E51" w:rsidRDefault="00B2628A" w:rsidP="00F56305">
      <w:pPr>
        <w:pStyle w:val="Heading3"/>
      </w:pPr>
      <w:bookmarkStart w:id="525" w:name="_Toc213173995"/>
      <w:bookmarkStart w:id="526" w:name="_Toc221184383"/>
      <w:bookmarkStart w:id="527" w:name="_Toc231215299"/>
      <w:r w:rsidRPr="00662E51">
        <w:lastRenderedPageBreak/>
        <w:t>For a Multiscalar State-Party Nexus</w:t>
      </w:r>
      <w:bookmarkEnd w:id="525"/>
      <w:bookmarkEnd w:id="526"/>
      <w:r w:rsidR="00836748">
        <w:t>:</w:t>
      </w:r>
      <w:bookmarkEnd w:id="527"/>
    </w:p>
    <w:p w14:paraId="3294273C" w14:textId="5A386EF0" w:rsidR="00B2628A" w:rsidRPr="00662E51" w:rsidRDefault="00B2628A" w:rsidP="00F56305">
      <w:pPr>
        <w:spacing w:line="360" w:lineRule="auto"/>
        <w:ind w:left="0" w:firstLine="720"/>
        <w:rPr>
          <w:szCs w:val="24"/>
        </w:rPr>
      </w:pPr>
      <w:r w:rsidRPr="00662E51">
        <w:rPr>
          <w:szCs w:val="24"/>
        </w:rPr>
        <w:t xml:space="preserve">By examining how the state and the party work together to maintain capitalist accumulation at the local scale in Chapters 5 and 6, I have argued for a framework of a multiscalar ‘state-party nexus.’ This nexus refers to the deep interrelations between the state and the party—which are usually treated as separate entities </w:t>
      </w:r>
      <w:r w:rsidRPr="00662E51">
        <w:rPr>
          <w:szCs w:val="24"/>
        </w:rPr>
        <w:fldChar w:fldCharType="begin"/>
      </w:r>
      <w:r w:rsidR="008835AB" w:rsidRPr="00662E51">
        <w:rPr>
          <w:szCs w:val="24"/>
        </w:rPr>
        <w:instrText xml:space="preserve"> ADDIN ZOTERO_ITEM CSL_CITATION {"citationID":"UwS2Pf0w","properties":{"formattedCitation":"(cf. Copus 2004)","plainCitation":"(cf. Copus 2004)","noteIndex":0},"citationItems":[{"id":6766,"uris":["http://zotero.org/users/8977980/items/22FQIFRM"],"itemData":{"id":6766,"type":"book","ISBN":"978-0-7190-6635-1","language":"eng","number-of-pages":"313","publisher":"Manchester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Government","author":[{"family":"Copus","given":"Colin"}],"issued":{"date-parts":[["2004"]]}},"prefix":"cf. "}],"schema":"https://github.com/citation-style-language/schema/raw/master/csl-citation.json"} </w:instrText>
      </w:r>
      <w:r w:rsidRPr="00662E51">
        <w:rPr>
          <w:szCs w:val="24"/>
        </w:rPr>
        <w:fldChar w:fldCharType="separate"/>
      </w:r>
      <w:r w:rsidR="0095662D" w:rsidRPr="00662E51">
        <w:t>(cf. Copus 2004)</w:t>
      </w:r>
      <w:r w:rsidRPr="00662E51">
        <w:rPr>
          <w:szCs w:val="24"/>
        </w:rPr>
        <w:fldChar w:fldCharType="end"/>
      </w:r>
      <w:r w:rsidRPr="00662E51">
        <w:rPr>
          <w:szCs w:val="24"/>
        </w:rPr>
        <w:t xml:space="preserve">—in case of one-party local rule as is in Haringey. Both chapters considered regeneration schemes in Tottenham, Haringey: the Haringey Development Vehicle (HDV) and High Road West (HRW). Chapter </w:t>
      </w:r>
      <w:r w:rsidR="008C0F90">
        <w:rPr>
          <w:szCs w:val="24"/>
        </w:rPr>
        <w:t>6</w:t>
      </w:r>
      <w:r w:rsidRPr="00662E51">
        <w:rPr>
          <w:szCs w:val="24"/>
        </w:rPr>
        <w:t xml:space="preserve">, on the HDV, scrutinised a successful resistance campaign against a large-scale, proposed regeneration scheme that would encompass </w:t>
      </w:r>
      <w:r w:rsidR="00E06AF2">
        <w:rPr>
          <w:szCs w:val="24"/>
        </w:rPr>
        <w:t>the whole</w:t>
      </w:r>
      <w:r w:rsidRPr="00662E51">
        <w:rPr>
          <w:szCs w:val="24"/>
        </w:rPr>
        <w:t xml:space="preserve"> Borough of Haringey. This chapter, based </w:t>
      </w:r>
      <w:r w:rsidR="00ED50F4" w:rsidRPr="00662E51">
        <w:rPr>
          <w:szCs w:val="24"/>
        </w:rPr>
        <w:t xml:space="preserve">chiefly </w:t>
      </w:r>
      <w:r w:rsidRPr="00662E51">
        <w:rPr>
          <w:szCs w:val="24"/>
        </w:rPr>
        <w:t>on interviews with councillors</w:t>
      </w:r>
      <w:r w:rsidR="00ED50F4" w:rsidRPr="00662E51">
        <w:rPr>
          <w:szCs w:val="24"/>
        </w:rPr>
        <w:t xml:space="preserve"> and an analysis of documents produced by Haringey Council and its consultants</w:t>
      </w:r>
      <w:r w:rsidRPr="00662E51">
        <w:rPr>
          <w:szCs w:val="24"/>
        </w:rPr>
        <w:t xml:space="preserve">, examined how a nonpartisan group of activists were able to cancel the scheme through an electoral strategy that culminated in taking over Haringey Council </w:t>
      </w:r>
      <w:r w:rsidRPr="00662E51">
        <w:rPr>
          <w:szCs w:val="24"/>
        </w:rPr>
        <w:fldChar w:fldCharType="begin"/>
      </w:r>
      <w:r w:rsidR="008835AB" w:rsidRPr="00662E51">
        <w:rPr>
          <w:szCs w:val="24"/>
        </w:rPr>
        <w:instrText xml:space="preserve"> ADDIN ZOTERO_ITEM CSL_CITATION {"citationID":"mFdl2UjP","properties":{"formattedCitation":"(Horton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Chapter </w:t>
      </w:r>
      <w:r w:rsidR="008C0F90">
        <w:rPr>
          <w:szCs w:val="24"/>
        </w:rPr>
        <w:t>7</w:t>
      </w:r>
      <w:r w:rsidRPr="00662E51">
        <w:rPr>
          <w:szCs w:val="24"/>
        </w:rPr>
        <w:t xml:space="preserve"> on HRW, evaluates an ongoing regeneration scheme. Whilst much smaller than the Vehicle, High Road West will still remake a core part of Tottenham’s urban fabric. My research </w:t>
      </w:r>
      <w:r w:rsidR="006B2F2C" w:rsidRPr="00662E51">
        <w:rPr>
          <w:szCs w:val="24"/>
        </w:rPr>
        <w:t xml:space="preserve">here relied on </w:t>
      </w:r>
      <w:r w:rsidRPr="00662E51">
        <w:rPr>
          <w:szCs w:val="24"/>
        </w:rPr>
        <w:t xml:space="preserve">interviews with councillors and with activists to explore the innerworkings of the Labour Party and how its leaders and structures curb dissent. In both cases, the relations between the state and the party played a significant role in the success or failure of resistance. One core contribution is thus to elevate the party in analyses of the local state, troubling conceptions of the party as just another element of the relational state </w:t>
      </w:r>
      <w:r w:rsidRPr="00662E51">
        <w:rPr>
          <w:szCs w:val="24"/>
        </w:rPr>
        <w:fldChar w:fldCharType="begin"/>
      </w:r>
      <w:r w:rsidR="008835AB" w:rsidRPr="00662E51">
        <w:rPr>
          <w:szCs w:val="24"/>
        </w:rPr>
        <w:instrText xml:space="preserve"> ADDIN ZOTERO_ITEM CSL_CITATION {"citationID":"gFkD4uT2","properties":{"formattedCitation":"(Jessop 2010; Painter 2006)","plainCitation":"(Jessop 2010; Painter 2006)","noteIndex":0},"citationItems":[{"id":5755,"uris":["http://zotero.org/users/8977980/items/2VETAAYR"],"itemData":{"id":5755,"type":"book","edition":"Reprinted","ISBN":"978-0-7456-3320-6","language":"eng","number-of-pages":"301","publisher":"Polity Press","publisher-place":"Cambridge","source":"K10plus ISBN","title":"State Power: a strategic-relational approach","title-short":"State power","author":[{"family":"Jessop","given":"Bob"}],"issued":{"date-parts":[["2010"]]}}},{"id":4455,"uris":["http://zotero.org/users/8977980/items/GL23LQTK"],"itemData":{"id":4455,"type":"article-journal","abstract":"Despite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stateness","volume":"25","author":[{"family":"Painter","given":"Joe"}],"issued":{"date-parts":[["2006",9,1]]}}}],"schema":"https://github.com/citation-style-language/schema/raw/master/csl-citation.json"} </w:instrText>
      </w:r>
      <w:r w:rsidRPr="00662E51">
        <w:rPr>
          <w:szCs w:val="24"/>
        </w:rPr>
        <w:fldChar w:fldCharType="separate"/>
      </w:r>
      <w:r w:rsidR="0095662D" w:rsidRPr="00662E51">
        <w:t>(Jessop 2010; Painter 2006)</w:t>
      </w:r>
      <w:r w:rsidRPr="00662E51">
        <w:rPr>
          <w:szCs w:val="24"/>
        </w:rPr>
        <w:fldChar w:fldCharType="end"/>
      </w:r>
      <w:r w:rsidRPr="00662E51">
        <w:rPr>
          <w:szCs w:val="24"/>
        </w:rPr>
        <w:t xml:space="preserve">. </w:t>
      </w:r>
    </w:p>
    <w:p w14:paraId="78B1EDA7" w14:textId="66097A6F" w:rsidR="00B2628A" w:rsidRPr="00662E51" w:rsidRDefault="00B2628A" w:rsidP="00F56305">
      <w:pPr>
        <w:spacing w:line="360" w:lineRule="auto"/>
        <w:ind w:left="0" w:firstLine="720"/>
        <w:rPr>
          <w:szCs w:val="24"/>
        </w:rPr>
      </w:pPr>
      <w:r w:rsidRPr="00662E51">
        <w:rPr>
          <w:szCs w:val="24"/>
        </w:rPr>
        <w:t>In both chapters, the structures of and relationships within the Labour Party were important factors in the outcome of the state’s decisions regarding the schemes</w:t>
      </w:r>
      <w:r w:rsidR="00A93A51">
        <w:rPr>
          <w:szCs w:val="24"/>
        </w:rPr>
        <w:t xml:space="preserve">, responding to </w:t>
      </w:r>
      <w:r w:rsidR="008A7D98">
        <w:rPr>
          <w:szCs w:val="24"/>
        </w:rPr>
        <w:t xml:space="preserve">all of my Research Questions. </w:t>
      </w:r>
      <w:r w:rsidRPr="00662E51">
        <w:rPr>
          <w:szCs w:val="24"/>
        </w:rPr>
        <w:t xml:space="preserve">Chapter 6 demonstrated that cancelling the HDV, for instance, was only possible </w:t>
      </w:r>
      <w:r w:rsidRPr="00662E51">
        <w:rPr>
          <w:i/>
          <w:iCs/>
          <w:szCs w:val="24"/>
        </w:rPr>
        <w:t>through</w:t>
      </w:r>
      <w:r w:rsidRPr="00662E51">
        <w:rPr>
          <w:szCs w:val="24"/>
        </w:rPr>
        <w:t xml:space="preserve"> Labour’s internal electoral processes. Although the StopHDV campaign was nonpartisan and truly rooted in community </w:t>
      </w:r>
      <w:r w:rsidRPr="00662E51">
        <w:rPr>
          <w:szCs w:val="24"/>
        </w:rPr>
        <w:fldChar w:fldCharType="begin"/>
      </w:r>
      <w:r w:rsidR="008835AB" w:rsidRPr="00662E51">
        <w:rPr>
          <w:szCs w:val="24"/>
        </w:rPr>
        <w:instrText xml:space="preserve"> ADDIN ZOTERO_ITEM CSL_CITATION {"citationID":"wPEd5Ljs","properties":{"formattedCitation":"(Horton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I contend that this frame is too narrow</w:t>
      </w:r>
      <w:r w:rsidR="00646C5C">
        <w:rPr>
          <w:szCs w:val="24"/>
        </w:rPr>
        <w:t>:</w:t>
      </w:r>
      <w:r w:rsidRPr="00662E51">
        <w:rPr>
          <w:szCs w:val="24"/>
        </w:rPr>
        <w:t xml:space="preserve"> it minimises StopHDV’s successful electoral strategy. My analysis consequently here broadens the scope using Badiou’s concepts of the “event” and the “state revolutionary” to argue for clear perspectives on how the state </w:t>
      </w:r>
      <w:r w:rsidRPr="00662E51">
        <w:rPr>
          <w:i/>
          <w:iCs/>
          <w:szCs w:val="24"/>
        </w:rPr>
        <w:t xml:space="preserve">actually </w:t>
      </w:r>
      <w:r w:rsidRPr="00662E51">
        <w:rPr>
          <w:i/>
          <w:iCs/>
          <w:szCs w:val="24"/>
        </w:rPr>
        <w:lastRenderedPageBreak/>
        <w:t>governs</w:t>
      </w:r>
      <w:r w:rsidRPr="00662E51">
        <w:rPr>
          <w:szCs w:val="24"/>
        </w:rPr>
        <w:t xml:space="preserve">, rather than relying on the assumption that the state is </w:t>
      </w:r>
      <w:r w:rsidR="00D22AFE" w:rsidRPr="00662E51">
        <w:rPr>
          <w:szCs w:val="24"/>
        </w:rPr>
        <w:t xml:space="preserve">always and necessarily </w:t>
      </w:r>
      <w:r w:rsidRPr="00662E51">
        <w:rPr>
          <w:szCs w:val="24"/>
        </w:rPr>
        <w:t>regressive</w:t>
      </w:r>
      <w:r w:rsidR="007E52C0">
        <w:rPr>
          <w:szCs w:val="24"/>
        </w:rPr>
        <w:t xml:space="preserve"> and consequently </w:t>
      </w:r>
      <w:r w:rsidR="00D22AFE" w:rsidRPr="00662E51">
        <w:rPr>
          <w:szCs w:val="24"/>
        </w:rPr>
        <w:t>sti</w:t>
      </w:r>
      <w:r w:rsidR="007E52C0">
        <w:rPr>
          <w:szCs w:val="24"/>
        </w:rPr>
        <w:t xml:space="preserve">fles </w:t>
      </w:r>
      <w:r w:rsidRPr="00662E51">
        <w:rPr>
          <w:szCs w:val="24"/>
        </w:rPr>
        <w:t xml:space="preserve">radicality </w:t>
      </w:r>
      <w:r w:rsidRPr="00662E51">
        <w:rPr>
          <w:szCs w:val="24"/>
        </w:rPr>
        <w:fldChar w:fldCharType="begin"/>
      </w:r>
      <w:r w:rsidR="008835AB" w:rsidRPr="00662E51">
        <w:rPr>
          <w:szCs w:val="24"/>
        </w:rPr>
        <w:instrText xml:space="preserve"> ADDIN ZOTERO_ITEM CSL_CITATION {"citationID":"0OiiZJXl","properties":{"formattedCitation":"(Badiou 2018; Bassett 2008; Paccoud 2019)","plainCitation":"(Badiou 2018; Bassett 2008; Paccoud 2019)","noteIndex":0},"citationItems":[{"id":5820,"uris":["http://zotero.org/users/8977980/items/3SIEJR4S"],"itemData":{"id":5820,"type":"book","abstract":"Logics of Worlds is the sequel to Alain Badiou's masterpiece, Being and Event. Tackling the questions that had been left open by Being and Event, and answering many of his critics in the process, Badiou supplements his pioneering treatment of multiple being with a daring and complex theory of the worlds in which truths and subjects make their mark - what he calls a materialist dialectic. Drawing on his most ambitious philosophical predecessors - Leibniz, Kant, Hegel, Kierkegaard, Lacan, Deleuze – Badiou ends this important later work with an impassioned call to'live for an Idea'.","collection-title":"Being and Event","ISBN":"978-1-350-04301-5","language":"English","note":"issue: II","publisher":"Bloomsbury Academic","publisher-place":"London","source":"EBSCOhost","title":"Logics of Worlds : Being and Event II","title-short":"Logics of Worlds","author":[{"family":"Badiou","given":"Alain"}],"accessed":{"date-parts":[["2024",9,4]]},"issued":{"date-parts":[["2018"]]}}},{"id":5594,"uris":["http://zotero.org/users/8977980/items/VQPENM7J"],"itemData":{"id":5594,"type":"article-journal","abstract":"The problem of theorising the ‘event’ as a moment of major time–space transformation has become a focus of enquiry in philosophy, history, and the social sciences. In this paper I explore the theory of the event to be found in the recent work of Alain Badiou, relating his ideas to the particular case of the 1871 Paris Commune. I focus on particular problems with his approach, using an alternative formulation of the event found in the work of William Sewell Jr, which for purposes of comparison and critical debate I also relate to the event of the Paris Commune. I conclude by raising and discussing a range of wider issues that arise from the comparison.","container-title":"Environment and Planning D: Society and Space","DOI":"10.1068/d5707","ISSN":"0263-7758","issue":"5","journalAbbreviation":"Environ Plan D","language":"en","page":"895-910","publisher":"SAGE Publications Ltd STM","source":"SAGE Journals","title":"Thinking the Event: Badiou's Philosophy of the Event and the Example of the Paris Commune","title-short":"Thinking the Event","volume":"26","author":[{"family":"Bassett","given":"Keith"}],"issued":{"date-parts":[["2008",10,1]]}}},{"id":5584,"uris":["http://zotero.org/users/8977980/items/ASA2TBJM"],"itemData":{"id":5584,"type":"article-journal","abstract":"The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Saint-Simon","volume":"18","author":[{"family":"Paccoud","given":"Antoine"}],"issued":{"date-parts":[["2019",8,1]]}}}],"schema":"https://github.com/citation-style-language/schema/raw/master/csl-citation.json"} </w:instrText>
      </w:r>
      <w:r w:rsidRPr="00662E51">
        <w:rPr>
          <w:szCs w:val="24"/>
        </w:rPr>
        <w:fldChar w:fldCharType="separate"/>
      </w:r>
      <w:r w:rsidR="0095662D" w:rsidRPr="00662E51">
        <w:t>(Badiou 2018; Bassett 2008; Paccoud 2019)</w:t>
      </w:r>
      <w:r w:rsidRPr="00662E51">
        <w:rPr>
          <w:szCs w:val="24"/>
        </w:rPr>
        <w:fldChar w:fldCharType="end"/>
      </w:r>
      <w:r w:rsidRPr="00662E51">
        <w:rPr>
          <w:szCs w:val="24"/>
        </w:rPr>
        <w:t xml:space="preserve">. </w:t>
      </w:r>
      <w:r w:rsidR="00086144">
        <w:rPr>
          <w:szCs w:val="24"/>
        </w:rPr>
        <w:t xml:space="preserve">This goes a long way in responding to Research Questions 2 and 3. </w:t>
      </w:r>
      <w:r w:rsidRPr="00662E51">
        <w:rPr>
          <w:szCs w:val="24"/>
        </w:rPr>
        <w:t xml:space="preserve">Reflecting on HRW (Chapter 7), I found that the deep </w:t>
      </w:r>
      <w:r w:rsidR="00D80E86" w:rsidRPr="00662E51">
        <w:rPr>
          <w:szCs w:val="24"/>
        </w:rPr>
        <w:t>co-</w:t>
      </w:r>
      <w:r w:rsidRPr="00662E51">
        <w:rPr>
          <w:szCs w:val="24"/>
        </w:rPr>
        <w:t xml:space="preserve">dependence between Haringey Council and the Labour Party means that opposition to housing development is funnelled through the party. Opposition that occurred outside of the party was thus seen as illegitimately founded—especially given widespread allegations that the Council engaged in fraudulent practices </w:t>
      </w:r>
      <w:r w:rsidRPr="00662E51">
        <w:rPr>
          <w:szCs w:val="24"/>
        </w:rPr>
        <w:fldChar w:fldCharType="begin"/>
      </w:r>
      <w:r w:rsidR="008835AB" w:rsidRPr="00662E51">
        <w:rPr>
          <w:szCs w:val="24"/>
        </w:rPr>
        <w:instrText xml:space="preserve"> ADDIN ZOTERO_ITEM CSL_CITATION {"citationID":"5adgjPxe","properties":{"formattedCitation":"(Ormerod and MacLeod 2019; Ormerod 2021; Tissier 2021)","plainCitation":"(Ormerod and MacLeod 2019; Ormerod 2021; Tissier 2021)","noteIndex":0},"citationItems":[{"id":3317,"uris":["http://zotero.org/users/8977980/items/3FKCPYR3"],"itemData":{"id":3317,"type":"article-journal","abstract":"This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id":5174,"uris":["http://zotero.org/users/8977980/items/VMYELFEM"],"itemData":{"id":5174,"type":"post-weblog","abstract":"open-letter-by-damian-tissier-22-09-2021Download THE LOVE LANE BALLOT AN OPEN LETTER From: Damian Tissier, Independent Tenant and Leaseholder Advisor at Love Lane To: Date: Dear , In March 2020, El…","container-title":"Haringey Defend Council Housing","language":"en","title":"Open letter on the Love Lane Ballot","URL":"https://haringeydefendcouncilhousingblog.wordpress.com/2021/09/19/open-letter-on-the-love-lane-ballot/","author":[{"family":"Tissier","given":"Damian"}],"accessed":{"date-parts":[["2023",9,27]]},"issued":{"date-parts":[["2021",9,19]]}}}],"schema":"https://github.com/citation-style-language/schema/raw/master/csl-citation.json"} </w:instrText>
      </w:r>
      <w:r w:rsidRPr="00662E51">
        <w:rPr>
          <w:szCs w:val="24"/>
        </w:rPr>
        <w:fldChar w:fldCharType="separate"/>
      </w:r>
      <w:r w:rsidR="0095662D" w:rsidRPr="00662E51">
        <w:t>(Ormerod and MacLeod 2019; Ormerod 2021; Tissier 2021)</w:t>
      </w:r>
      <w:r w:rsidRPr="00662E51">
        <w:rPr>
          <w:szCs w:val="24"/>
        </w:rPr>
        <w:fldChar w:fldCharType="end"/>
      </w:r>
      <w:r w:rsidRPr="00662E51">
        <w:rPr>
          <w:szCs w:val="24"/>
        </w:rPr>
        <w:t xml:space="preserve">. In both cases, then, the state and the party are intimately linked. The HDV was cancelled </w:t>
      </w:r>
      <w:r w:rsidRPr="00662E51">
        <w:rPr>
          <w:i/>
          <w:iCs/>
          <w:szCs w:val="24"/>
        </w:rPr>
        <w:t>through</w:t>
      </w:r>
      <w:r w:rsidRPr="00662E51">
        <w:rPr>
          <w:szCs w:val="24"/>
        </w:rPr>
        <w:t xml:space="preserve"> the party: activists used party structures to ‘hijack’ the councillor selection process, thereby building an anti-HDV majority </w:t>
      </w:r>
      <w:r w:rsidR="0061116E" w:rsidRPr="00662E51">
        <w:rPr>
          <w:szCs w:val="24"/>
        </w:rPr>
        <w:fldChar w:fldCharType="begin"/>
      </w:r>
      <w:r w:rsidR="00F15CF8">
        <w:rPr>
          <w:szCs w:val="24"/>
        </w:rPr>
        <w:instrText xml:space="preserve"> ADDIN ZOTERO_ITEM CSL_CITATION {"citationID":"ZF79KqDf","properties":{"formattedCitation":"(Copus 2004, 2015, 2023)","plainCitation":"(Copus 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Government","author":[{"family":"Copus","given":"Colin"}],"issued":{"date-parts":[["2004"]]}},"label":"page"},{"id":6771,"uris":["http://zotero.org/users/8977980/items/H5WX9ZA2"],"itemData":{"id":6771,"type":"book","abstract":"In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schema":"https://github.com/citation-style-language/schema/raw/master/csl-citation.json"} </w:instrText>
      </w:r>
      <w:r w:rsidR="0061116E" w:rsidRPr="00662E51">
        <w:rPr>
          <w:szCs w:val="24"/>
        </w:rPr>
        <w:fldChar w:fldCharType="separate"/>
      </w:r>
      <w:r w:rsidR="00F15CF8" w:rsidRPr="00F15CF8">
        <w:t>(Copus 2004, 2015, 2023)</w:t>
      </w:r>
      <w:r w:rsidR="0061116E" w:rsidRPr="00662E51">
        <w:rPr>
          <w:szCs w:val="24"/>
        </w:rPr>
        <w:fldChar w:fldCharType="end"/>
      </w:r>
      <w:r w:rsidR="0061116E" w:rsidRPr="00662E51">
        <w:rPr>
          <w:szCs w:val="24"/>
        </w:rPr>
        <w:t xml:space="preserve">. </w:t>
      </w:r>
      <w:r w:rsidRPr="00662E51">
        <w:rPr>
          <w:szCs w:val="24"/>
        </w:rPr>
        <w:t xml:space="preserve">For HRW, internal power struggles over the future of the party meant spaces for contestation were foreclosed. The party, then, is as important as the activism that influenced policy outcomes in both instances. </w:t>
      </w:r>
    </w:p>
    <w:p w14:paraId="5CF71D19" w14:textId="7E060EC9" w:rsidR="00B2628A" w:rsidRPr="00662E51" w:rsidRDefault="00B2628A" w:rsidP="00F56305">
      <w:pPr>
        <w:spacing w:line="360" w:lineRule="auto"/>
        <w:ind w:left="0" w:firstLine="720"/>
        <w:rPr>
          <w:szCs w:val="24"/>
        </w:rPr>
      </w:pPr>
      <w:r w:rsidRPr="00662E51">
        <w:rPr>
          <w:szCs w:val="24"/>
        </w:rPr>
        <w:t xml:space="preserve">I consequently assert a framework of a </w:t>
      </w:r>
      <w:r w:rsidRPr="00662E51">
        <w:rPr>
          <w:i/>
          <w:iCs/>
          <w:szCs w:val="24"/>
        </w:rPr>
        <w:t>multiscalar state-party nexus,</w:t>
      </w:r>
      <w:r w:rsidRPr="00662E51">
        <w:rPr>
          <w:szCs w:val="24"/>
        </w:rPr>
        <w:t xml:space="preserve"> which better captures the interdependence between the two in cases of local one-party rule. This framework troubles typical state-relational perspectives, which tend to subordinate the party to one part of the wider relational ensemble of the state </w:t>
      </w:r>
      <w:r w:rsidRPr="00662E51">
        <w:rPr>
          <w:szCs w:val="24"/>
        </w:rPr>
        <w:fldChar w:fldCharType="begin"/>
      </w:r>
      <w:r w:rsidR="00F15CF8">
        <w:rPr>
          <w:szCs w:val="24"/>
        </w:rPr>
        <w:instrText xml:space="preserve"> ADDIN ZOTERO_ITEM CSL_CITATION {"citationID":"rTAdFS6V","properties":{"formattedCitation":"(Jessop 2010; Painter 1991, 2006)","plainCitation":"(Jessop 2010; Painter 1991, 2006)","noteIndex":0},"citationItems":[{"id":5755,"uris":["http://zotero.org/users/8977980/items/2VETAAYR"],"itemData":{"id":5755,"type":"book","edition":"Reprinted","ISBN":"978-0-7456-3320-6","language":"eng","number-of-pages":"301","publisher":"Polity Press","publisher-place":"Cambridge","source":"K10plus ISBN","title":"State Power: a strategic-relational approach","title-short":"State power","author":[{"family":"Jessop","given":"Bob"}],"issued":{"date-parts":[["2010"]]}}},{"id":6780,"uris":["http://zotero.org/users/8977980/items/PXUF4DHP"],"itemData":{"id":6780,"type":"article-journal","container-title":"Local Government Studies","DOI":"10.1080/03003939108433604","ISSN":"0300-3930, 1743-9388","issue":"6","language":"en","page":"23-44","publisher":"Informa UK Limited","source":"Crossref","title":"Regulation theory and local government","volume":"17","author":[{"family":"Painter","given":"Joe"}],"issued":{"date-parts":[["1991",11]]}}},{"id":4455,"uris":["http://zotero.org/users/8977980/items/GL23LQTK"],"itemData":{"id":4455,"type":"article-journal","abstract":"Despite long-standing calls to rethink the state ‘as a social relation’, reified understandings that view the state as a differentiated institutional realm separate from civil society are notably persistent in academic and political debate. By contrast, this paper focuses on the myriad ways in which everyday life is permeated by the social relations of stateness, and vice versa. The paper reviews the conceptual difficulties in defining ‘the state’ and suggests that these can be addressed in part through a focus on the mundane practices that give rise to ‘state effects’. It considers how the concept of prosaics, based on the work of Mikhail Bakhtin, might provide a fruitful approach for studying such practices, their geographies and the geographies of state effects. A case study of the governance of anti-social behaviour in the UK is used to show the potential application of this approach in empirical research. The paper concludes with some reflections on possible future avenues of research.","container-title":"Political Geography","DOI":"10.1016/j.polgeo.2006.07.004","ISSN":"0962-6298","issue":"7","journalAbbreviation":"Political Geography","language":"en","page":"752-774","source":"ScienceDirect","title":"Prosaic geographies of stateness","volume":"25","author":[{"family":"Painter","given":"Joe"}],"issued":{"date-parts":[["2006",9,1]]}}}],"schema":"https://github.com/citation-style-language/schema/raw/master/csl-citation.json"} </w:instrText>
      </w:r>
      <w:r w:rsidRPr="00662E51">
        <w:rPr>
          <w:szCs w:val="24"/>
        </w:rPr>
        <w:fldChar w:fldCharType="separate"/>
      </w:r>
      <w:r w:rsidR="00F15CF8" w:rsidRPr="00F15CF8">
        <w:t>(Jessop 2010; Painter 1991, 2006)</w:t>
      </w:r>
      <w:r w:rsidRPr="00662E51">
        <w:rPr>
          <w:szCs w:val="24"/>
        </w:rPr>
        <w:fldChar w:fldCharType="end"/>
      </w:r>
      <w:r w:rsidRPr="00662E51">
        <w:rPr>
          <w:szCs w:val="24"/>
        </w:rPr>
        <w:t xml:space="preserve">. </w:t>
      </w:r>
      <w:r w:rsidR="002C7116" w:rsidRPr="00662E51">
        <w:rPr>
          <w:szCs w:val="24"/>
        </w:rPr>
        <w:t xml:space="preserve">As Jessop </w:t>
      </w:r>
      <w:r w:rsidR="002C7116" w:rsidRPr="00662E51">
        <w:rPr>
          <w:szCs w:val="24"/>
        </w:rPr>
        <w:fldChar w:fldCharType="begin"/>
      </w:r>
      <w:r w:rsidR="008835AB" w:rsidRPr="00662E51">
        <w:rPr>
          <w:szCs w:val="24"/>
        </w:rPr>
        <w:instrText xml:space="preserve"> ADDIN ZOTERO_ITEM CSL_CITATION {"citationID":"bFCLAT0d","properties":{"formattedCitation":"(2016, 76)","plainCitation":"(2016, 76)","noteIndex":0},"citationItems":[{"id":6781,"uris":["http://zotero.org/users/8977980/items/6VKLXRIF"],"itemData":{"id":6781,"type":"book","abstract":"Intro -- Title page -- Copyright page -- Dedication -- Preface -- Tables -- Abbreviations -- 1: Introduction -- Notes -- Part I: The State as Concept, Relation, and Reality -- 2: The Concept of the State -- Notes on the Difficulties of Studying the State -- So What Is the State? -- The Three-Element Approach -- More on the Territorialization of Political Power -- The Polymorphic Character of the State -- Stateness as a Variable -- Constituting the State -- A Four-Element Definition of the State -- Interim Conclusions -- Notes -- 3: The State as a Social Relation -- The Strategic-Relational Approach -- Dimensions of the State -- The Paradox of State and Society -- Conclusions -- Notes -- 4: Power, Interests, Domination, State Effects -- Power as the explanans or the explanandum? -- Interests and Domination -- The State and Class Domination -- The Articulation of Economic, Political, and Ideological Domination -- The Limits to Form Analysis and the State in Capitalist Societies -- On Social Imaginaries and the Critique of Ideologies -- Conclusions -- Note -- Part II: On Territory, Apparatus, and Population -- 5: The State and Space-Time -- Sociospatiality -- Territorialization and State Formation -- Territory, Place, Scale, Network -- Domination and Spatiotemporal Fixes -- Conclusions -- Notes -- 6: State and Nation -- National State and Nation-State -- Europe as a Territorial State and as a Nation-State -- Towards a World State and a World Society? -- Notes -- 7: Government + Governance in the Shadow of Hierarchy -- Governance and Complexity -- Governance Failure and Meta-Governance -- From Government to Governance -- Meta-Governance as Politics and Policy -- The Success and Failure of Meta-Governance in the Shadow of Hierarchy -- Conclusions -- Note -- Part III: Past and Present (Futures) of the State","ISBN":"978-0-7456-3304-6","language":"eng","number-of-pages":"1","publisher":"Polity Press","publisher-place":"Cambridge, UK Malden, MA, USA","source":"K10plus ISBN","title":"The State: Past, Present, Future","title-short":"The state","author":[{"family":"Jessop","given":"Bob"}],"issued":{"date-parts":[["2016"]]}},"locator":"76","label":"page","suppress-author":true}],"schema":"https://github.com/citation-style-language/schema/raw/master/csl-citation.json"} </w:instrText>
      </w:r>
      <w:r w:rsidR="002C7116" w:rsidRPr="00662E51">
        <w:rPr>
          <w:szCs w:val="24"/>
        </w:rPr>
        <w:fldChar w:fldCharType="separate"/>
      </w:r>
      <w:r w:rsidR="002C7116" w:rsidRPr="00662E51">
        <w:t>(2016, 76)</w:t>
      </w:r>
      <w:r w:rsidR="002C7116" w:rsidRPr="00662E51">
        <w:rPr>
          <w:szCs w:val="24"/>
        </w:rPr>
        <w:fldChar w:fldCharType="end"/>
      </w:r>
      <w:r w:rsidR="002C7116" w:rsidRPr="00662E51">
        <w:rPr>
          <w:szCs w:val="24"/>
        </w:rPr>
        <w:t xml:space="preserve"> writes, an analysis of the “party form… would encompass all aspects of state,” indicating how extant </w:t>
      </w:r>
      <w:r w:rsidR="00832064" w:rsidRPr="00662E51">
        <w:rPr>
          <w:szCs w:val="24"/>
        </w:rPr>
        <w:t xml:space="preserve">interpretations of the party subordinate its importance to other elements of the state. </w:t>
      </w:r>
      <w:r w:rsidRPr="00662E51">
        <w:rPr>
          <w:szCs w:val="24"/>
        </w:rPr>
        <w:t xml:space="preserve">Beyond a simple question of broadening the scope of analysis, the state-party nexus demands political geographers return to the classic question of ‘who governs?’ </w:t>
      </w:r>
      <w:r w:rsidRPr="00662E51">
        <w:rPr>
          <w:szCs w:val="24"/>
        </w:rPr>
        <w:fldChar w:fldCharType="begin"/>
      </w:r>
      <w:r w:rsidR="008835AB" w:rsidRPr="00662E51">
        <w:rPr>
          <w:szCs w:val="24"/>
        </w:rPr>
        <w:instrText xml:space="preserve"> ADDIN ZOTERO_ITEM CSL_CITATION {"citationID":"AdsTLkNY","properties":{"formattedCitation":"(Dahl [1961] 2005)","plainCitation":"(Dahl [1961] 2005)","noteIndex":0},"citationItems":[{"id":7053,"uris":["http://zotero.org/users/8977980/items/KLKL67KL"],"itemData":{"id":7053,"type":"book","edition":"2. ed","ISBN":"978-0-300-10392-2","language":"eng","number-of-pages":"355","publisher":"Yale University Press","publisher-place":"New Haven, Conn. London","source":"K10plus ISBN","title":"Who governs? democracy and power in an American city","title-short":"Who governs?","author":[{"family":"Dahl","given":"Robert Alan"}],"issued":{"date-parts":[["2005"]]},"original-date":{"date-parts":[["1961"]]}}}],"schema":"https://github.com/citation-style-language/schema/raw/master/csl-citation.json"} </w:instrText>
      </w:r>
      <w:r w:rsidRPr="00662E51">
        <w:rPr>
          <w:szCs w:val="24"/>
        </w:rPr>
        <w:fldChar w:fldCharType="separate"/>
      </w:r>
      <w:r w:rsidR="0095662D" w:rsidRPr="00662E51">
        <w:t>(Dahl [1961] 2005)</w:t>
      </w:r>
      <w:r w:rsidRPr="00662E51">
        <w:rPr>
          <w:szCs w:val="24"/>
        </w:rPr>
        <w:fldChar w:fldCharType="end"/>
      </w:r>
      <w:r w:rsidRPr="00662E51">
        <w:rPr>
          <w:szCs w:val="24"/>
        </w:rPr>
        <w:t xml:space="preserve"> by giving equal weight to formal party politics in governance structures </w:t>
      </w:r>
      <w:r w:rsidRPr="00662E51">
        <w:rPr>
          <w:szCs w:val="24"/>
        </w:rPr>
        <w:fldChar w:fldCharType="begin"/>
      </w:r>
      <w:r w:rsidR="00557CA9" w:rsidRPr="00662E51">
        <w:rPr>
          <w:szCs w:val="24"/>
        </w:rPr>
        <w:instrText xml:space="preserve"> ADDIN ZOTERO_ITEM CSL_CITATION {"citationID":"2JxXBaHF","properties":{"formattedCitation":"(see also Halvorsen 2020)","plainCitation":"(see also Halvorsen 2020)","noteIndex":0},"citationItems":[{"id":5547,"uris":["http://zotero.org/users/8977980/items/5PSXDI9P"],"itemData":{"id":5547,"type":"article-journal","abstract":"How and why does geography inform the organisational strategies of political parties?\n              Encuentro por la Democracia y la Equidad\n              (Encounter for Democracy and Equity, hereafter EDE) is a centre</w:instrText>
      </w:r>
      <w:r w:rsidR="00557CA9" w:rsidRPr="00662E51">
        <w:rPr>
          <w:rFonts w:ascii="Cambria Math" w:hAnsi="Cambria Math" w:cs="Cambria Math"/>
          <w:szCs w:val="24"/>
        </w:rPr>
        <w:instrText>‐</w:instrText>
      </w:r>
      <w:r w:rsidR="00557CA9" w:rsidRPr="00662E51">
        <w:rPr>
          <w:szCs w:val="24"/>
        </w:rPr>
        <w:instrText>left Argentine political party that, since arriving in Buenos Aires in 2008, quickly became one of the largest oppositional parties in the city in terms of its activist base and electoral representation. This was achieved by explicitly prioritising a territorial organisational strategy: building the party at the scale of the neighbourhood by opening branches, accumulating activists and constructing linkages with civil society. Through a qualitative analysis of EDE's organisational strategy over 10 years (2008–2018), the paper proposes four dimensions for understanding the relationship between grassroots territorial organising and party strategy: party</w:instrText>
      </w:r>
      <w:r w:rsidR="00557CA9" w:rsidRPr="00662E51">
        <w:rPr>
          <w:rFonts w:ascii="Cambria Math" w:hAnsi="Cambria Math" w:cs="Cambria Math"/>
          <w:szCs w:val="24"/>
        </w:rPr>
        <w:instrText>‐</w:instrText>
      </w:r>
      <w:r w:rsidR="00557CA9" w:rsidRPr="00662E51">
        <w:rPr>
          <w:szCs w:val="24"/>
        </w:rPr>
        <w:instrText>building; electoral success; democratic linkages; and alliance building. The findings are of relevance not only to party</w:instrText>
      </w:r>
      <w:r w:rsidR="00557CA9" w:rsidRPr="00662E51">
        <w:rPr>
          <w:rFonts w:ascii="Cambria Math" w:hAnsi="Cambria Math" w:cs="Cambria Math"/>
          <w:szCs w:val="24"/>
        </w:rPr>
        <w:instrText>‐</w:instrText>
      </w:r>
      <w:r w:rsidR="00557CA9" w:rsidRPr="00662E51">
        <w:rPr>
          <w:szCs w:val="24"/>
        </w:rPr>
        <w:instrText>building in Latin America but also to the recent surge of territorial organising in parties in Europe. The paper makes three contributions to geographical literature. First, it adds to limited Anglophone geographical engagements with Latin American electoral and party politics by highlighting the centrality of spatiality to party</w:instrText>
      </w:r>
      <w:r w:rsidR="00557CA9" w:rsidRPr="00662E51">
        <w:rPr>
          <w:rFonts w:ascii="Cambria Math" w:hAnsi="Cambria Math" w:cs="Cambria Math"/>
          <w:szCs w:val="24"/>
        </w:rPr>
        <w:instrText>‐</w:instrText>
      </w:r>
      <w:r w:rsidR="00557CA9" w:rsidRPr="00662E51">
        <w:rPr>
          <w:szCs w:val="24"/>
        </w:rPr>
        <w:instrText>building. Second, it emphasises sub</w:instrText>
      </w:r>
      <w:r w:rsidR="00557CA9" w:rsidRPr="00662E51">
        <w:rPr>
          <w:rFonts w:ascii="Cambria Math" w:hAnsi="Cambria Math" w:cs="Cambria Math"/>
          <w:szCs w:val="24"/>
        </w:rPr>
        <w:instrText>‐</w:instrText>
      </w:r>
      <w:r w:rsidR="00557CA9" w:rsidRPr="00662E51">
        <w:rPr>
          <w:szCs w:val="24"/>
        </w:rPr>
        <w:instrText xml:space="preserve">national dynamics of party organising, contributing to a dismantling of methodological state centrism that pervades party scholarship. Third, it develops a geographical analytical approach to party organisation that demonstrates how sociospatial relations constitute parties' unfolding relations with the state and civil society.\n            \n          , \n            How and why does geography inform the organisational strategies of political parties? The paper proposes a model for analysing the geography of political parties by focusing on the relationship between territory and party organisation. It draws on empirical work in Buenos Aires to outline four dimensions through which parties strategically organise in and through territory in order to pursue their objectives.","container-title":"Transactions of the Institute of British Geographers","DOI":"10.1111/tran.12343","ISSN":"0020-2754, 1475-5661","issue":"2","journalAbbreviation":"Trans Inst British Geog","language":"en","page":"242-255","source":"DOI.org (Crossref)","title":"The geography of political parties: Territory and organisational strategies in Buenos Aires","title-short":"The geography of political parties","volume":"45","author":[{"family":"Halvorsen","given":"Sam"}],"issued":{"date-parts":[["2020",6]]}},"prefix":"see also"}],"schema":"https://github.com/citation-style-language/schema/raw/master/csl-citation.json"} </w:instrText>
      </w:r>
      <w:r w:rsidRPr="00662E51">
        <w:rPr>
          <w:szCs w:val="24"/>
        </w:rPr>
        <w:fldChar w:fldCharType="separate"/>
      </w:r>
      <w:r w:rsidR="0095662D" w:rsidRPr="00662E51">
        <w:t>(see also Halvorsen 2020)</w:t>
      </w:r>
      <w:r w:rsidRPr="00662E51">
        <w:rPr>
          <w:szCs w:val="24"/>
        </w:rPr>
        <w:fldChar w:fldCharType="end"/>
      </w:r>
      <w:r w:rsidRPr="00662E51">
        <w:rPr>
          <w:szCs w:val="24"/>
        </w:rPr>
        <w:t xml:space="preserve">. Drawing on political scholarship on the Labour Party </w:t>
      </w:r>
      <w:r w:rsidRPr="00662E51">
        <w:rPr>
          <w:szCs w:val="24"/>
        </w:rPr>
        <w:fldChar w:fldCharType="begin"/>
      </w:r>
      <w:r w:rsidR="00585791">
        <w:rPr>
          <w:szCs w:val="24"/>
        </w:rPr>
        <w:instrText xml:space="preserve"> ADDIN ZOTERO_ITEM CSL_CITATION {"citationID":"jQaQCZBc","properties":{"formattedCitation":"(Cockburn 1980; Gilbert 2021a, 2023; Miliband 1973; Ormerod 2021)","plainCitation":"(Cockburn 1980; Gilbert 2021a, 2023; Miliband 1973; Ormerod 2021)","noteIndex":0},"citationItems":[{"id":5811,"uris":["http://zotero.org/users/8977980/items/U5ZYVUT5"],"itemData":{"id":5811,"type":"book","edition":"Repr","ISBN":"978-0-904383-48-5","language":"eng","number-of-pages":"207","publisher":"Pluto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state","author":[{"family":"Cockburn","given":"Cynthia"}],"issued":{"date-parts":[["1980"]]}}},{"id":6824,"uris":["http://zotero.org/users/8977980/items/ZVTM8KFG"],"itemData":{"id":6824,"type":"post-weblog","abstract":"Why we shouldn't leave the Labour Party","container-title":"The Educator","language":"en-GB","title":"Why We Shouldn't Leave the Labour Party","title-short":"The Educator","URL":"https://peoplesmomentum.com/newsletters/the-educator/why-we-shouldnt-leave-the-labour-party/","author":[{"family":"Gilbert","given":"Jeremy"}],"accessed":{"date-parts":[["2025",8,8]]},"issued":{"date-parts":[["2021",12,15]]}}},{"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6775,"uris":["http://zotero.org/users/8977980/items/WA9H2UEI"],"itemData":{"id":6775,"type":"book","call-number":"324.24107 MIL","edition":"2d ed.","ISBN":"978-0-85036-135-3","language":"eng","number-of-pages":"384","publisher":"Merlin Press","publisher-place":"London","source":"discover.durham.ac.uk","title":"Parliamentary socialism: a study in the politics of Labour","title-short":"Parliamentary socialism","author":[{"family":"Miliband","given":"Ralph"}],"issued":{"date-parts":[["1973"]]}}},{"id":3295,"uris":["http://zotero.org/users/8977980/items/UP7CRFTK"],"itemData":{"id":3295,"type":"article-journal","abstract":"This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schema":"https://github.com/citation-style-language/schema/raw/master/csl-citation.json"} </w:instrText>
      </w:r>
      <w:r w:rsidRPr="00662E51">
        <w:rPr>
          <w:szCs w:val="24"/>
        </w:rPr>
        <w:fldChar w:fldCharType="separate"/>
      </w:r>
      <w:r w:rsidR="00585791" w:rsidRPr="00585791">
        <w:t>(Cockburn 1980; Gilbert 2021a, 2023; Miliband 1973; Ormerod 2021)</w:t>
      </w:r>
      <w:r w:rsidRPr="00662E51">
        <w:rPr>
          <w:szCs w:val="24"/>
        </w:rPr>
        <w:fldChar w:fldCharType="end"/>
      </w:r>
      <w:r w:rsidRPr="00662E51">
        <w:rPr>
          <w:szCs w:val="24"/>
        </w:rPr>
        <w:t xml:space="preserve"> and of councillors </w:t>
      </w:r>
      <w:r w:rsidRPr="00662E51">
        <w:rPr>
          <w:szCs w:val="24"/>
        </w:rPr>
        <w:fldChar w:fldCharType="begin"/>
      </w:r>
      <w:r w:rsidR="00F15CF8">
        <w:rPr>
          <w:szCs w:val="24"/>
        </w:rPr>
        <w:instrText xml:space="preserve"> ADDIN ZOTERO_ITEM CSL_CITATION {"citationID":"FqzyGndm","properties":{"formattedCitation":"(Copus 2004, 2015, 2023)","plainCitation":"(Copus 2004, 2015, 2023)","noteIndex":0},"citationItems":[{"id":6766,"uris":["http://zotero.org/users/8977980/items/22FQIFRM"],"itemData":{"id":6766,"type":"book","ISBN":"978-0-7190-6635-1","language":"eng","number-of-pages":"313","publisher":"Manchester University Press","publisher-place":"Manchester","source":"K10plus ISBN","title":"Party Politics and Local Government","author":[{"family":"Copus","given":"Colin"}],"issued":{"date-parts":[["2004"]]}}},{"id":6771,"uris":["http://zotero.org/users/8977980/items/H5WX9ZA2"],"itemData":{"id":6771,"type":"book","abstract":"In defence of councillors is an unashamed defence of local representative democracy and of those elected to serve as councillors from the often ill-informed, ill-judged and inaccurate criticism made by the media, government and public, of councillors' personal, political and professional roles. By using qualitative research from a number of related projects, the book examines the roles, functions and responsibilities of councillors and the expectations placed upon them by citizens, communities and government. It also examines the impact council membership has on other facets of the councillor's life. The book examines how councillors develop strategies to overcome the constraints and restrictions on their office so as to be able to govern their communities, balance their political and public life and democratise and hold to account a vast array of unelected bodies that spend public money and develop public policy without the electoral mandate and legitimacy held by our councillors.","DOI":"10.7765/9781784996727","ISBN":"978-0-7190-8832-2","language":"eng","publisher":"University Press","publisher-place":"Manchester","source":"discover.durham.ac.uk","title":"In Defence of Councillors","author":[{"family":"Copus","given":"Colin"}],"issued":{"date-parts":[["2015"]]}}},{"id":6769,"uris":["http://zotero.org/users/8977980/items/DFD3QFVU"],"itemData":{"id":6769,"type":"chapter","abstract":"Chapter 9: Councillors exist in a complex and fragmented environment, wherever they are located. The activities they undertake, the expectations upon them and the powers and duties they have serve to focus them on the council of which they are a member, the community they represent and the complexity of the political and policy environment they must navigate. Common to councillors, in many settings, is a misunderstanding of their role, the powers they can wield, what they can achieve and a disdain for their office from other tiers of government. The chapter, using recent research among councillors in England and drawing on international research, explores explains how councillors respond to the pressures they experience, utilise their often limited powers to secure policy and political goals interact with of tiers of government and represent and govern their local fellow citizens.","ISBN":"978-1-80037-120-0","language":"en","note":"section: Handbook on Local and Regional Governance","source":"www.elgaronline.com","title":"Councillors as local representatives: council, community, centralisation and complexity","title-short":"Chapter 9","URL":"https://www.elgaronline.com/edcollchap/book/9781800371200/book-part-9781800371200-18.xml","author":[{"family":"Copus","given":"Colin"}],"accessed":{"date-parts":[["2025",7,21]]},"issued":{"date-parts":[["2023",1,13]]}}}],"schema":"https://github.com/citation-style-language/schema/raw/master/csl-citation.json"} </w:instrText>
      </w:r>
      <w:r w:rsidRPr="00662E51">
        <w:rPr>
          <w:szCs w:val="24"/>
        </w:rPr>
        <w:fldChar w:fldCharType="separate"/>
      </w:r>
      <w:r w:rsidR="00F15CF8" w:rsidRPr="00F15CF8">
        <w:t>(Copus 2004, 2015, 2023)</w:t>
      </w:r>
      <w:r w:rsidRPr="00662E51">
        <w:rPr>
          <w:szCs w:val="24"/>
        </w:rPr>
        <w:fldChar w:fldCharType="end"/>
      </w:r>
      <w:r w:rsidRPr="00662E51">
        <w:rPr>
          <w:szCs w:val="24"/>
        </w:rPr>
        <w:t>, I call for greater attention to how a party’s internal conflicts structure contestation over policy at the local level. Multi</w:t>
      </w:r>
      <w:r w:rsidR="00A221E8" w:rsidRPr="00662E51">
        <w:rPr>
          <w:szCs w:val="24"/>
        </w:rPr>
        <w:t>-</w:t>
      </w:r>
      <w:r w:rsidRPr="00662E51">
        <w:rPr>
          <w:szCs w:val="24"/>
        </w:rPr>
        <w:t xml:space="preserve">scalarity refers to both multiple scales of the state and the party—as well as how relations are reworked </w:t>
      </w:r>
      <w:r w:rsidRPr="00662E51">
        <w:rPr>
          <w:i/>
          <w:iCs/>
          <w:szCs w:val="24"/>
        </w:rPr>
        <w:t>across</w:t>
      </w:r>
      <w:r w:rsidRPr="00662E51">
        <w:rPr>
          <w:szCs w:val="24"/>
        </w:rPr>
        <w:t xml:space="preserve"> sales. The local scale is surprisingly undertheorised in state-relational scholarship, a few noticeable </w:t>
      </w:r>
      <w:r w:rsidRPr="00662E51">
        <w:rPr>
          <w:szCs w:val="24"/>
        </w:rPr>
        <w:lastRenderedPageBreak/>
        <w:t xml:space="preserve">exceptions notwithstanding </w:t>
      </w:r>
      <w:r w:rsidRPr="00662E51">
        <w:rPr>
          <w:szCs w:val="24"/>
        </w:rPr>
        <w:fldChar w:fldCharType="begin"/>
      </w:r>
      <w:r w:rsidR="00213B80">
        <w:rPr>
          <w:szCs w:val="24"/>
        </w:rPr>
        <w:instrText xml:space="preserve"> ADDIN ZOTERO_ITEM CSL_CITATION {"citationID":"GMH6NjMY","properties":{"formattedCitation":"(M Goodwin et al. 1993; Mark Goodwin and Painter 1996; Painter 1991)","plainCitation":"(M Goodwin et al. 1993; Mark Goodwin and Painter 1996; Painter 1991)","noteIndex":0},"citationItems":[{"id":6806,"uris":["http://zotero.org/users/8977980/items/EVLR5ETS"],"itemData":{"id":6806,"type":"article-journal","abstract":"An effort is made in this paper to contribute to recent debates, inspired by the regulationist literature, on the restructuring of capitalist society. A major weakness in this literature concerns the treatment of the state, and especially the local state. Despite the fact that the state is clearly identified as a key component of any mode of regulation, the actual processes through which economic and social forces are translated into state activity are rarely examined, Moreover, these forces are usually assumed to operate at the national scale, but in this paper it is contended that the practices and relations of regulation also operate locally. These local spaces of regulation arise not only because of the uneven development of capitalist societies, but also because local agencies are often the very medium through which regulatory practices arc interpreted and ultimately delivered. The local state is thus a key component in these local modes of regulation, and will be implicated in any transition from one mode to another. These issues are examined by looking at the changing nature of urban politics in three British ‘cities’: Sheffield, Bracknell, and Camden in inner London. It is concluded that the local state is both an object and an agent of regulation, which itself needs to be regulated so that its strategies and structures can be used to help forge a new social, political, and economic settlement.","container-title":"Environment and Planning D: Society and Space","DOI":"10.1068/d110067","ISSN":"0263-7758","issue":"1","journalAbbreviation":"Environ Plan D","language":"EN","page":"67-88","publisher":"SAGE Publications Ltd STM","source":"SAGE Journals","title":"Regulation Theory, the Local State, and the Transition of Urban Politics","volume":"11","author":[{"family":"Goodwin","given":"M"},{"family":"Duncan","given":"S"},{"family":"Halford","given":"S"}],"issued":{"date-parts":[["1993",2,1]]}}},{"id":5564,"uris":["http://zotero.org/users/8977980/items/Q2KXCR9I"],"itemData":{"id":5564,"type":"article-journal","abstract":"During the last fifteen years the local government system in Britain has been transformed into one of local governance in which a multitude of unelected agencies (public, private and voluntary) have become involved in attempting to influence the fortunes of local areas. In this paper, we locate the roots of this shift in the crisis of the Fordist mode of regulation and political responses to it, suggest that a reworked regulation theory can provide a useful perspective from which to interpret current changes and outline the research framework that such a perspective involves. Although a key role for local government in Fordist processes of regulation may be identified, it is doubtful that new forms of local governance are contributing to the emergence of stable regulation in the 1990s. One reason for this is the geographical differentiation of contemporary regulatory processes.","container-title":"Transactions of the Institute of British Geographers","DOI":"10.2307/622391","ISSN":"0020-2754","issue":"4","page":"635-648","publisher":"[Royal Geographical Society (with the Institute of British Geographers), Wiley]","source":"JSTOR","title":"Local Governance, the Crises of Fordism and the Changing Geographies of Regulation","volume":"21","author":[{"family":"Goodwin","given":"Mark"},{"family":"Painter","given":"Joe"}],"issued":{"date-parts":[["1996"]]}}},{"id":6780,"uris":["http://zotero.org/users/8977980/items/PXUF4DHP"],"itemData":{"id":6780,"type":"article-journal","container-title":"Local Government Studies","DOI":"10.1080/03003939108433604","ISSN":"0300-3930, 1743-9388","issue":"6","language":"en","page":"23-44","publisher":"Informa UK Limited","source":"Crossref","title":"Regulation theory and local government","volume":"17","author":[{"family":"Painter","given":"Joe"}],"issued":{"date-parts":[["1991",11]]}}}],"schema":"https://github.com/citation-style-language/schema/raw/master/csl-citation.json"} </w:instrText>
      </w:r>
      <w:r w:rsidRPr="00662E51">
        <w:rPr>
          <w:szCs w:val="24"/>
        </w:rPr>
        <w:fldChar w:fldCharType="separate"/>
      </w:r>
      <w:r w:rsidR="00213B80" w:rsidRPr="00213B80">
        <w:t>(M Goodwin et al. 1993; Mark Goodwin and Painter 1996; Painter 1991)</w:t>
      </w:r>
      <w:r w:rsidRPr="00662E51">
        <w:rPr>
          <w:szCs w:val="24"/>
        </w:rPr>
        <w:fldChar w:fldCharType="end"/>
      </w:r>
      <w:r w:rsidRPr="00662E51">
        <w:rPr>
          <w:szCs w:val="24"/>
        </w:rPr>
        <w:t xml:space="preserve">. This thesis builds on investigations into urban governance </w:t>
      </w:r>
      <w:r w:rsidRPr="00662E51">
        <w:rPr>
          <w:szCs w:val="24"/>
        </w:rPr>
        <w:fldChar w:fldCharType="begin"/>
      </w:r>
      <w:r w:rsidR="00213B80">
        <w:rPr>
          <w:szCs w:val="24"/>
        </w:rPr>
        <w:instrText xml:space="preserve"> ADDIN ZOTERO_ITEM CSL_CITATION {"citationID":"na6rCCKM","properties":{"formattedCitation":"(N. Brenner 2019; Peck et al. 2009)","plainCitation":"(N. Brenner 2019; Peck et al. 2009)","noteIndex":0},"citationItems":[{"id":7055,"uris":["http://zotero.org/users/8977980/items/87MNDHST"],"itemData":{"id":7055,"type":"book","abstract":"The urban condition is today being radically transformed. Urban restructuring is accelerating, new urban spaces are being consolidated, and new forms of urbanization are crystallizing. In New Urban Spaces, Neil Brenner argues that understanding these mutations of urban life requires not only concrete research, but new theories of urbanization. To this end, Brenner proposes an approach that breaks with inherited conceptions of the urban as a bounded settlement unit-the city or the metropolis-and explores the multiscalar constitution and periodic rescaling of the capitalist urban fabric. Drawing on critical geopolitical economy and spatialized approaches to state theory, Brenner offers a paradigmatic account of how rescaling processes are transforming inherited formations of urban space and their variegated consequences for emergent patterns and pathways of urbanization. The book also advances an understanding of critical urban theory as radically revisable: key urban concepts must be continually reinvented in relation to the relentlessly mutating worlds of urbanization they aspire to illuminate.","ISBN":"978-0-19-062721-8","language":"en","note":"Google-Books-ID: U92ZDwAAQBAJ","number-of-pages":"481","publisher":"Oxford University Press","source":"Google Books","title":"New Urban Spaces: Urban Theory and the Scale Question","title-short":"New Urban Spaces","author":[{"family":"Brenner","given":"Neil"}],"issued":{"date-parts":[["2019",5,24]]}}},{"id":6181,"uris":["http://zotero.org/users/8977980/items/PA37G375"],"itemData":{"id":6181,"type":"article-journal","container-title":"SAIS Review of International Affairs","DOI":"10.1353/sais.0.0028","ISSN":"1945-4724","issue":"1","journalAbbreviation":"SAIS Review of International Affairs","language":"en","page":"49-66","source":"DOI.org (Crossref)","title":"Neoliberal Urbanism: Models, Moments, Mutations","title-short":"Neoliberal Urbanism","volume":"29","author":[{"family":"Peck","given":"Jamie"},{"family":"Theodore","given":"Nik"},{"family":"Brenner","given":"Neil"}],"issued":{"date-parts":[["2009"]]}}}],"schema":"https://github.com/citation-style-language/schema/raw/master/csl-citation.json"} </w:instrText>
      </w:r>
      <w:r w:rsidRPr="00662E51">
        <w:rPr>
          <w:szCs w:val="24"/>
        </w:rPr>
        <w:fldChar w:fldCharType="separate"/>
      </w:r>
      <w:r w:rsidR="00213B80" w:rsidRPr="00213B80">
        <w:t>(N. Brenner 2019; Peck et al. 2009)</w:t>
      </w:r>
      <w:r w:rsidRPr="00662E51">
        <w:rPr>
          <w:szCs w:val="24"/>
        </w:rPr>
        <w:fldChar w:fldCharType="end"/>
      </w:r>
      <w:r w:rsidRPr="00662E51">
        <w:rPr>
          <w:szCs w:val="24"/>
        </w:rPr>
        <w:t xml:space="preserve"> to consequently support a return to understanding the urban state/scale not only as a territory in which national dynamics play out, but also as intertwined with and productive of neoliberal processes </w:t>
      </w:r>
      <w:r w:rsidRPr="00662E51">
        <w:rPr>
          <w:szCs w:val="24"/>
        </w:rPr>
        <w:fldChar w:fldCharType="begin"/>
      </w:r>
      <w:r w:rsidR="008835AB" w:rsidRPr="00662E51">
        <w:rPr>
          <w:szCs w:val="24"/>
        </w:rPr>
        <w:instrText xml:space="preserve"> ADDIN ZOTERO_ITEM CSL_CITATION {"citationID":"FzeeatVE","properties":{"formattedCitation":"(Jenss 2019; Pileti\\uc0\\u263{} 2022)","plainCitation":"(Jenss 2019; Piletić 2022)","noteIndex":0},"citationItems":[{"id":5770,"uris":["http://zotero.org/users/8977980/items/3XV9CB2E"],"itemData":{"id":5770,"type":"article-journal","abstract":"There is an increasing consensus that, across the globe, austerity policies have often relegated fiscal pressures from the state to the urban scale. These are sometimes discussed under the label ‘austerity urbanism’. This article explores urban authoritarian neoliberalism through an examination of spatial and scalar manifestations of neoliberal restructuring. It asks how austerity urbanism’s rescaling takes effect in spatially variegated ways in the intermediate city of Oaxaca in Southern Mexico. I argue that Oaxaca’s austerity programmes and its rescaling of security provision are two intertwined, rather than parallel, processes. The paper builds on and aims to advance the authoritarian neoliberalism literature by linking it to literatures on the postcolonial Latin American state and urban studies. The article makes two contributions: first, it identifies and carves out multi-scalar aspects of authoritarian neoliberalism (by speaking to the urban realm); second, it contributes to the authoritarian neoliberalism literature on the ‘South’. Hence, the aim is to reveal the multi-scalar aspects of authoritarian neoliberalism and to illustrate its explanatory power in the global South.","container-title":"Globalizations","DOI":"10.1080/14747731.2018.1502493","ISSN":"1474-7731","issue":"3","note":"_eprint: https://doi.org/10.1080/14747731.2018.1502493","page":"304–319","publisher":"Routledge","source":"Taylor and Francis+NEJM","title":"Authoritarian neoliberal rescaling in Latin America: urban in/security and austerity in Oaxaca","title-short":"Authoritarian neoliberal rescaling in Latin America","volume":"16","author":[{"family":"Jenss","given":"Alke"}],"issued":{"date-parts":[["2019",4,16]]}}},{"id":5764,"uris":["http://zotero.org/users/8977980/items/NAKP7URT"],"itemData":{"id":5764,"type":"article-journal","container-title":"Globalizations","DOI":"10.1080/14747731.2021.1882817","ISSN":"1474-7731, 1474-774X","issue":"2","journalAbbreviation":"Globalizations","language":"en","page":"285-300","source":"DOI.org (Crossref)","title":"The role of the urban scale in anchoring authoritarian neoliberalism: a look at post-2012 neoliberalization in Belgrade, Serbia","title-short":"The role of the urban scale in anchoring authoritarian neoliberalism","volume":"19","author":[{"family":"Piletić","given":"Aleksandra"}],"issued":{"date-parts":[["2022",2,17]]}}}],"schema":"https://github.com/citation-style-language/schema/raw/master/csl-citation.json"} </w:instrText>
      </w:r>
      <w:r w:rsidRPr="00662E51">
        <w:rPr>
          <w:szCs w:val="24"/>
        </w:rPr>
        <w:fldChar w:fldCharType="separate"/>
      </w:r>
      <w:r w:rsidR="0095662D" w:rsidRPr="00662E51">
        <w:rPr>
          <w:rFonts w:cs="Times New Roman"/>
          <w:kern w:val="0"/>
        </w:rPr>
        <w:t>(Jenss 2019; Piletić 2022)</w:t>
      </w:r>
      <w:r w:rsidRPr="00662E51">
        <w:rPr>
          <w:szCs w:val="24"/>
        </w:rPr>
        <w:fldChar w:fldCharType="end"/>
      </w:r>
      <w:r w:rsidRPr="00662E51">
        <w:rPr>
          <w:szCs w:val="24"/>
        </w:rPr>
        <w:t xml:space="preserve">. </w:t>
      </w:r>
      <w:r w:rsidR="00261DCF">
        <w:rPr>
          <w:szCs w:val="24"/>
        </w:rPr>
        <w:t xml:space="preserve">There are some new, welcome analyses at this juncture </w:t>
      </w:r>
      <w:r w:rsidR="00261DCF">
        <w:rPr>
          <w:szCs w:val="24"/>
        </w:rPr>
        <w:fldChar w:fldCharType="begin"/>
      </w:r>
      <w:r w:rsidR="00213B80">
        <w:rPr>
          <w:szCs w:val="24"/>
        </w:rPr>
        <w:instrText xml:space="preserve"> ADDIN ZOTERO_ITEM CSL_CITATION {"citationID":"FH99P28j","properties":{"formattedCitation":"(Can et al. 2024; \\uc0\\u214{}zata\\uc0\\u287{}an et al. 2025)","plainCitation":"(Can et al. 2024; Özatağan et al. 2025)","noteIndex":0},"citationItems":[{"id":5762,"uris":["http://zotero.org/users/8977980/items/NKYRYKPW"],"itemData":{"id":5762,"type":"article-journal","abstract":"This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id":7104,"uris":["http://zotero.org/users/8977980/items/52EDWD4T","http://zotero.org/users/8977980/items/35SNJANE"],"itemData":{"id":7104,"type":"article-journal","abstract":"This Special Issue presents ‘authoritarian neoliberal urbanism’ as an empirical marker and a concept that signposts the ascendence of a new constellation in which authoritarianism becomes an ever-growing force in our cities in the neoliberal present, not only structuring how urban space is experienced but also repurposing it to reinforce authoritarian legitimacy and consolidate political power. This paper introduces six contributions that empirically or conceptually uncover some of the complexities of this new constellation which have remained untracked, unnarrated and misdiagnosed. We draw on the collective insights from these contributions to posit that authoritarian neoliberal urbanism is neither monolithic nor uniformly oppressive. It adapts to local contexts and conjunctural shifts, is (re)configured through both formal and informal, flexible and rigid, (il)legitimate and illegible governance tools and through complex engagements between the state, market actors and urban populations alike, often in tandem with the state’s continuous effort to (re)secure political legitimacy. Such paradoxes, we suggest, urge taking seriously the variegated, contested, and evolving nature of authoritarian neoliberal urbanism(s) as well as their context-specific and situated contradictions and ambiguities. It is within these contradictions and ambiguities that alternatives to neoliberal continuity may be found and the intensifying slide towards illiberal form(s) of capitalism can be transcended.","container-title":"Urban Studies","DOI":"10.1177/00420980251361667","ISSN":"0042-0980","issue":"15","language":"EN","page":"2917-2934","publisher":"SAGE Publications Ltd","source":"SAGE Journals","title":"Neoliberal crises and the city: Wrestling with authoritarian neoliberal urbanism(s)","title-short":"Neoliberal crises and the city","volume":"62","author":[{"family":"Özatağan","given":"Güldem"},{"family":"Fearn","given":"Gareth"},{"family":"Eraydin","given":"Ayda"}],"issued":{"date-parts":[["2025",11,1]]}}}],"schema":"https://github.com/citation-style-language/schema/raw/master/csl-citation.json"} </w:instrText>
      </w:r>
      <w:r w:rsidR="00261DCF">
        <w:rPr>
          <w:szCs w:val="24"/>
        </w:rPr>
        <w:fldChar w:fldCharType="separate"/>
      </w:r>
      <w:r w:rsidR="00EF5E38" w:rsidRPr="00EF5E38">
        <w:rPr>
          <w:rFonts w:cs="Times New Roman"/>
          <w:kern w:val="0"/>
        </w:rPr>
        <w:t>(Can et al. 2024; Özatağan et al. 2025)</w:t>
      </w:r>
      <w:r w:rsidR="00261DCF">
        <w:rPr>
          <w:szCs w:val="24"/>
        </w:rPr>
        <w:fldChar w:fldCharType="end"/>
      </w:r>
      <w:r w:rsidR="00261DCF">
        <w:rPr>
          <w:szCs w:val="24"/>
        </w:rPr>
        <w:t xml:space="preserve"> but few consider the role of the political party. </w:t>
      </w:r>
      <w:r w:rsidRPr="00662E51">
        <w:rPr>
          <w:szCs w:val="24"/>
        </w:rPr>
        <w:t xml:space="preserve">The Labour Party is equally scalar: it has a geometry </w:t>
      </w:r>
      <w:r w:rsidRPr="00662E51">
        <w:rPr>
          <w:szCs w:val="24"/>
        </w:rPr>
        <w:fldChar w:fldCharType="begin"/>
      </w:r>
      <w:r w:rsidR="001B2CAA">
        <w:rPr>
          <w:szCs w:val="24"/>
        </w:rPr>
        <w:instrText xml:space="preserve"> ADDIN ZOTERO_ITEM CSL_CITATION {"citationID":"tOdR3gV0","properties":{"formattedCitation":"(J. Scott and Wills 2017)","plainCitation":"(J. Scott and Wills 2017)","noteIndex":0},"citationItems":[{"id":"n0Saldgp/SMymUFlz","uris":["http://zotero.org/users/8977980/items/L74AUTZ7"],"itemData":{"id":"eCLlSK7E/EpXYGR5I","type":"article-journal","abstract":"This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Pr="00662E51">
        <w:rPr>
          <w:szCs w:val="24"/>
        </w:rPr>
        <w:fldChar w:fldCharType="separate"/>
      </w:r>
      <w:r w:rsidR="00213B80" w:rsidRPr="00213B80">
        <w:t>(J. Scott and Wills 2017)</w:t>
      </w:r>
      <w:r w:rsidRPr="00662E51">
        <w:rPr>
          <w:szCs w:val="24"/>
        </w:rPr>
        <w:fldChar w:fldCharType="end"/>
      </w:r>
      <w:r w:rsidRPr="00662E51">
        <w:rPr>
          <w:szCs w:val="24"/>
        </w:rPr>
        <w:t xml:space="preserve">. The national scale exerts pressure on the local scale, shaping local political decision-making </w:t>
      </w:r>
      <w:r w:rsidRPr="00662E51">
        <w:rPr>
          <w:szCs w:val="24"/>
        </w:rPr>
        <w:fldChar w:fldCharType="begin"/>
      </w:r>
      <w:r w:rsidR="00557CA9" w:rsidRPr="00662E51">
        <w:rPr>
          <w:szCs w:val="24"/>
        </w:rPr>
        <w:instrText xml:space="preserve"> ADDIN ZOTERO_ITEM CSL_CITATION {"citationID":"WDzDilG1","properties":{"formattedCitation":"(Gilbert 2023)","plainCitation":"(Gilbert 2023)","noteIndex":0},"citationItems":[{"id":5842,"uris":["http://zotero.org/users/8977980/items/QZRKMUSZ"],"itemData":{"id":5842,"type":"article-newspaper","abstract":"In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schema":"https://github.com/citation-style-language/schema/raw/master/csl-citation.json"} </w:instrText>
      </w:r>
      <w:r w:rsidRPr="00662E51">
        <w:rPr>
          <w:szCs w:val="24"/>
        </w:rPr>
        <w:fldChar w:fldCharType="separate"/>
      </w:r>
      <w:r w:rsidR="0095662D" w:rsidRPr="00662E51">
        <w:t>(Gilbert 2023)</w:t>
      </w:r>
      <w:r w:rsidRPr="00662E51">
        <w:rPr>
          <w:szCs w:val="24"/>
        </w:rPr>
        <w:fldChar w:fldCharType="end"/>
      </w:r>
      <w:r w:rsidRPr="00662E51">
        <w:rPr>
          <w:szCs w:val="24"/>
        </w:rPr>
        <w:t xml:space="preserve">. Conversely, local parties can influence both other local parties and national dynamics </w:t>
      </w:r>
      <w:r w:rsidRPr="00662E51">
        <w:rPr>
          <w:szCs w:val="24"/>
        </w:rPr>
        <w:fldChar w:fldCharType="begin"/>
      </w:r>
      <w:r w:rsidR="008835AB" w:rsidRPr="00662E51">
        <w:rPr>
          <w:szCs w:val="24"/>
        </w:rPr>
        <w:instrText xml:space="preserve"> ADDIN ZOTERO_ITEM CSL_CITATION {"citationID":"nSN638at","properties":{"formattedCitation":"(Horton and Penny 2024)","plainCitation":"(Horton and Penny 2024)","noteIndex":0},"citationItems":[{"id":5697,"uris":["http://zotero.org/users/8977980/items/ZPYXM7A6"],"itemData":{"id":5697,"type":"book","ISBN":"978-1-80008-710-1","language":"eng","note":"OCLC: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CITY","URL":"https://www.uclpress.co.uk/products/240669","author":[{"family":"Horton","given":"Amy"},{"family":"Penny","given":"Joe"}],"issued":{"date-parts":[["2024"]]}}}],"schema":"https://github.com/citation-style-language/schema/raw/master/csl-citation.json"} </w:instrText>
      </w:r>
      <w:r w:rsidRPr="00662E51">
        <w:rPr>
          <w:szCs w:val="24"/>
        </w:rPr>
        <w:fldChar w:fldCharType="separate"/>
      </w:r>
      <w:r w:rsidR="0095662D" w:rsidRPr="00662E51">
        <w:t>(Horton and Penny 2024)</w:t>
      </w:r>
      <w:r w:rsidRPr="00662E51">
        <w:rPr>
          <w:szCs w:val="24"/>
        </w:rPr>
        <w:fldChar w:fldCharType="end"/>
      </w:r>
      <w:r w:rsidRPr="00662E51">
        <w:rPr>
          <w:szCs w:val="24"/>
        </w:rPr>
        <w:t xml:space="preserve">. The multiscalar party-nexus consequently better captures the ways that different scales of governance, formal politics, and neoliberal processes intersect across space. </w:t>
      </w:r>
      <w:r w:rsidR="00931310" w:rsidRPr="00931310">
        <w:rPr>
          <w:szCs w:val="24"/>
        </w:rPr>
        <w:t xml:space="preserve">Geographic analyses, in particular, offer a useful lens </w:t>
      </w:r>
      <w:r w:rsidR="00203BAC">
        <w:rPr>
          <w:szCs w:val="24"/>
        </w:rPr>
        <w:t xml:space="preserve">because of their attention to scale. </w:t>
      </w:r>
    </w:p>
    <w:p w14:paraId="0F24249F" w14:textId="77777777" w:rsidR="00B2628A" w:rsidRPr="00662E51" w:rsidRDefault="00B2628A" w:rsidP="00F56305">
      <w:pPr>
        <w:spacing w:line="360" w:lineRule="auto"/>
        <w:ind w:left="0" w:firstLine="720"/>
        <w:rPr>
          <w:szCs w:val="24"/>
        </w:rPr>
      </w:pPr>
    </w:p>
    <w:p w14:paraId="789DA7BF" w14:textId="675AB495" w:rsidR="00B2628A" w:rsidRPr="00662E51" w:rsidRDefault="00B2628A" w:rsidP="00F56305">
      <w:pPr>
        <w:pStyle w:val="Heading3"/>
      </w:pPr>
      <w:bookmarkStart w:id="528" w:name="_Toc213173996"/>
      <w:bookmarkStart w:id="529" w:name="_Toc221184384"/>
      <w:bookmarkStart w:id="530" w:name="_Toc231215300"/>
      <w:r w:rsidRPr="00662E51">
        <w:t>For the Political Party in Authoritarian Neoliberalism</w:t>
      </w:r>
      <w:bookmarkEnd w:id="528"/>
      <w:bookmarkEnd w:id="529"/>
      <w:r w:rsidR="00836748">
        <w:t>:</w:t>
      </w:r>
      <w:bookmarkEnd w:id="530"/>
    </w:p>
    <w:p w14:paraId="53394F3C" w14:textId="5EEC21D0" w:rsidR="00B2628A" w:rsidRPr="00662E51" w:rsidRDefault="00B2628A" w:rsidP="00F56305">
      <w:pPr>
        <w:spacing w:line="360" w:lineRule="auto"/>
        <w:ind w:left="0" w:firstLine="720"/>
        <w:rPr>
          <w:szCs w:val="24"/>
        </w:rPr>
      </w:pPr>
      <w:r w:rsidRPr="00662E51">
        <w:rPr>
          <w:szCs w:val="24"/>
        </w:rPr>
        <w:t xml:space="preserve">Following on from the </w:t>
      </w:r>
      <w:r w:rsidR="00EF5E38">
        <w:rPr>
          <w:szCs w:val="24"/>
        </w:rPr>
        <w:t xml:space="preserve">multiscalar </w:t>
      </w:r>
      <w:r w:rsidRPr="00662E51">
        <w:rPr>
          <w:szCs w:val="24"/>
        </w:rPr>
        <w:t>state-party nexus, both HRW and HDW cases also reveal gaps in theorisations of authoritarian neoliberalism</w:t>
      </w:r>
      <w:r w:rsidR="00086144">
        <w:rPr>
          <w:szCs w:val="24"/>
        </w:rPr>
        <w:t>, answering Research Questions 2 and 3</w:t>
      </w:r>
      <w:r w:rsidRPr="00662E51">
        <w:rPr>
          <w:szCs w:val="24"/>
        </w:rPr>
        <w:t xml:space="preserve">. AN refers to </w:t>
      </w:r>
      <w:r w:rsidR="000E4D01">
        <w:rPr>
          <w:szCs w:val="24"/>
        </w:rPr>
        <w:t xml:space="preserve">how </w:t>
      </w:r>
      <w:r w:rsidRPr="00662E51">
        <w:rPr>
          <w:szCs w:val="24"/>
        </w:rPr>
        <w:t xml:space="preserve">neoliberal states rely on a combination of insulating decision-making and forceful repression of dissent to legitimise neoliberal, capitalist accumulation </w:t>
      </w:r>
      <w:r w:rsidRPr="00662E51">
        <w:rPr>
          <w:szCs w:val="24"/>
        </w:rPr>
        <w:fldChar w:fldCharType="begin"/>
      </w:r>
      <w:r w:rsidR="008835AB" w:rsidRPr="00662E51">
        <w:rPr>
          <w:szCs w:val="24"/>
        </w:rPr>
        <w:instrText xml:space="preserve"> ADDIN ZOTERO_ITEM CSL_CITATION {"citationID":"b0GDwQlg","properties":{"formattedCitation":"(Bruff 2014; Tansel 2017)","plainCitation":"(Bruff 2014; Tansel 2017)","noteIndex":0},"citationItems":[{"id":5773,"uris":["http://zotero.org/users/8977980/items/YQRZXUST"],"itemData":{"id":5773,"type":"article-journal","container-title":"Rethinking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Burak"}],"issued":{"date-parts":[["2017",2,8]]}}}],"schema":"https://github.com/citation-style-language/schema/raw/master/csl-citation.json"} </w:instrText>
      </w:r>
      <w:r w:rsidRPr="00662E51">
        <w:rPr>
          <w:szCs w:val="24"/>
        </w:rPr>
        <w:fldChar w:fldCharType="separate"/>
      </w:r>
      <w:r w:rsidR="0095662D" w:rsidRPr="00662E51">
        <w:t>(Bruff 2014; Tansel 2017)</w:t>
      </w:r>
      <w:r w:rsidRPr="00662E51">
        <w:rPr>
          <w:szCs w:val="24"/>
        </w:rPr>
        <w:fldChar w:fldCharType="end"/>
      </w:r>
      <w:r w:rsidRPr="00662E51">
        <w:rPr>
          <w:szCs w:val="24"/>
        </w:rPr>
        <w:t xml:space="preserve">. Yet, these works typically treats this form of illiberalism as a national project </w:t>
      </w:r>
      <w:r w:rsidRPr="00662E51">
        <w:rPr>
          <w:szCs w:val="24"/>
        </w:rPr>
        <w:fldChar w:fldCharType="begin"/>
      </w:r>
      <w:r w:rsidR="008835AB" w:rsidRPr="00662E51">
        <w:rPr>
          <w:szCs w:val="24"/>
        </w:rPr>
        <w:instrText xml:space="preserve"> ADDIN ZOTERO_ITEM CSL_CITATION {"citationID":"XhAPBguh","properties":{"formattedCitation":"(e.g., Alt\\uc0\\u305{}n\\uc0\\u246{}rs and Ak\\uc0\\u231{}ay 2022; Da Costa Vieira 2023; Fearn 2024)","plainCitation":"(e.g., Altınörs and Akçay 2022; Da Costa Vieira 2023; Fearn 2024)","noteIndex":0},"citationItems":[{"id":6618,"uris":["http://zotero.org/users/8977980/items/778WE4EM"],"itemData":{"id":6618,"type":"article-journal","abstract":"The aim of this article is to analyze Turkey's recent authoritarian transformation from a critical political economy perspective and to examine the main determinants of, what we call, the ‘authoritarian consolidation attempt' of the Justice and Development Party (AKP). For that purpose, first, we sought answers to the following question: why did the AKP engage in a more authoritarian political agenda in the 2010s? We critically review the literature on the contemporary dynamics of authoritarianism, particularly focusing on two explanatory frameworks, competitive authoritarianism, and authoritarian neoliberalism. We argue that the crisis of authoritarian neoliberalism did not end up with democratization in Turkey in the 2010s, rather the power bloc initiated a strategy of the authoritarian fix as a reaction to the multiple crises that were a combination of the state crisis and the crisis of capital accumulation regime. Second, we analyzed how authoritarianism in Turkey is en route to consolidation in the aftermath of the transition to the Turkish presidential system in 2018, and what the fundamental factors of this consolidation are. We investigated the main features of Turkish presidentialism following the three-dimensional framework of authoritarian consolidation, including infrastructural, despotic, and discursive power analyses. As a result, we suggest a critical political economy account to unfold contemporary dynamics of authoritarianism based on the Turkish case.","container-title":"Globalizations","DOI":"10.1080/14747731.2021.2025290","ISSN":"1474-7731","issue":"7","note":"_eprint: https://doi.org/10.1080/14747731.2021.2025290","page":"1029-1053","publisher":"Routledge","source":"Taylor and Francis+NEJM","title":"Authoritarian neoliberalism, crisis, and consolidation: the political economy of regime change in Turkey","title-short":"Authoritarian neoliberalism, crisis, and consolidation","volume":"19","author":[{"family":"Altınörs","given":"Görkem"},{"family":"Akçay","given":"Ümit"}],"issued":{"date-parts":[["2022",10,3]]}},"prefix":"e.g., "},{"id":5759,"uris":["http://zotero.org/users/8977980/items/QJQY2YCJ"],"itemData":{"id":5759,"type":"article-journal","abstract":"In this article, I show that current literature on authoritarian neoliberalism has not only overlooked the crucial role of legitimation in authoritarian neoliberal regimes, both pre- and post-2008, it has also failed to properly conceptualise it. While existing scholarship mainly pictures neoliberal governments as pursuing legitimation to ensure accumulation remains unopposed, I instead argue that neoliberal governments see legitimation as an instrument of, and precondition for, accumulation ? as directly feeding into it. Indeed, my contribution shows that governments aim to transform citizens into neoliberal subjects that actively and willingly participate in neoliberal accumulation. I call this project, which relies on state-driven mass behavioural change, a strategy of ?accumulation by legitimation?. The article illustrates this with the case of Thatcherism, analysing newly released governmental archival sources through a Marxist-Foucauldian framework. I unearth the Thatcher government?s propaganda campaign and employee involvement policy, which were a combined effort to influence the British people through governmental education, share ownership as well as communication and consultation in industry. The objective was to turn British workers into self-identifying capitalists that would willingly support the market order and accept its imperatives by themselves, such as the need to moderate their own wage demands. Thatcherites saw this as a prerequisite for their employment and counter-inflationary policies to work. This far-reaching strategy however faced significant obstacles, both from inside government and from British capital, illustrating key contradictions in neoliberalism. While neoliberal ideas endure, this sheds light on the incomplete and fragile character of neoliberal hegemony up to today.","container-title":"Competition &amp; Change","DOI":"10.1177/10245294231153028","ISSN":"1024-5294","issue":"5","page":"729-747","publisher":"SAGE Publications Ltd","source":"SAGE Journals","title":"‘In time, every worker a capitalist’: Accumulation by legitimation and authoritarian neoliberalism in Thatcher’s Britain","title-short":"‘In time, every worker a capitalist’","volume":"27","author":[{"family":"Da Costa Vieira","given":"Thomas"}],"issued":{"date-parts":[["2023",10,1]]}}},{"id":6433,"uris":["http://zotero.org/users/8977980/items/2XKUHD7L"],"itemData":{"id":6433,"type":"article-journal","abstract":"Neoliberalisation, particularly since the financial crisis, has been associated with significant housing crises. Rising prices and rents have benefitted asset owners, whilst squeezing younger generations out of the ‘property owning democracy’. As the tensions between these two groups grow, states are seeking further reforms to urban planning to deliver greater levels of private house-building, as a policy fix which also serves the interests of capital. To deliver further neoliberal reforms, though, states are increasingly turning towards more authoritarian practices to manage growing dissent to neoliberal rule. Drawing on Gramsci and theoretical insights from the major crises of the 1970s, this paper analyses how authoritarian practices, statist and populist, are derived from the administrative and legitimation crises that followed the financial crash of 2007/8. It focuses on a particular administrative crisis – housing in England – to show how increasingly coercive urban planning practices were advocated for at national level, which in turn revealed tensions within the ‘historical bloc’ of the neoliberal order. In the English case the government has struggled to cohere the consent of capital and civil society, with key class fractions of the historical bloc divided over planning reform. I argue that the contestations have nonetheless shifted political common sense towards reducing deliberative and democratic practices, shifting accountability from those with structural power to those with much more marginal power.","container-title":"Urban Studies","DOI":"10.1177/00420980241254925","ISSN":"0042-0980","language":"EN","page":"00420980241254925","publisher":"SAGE Publications Ltd","source":"SAGE Journals","title":"Housing the historical bloc: Civil society contestation of authoritarian neoliberalism in England","title-short":"Housing the historical bloc","author":[{"family":"Fearn","given":"Gareth"}],"issued":{"date-parts":[["2024",6,18]]}}}],"schema":"https://github.com/citation-style-language/schema/raw/master/csl-citation.json"} </w:instrText>
      </w:r>
      <w:r w:rsidRPr="00662E51">
        <w:rPr>
          <w:szCs w:val="24"/>
        </w:rPr>
        <w:fldChar w:fldCharType="separate"/>
      </w:r>
      <w:r w:rsidR="00AC7D99" w:rsidRPr="00662E51">
        <w:rPr>
          <w:rFonts w:cs="Times New Roman"/>
          <w:kern w:val="0"/>
        </w:rPr>
        <w:t>(e.g., Altınörs and Akçay 2022; Da Costa Vieira 2023; Fearn 2024)</w:t>
      </w:r>
      <w:r w:rsidRPr="00662E51">
        <w:rPr>
          <w:szCs w:val="24"/>
        </w:rPr>
        <w:fldChar w:fldCharType="end"/>
      </w:r>
      <w:r w:rsidRPr="00662E51">
        <w:rPr>
          <w:szCs w:val="24"/>
        </w:rPr>
        <w:t xml:space="preserve">. Instead, this research adds to other scholarship that puts forward a scalar perspective of AN, recognising how it is deployed and reinforced at the local level </w:t>
      </w:r>
      <w:r w:rsidRPr="00662E51">
        <w:rPr>
          <w:szCs w:val="24"/>
        </w:rPr>
        <w:fldChar w:fldCharType="begin"/>
      </w:r>
      <w:r w:rsidR="008835AB" w:rsidRPr="00662E51">
        <w:rPr>
          <w:szCs w:val="24"/>
        </w:rPr>
        <w:instrText xml:space="preserve"> ADDIN ZOTERO_ITEM CSL_CITATION {"citationID":"L8W1uj6a","properties":{"formattedCitation":"(Jenss 2019; Pileti\\uc0\\u263{} 2022)","plainCitation":"(Jenss 2019; Piletić 2022)","noteIndex":0},"citationItems":[{"id":5770,"uris":["http://zotero.org/users/8977980/items/3XV9CB2E"],"itemData":{"id":5770,"type":"article-journal","abstract":"There is an increasing consensus that, across the globe, austerity policies have often relegated fiscal pressures from the state to the urban scale. These are sometimes discussed under the label ‘austerity urbanism’. This article explores urban authoritarian neoliberalism through an examination of spatial and scalar manifestations of neoliberal restructuring. It asks how austerity urbanism’s rescaling takes effect in spatially variegated ways in the intermediate city of Oaxaca in Southern Mexico. I argue that Oaxaca’s austerity programmes and its rescaling of security provision are two intertwined, rather than parallel, processes. The paper builds on and aims to advance the authoritarian neoliberalism literature by linking it to literatures on the postcolonial Latin American state and urban studies. The article makes two contributions: first, it identifies and carves out multi-scalar aspects of authoritarian neoliberalism (by speaking to the urban realm); second, it contributes to the authoritarian neoliberalism literature on the ‘South’. Hence, the aim is to reveal the multi-scalar aspects of authoritarian neoliberalism and to illustrate its explanatory power in the global South.","container-title":"Globalizations","DOI":"10.1080/14747731.2018.1502493","ISSN":"1474-7731","issue":"3","note":"_eprint: https://doi.org/10.1080/14747731.2018.1502493","page":"304–319","publisher":"Routledge","source":"Taylor and Francis+NEJM","title":"Authoritarian neoliberal rescaling in Latin America: urban in/security and austerity in Oaxaca","title-short":"Authoritarian neoliberal rescaling in Latin America","volume":"16","author":[{"family":"Jenss","given":"Alke"}],"issued":{"date-parts":[["2019",4,16]]}}},{"id":5764,"uris":["http://zotero.org/users/8977980/items/NAKP7URT"],"itemData":{"id":5764,"type":"article-journal","container-title":"Globalizations","DOI":"10.1080/14747731.2021.1882817","ISSN":"1474-7731, 1474-774X","issue":"2","journalAbbreviation":"Globalizations","language":"en","page":"285-300","source":"DOI.org (Crossref)","title":"The role of the urban scale in anchoring authoritarian neoliberalism: a look at post-2012 neoliberalization in Belgrade, Serbia","title-short":"The role of the urban scale in anchoring authoritarian neoliberalism","volume":"19","author":[{"family":"Piletić","given":"Aleksandra"}],"issued":{"date-parts":[["2022",2,17]]}}}],"schema":"https://github.com/citation-style-language/schema/raw/master/csl-citation.json"} </w:instrText>
      </w:r>
      <w:r w:rsidRPr="00662E51">
        <w:rPr>
          <w:szCs w:val="24"/>
        </w:rPr>
        <w:fldChar w:fldCharType="separate"/>
      </w:r>
      <w:r w:rsidR="0095662D" w:rsidRPr="00662E51">
        <w:rPr>
          <w:rFonts w:cs="Times New Roman"/>
          <w:kern w:val="0"/>
        </w:rPr>
        <w:t>(Jenss 2019; Piletić 2022)</w:t>
      </w:r>
      <w:r w:rsidRPr="00662E51">
        <w:rPr>
          <w:szCs w:val="24"/>
        </w:rPr>
        <w:fldChar w:fldCharType="end"/>
      </w:r>
      <w:r w:rsidRPr="00662E51">
        <w:rPr>
          <w:szCs w:val="24"/>
        </w:rPr>
        <w:t xml:space="preserve">. </w:t>
      </w:r>
      <w:r w:rsidR="000E4D01">
        <w:rPr>
          <w:szCs w:val="24"/>
        </w:rPr>
        <w:t xml:space="preserve">Geography’s attention to scale is therefore essential to more complete understandings of how </w:t>
      </w:r>
      <w:r w:rsidR="00465D8A">
        <w:rPr>
          <w:szCs w:val="24"/>
        </w:rPr>
        <w:t xml:space="preserve">neoliberalism </w:t>
      </w:r>
      <w:r w:rsidR="00C26308">
        <w:rPr>
          <w:szCs w:val="24"/>
        </w:rPr>
        <w:t xml:space="preserve">continues to lumber on. </w:t>
      </w:r>
      <w:r w:rsidRPr="00662E51">
        <w:rPr>
          <w:szCs w:val="24"/>
        </w:rPr>
        <w:t xml:space="preserve">Urban geographers have likewise become increasingly attuned to the relationships between contemporary neoliberal urbanism and authoritarianism </w:t>
      </w:r>
      <w:r w:rsidRPr="00662E51">
        <w:rPr>
          <w:szCs w:val="24"/>
        </w:rPr>
        <w:fldChar w:fldCharType="begin"/>
      </w:r>
      <w:r w:rsidR="00213B80">
        <w:rPr>
          <w:szCs w:val="24"/>
        </w:rPr>
        <w:instrText xml:space="preserve"> ADDIN ZOTERO_ITEM CSL_CITATION {"citationID":"cOsxB4Ud","properties":{"formattedCitation":"(Can et al. 2024; Ergenc and Yuksekkaya 2024; Luger and D\\uc0\\u252{}rr 2025; \\uc0\\u214{}zata\\uc0\\u287{}an et al. 2025)","plainCitation":"(Can et al. 2024; Ergenc and Yuksekkaya 2024; Luger and Dürr 2025; Özatağan et al. 2025)","noteIndex":0},"citationItems":[{"id":5762,"uris":["http://zotero.org/users/8977980/items/NKYRYKPW"],"itemData":{"id":5762,"type":"article-journal","abstract":"This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id":6435,"uris":["http://zotero.org/users/8977980/items/XK8GISU8"],"itemData":{"id":6435,"type":"article-journal","abstract":"The changes in the global neoliberal order leading up to the 2008 financial crisis shaped individual countries’ political–administrative transformations. One of the most important trends in politic...","archive_location":"world","container-title":"Territory, Politics, Governance","ISSN":"2162-2671","language":"EN","license":"© 2022 The Author(s). Published by Informa UK Limited, trading as Taylor &amp; Francis Group","publisher":"Routledge","source":"www.tandfonline.com","title":"Institutionalizing authoritarian urbanism and the centralization of urban decision-making","URL":"https://www.tandfonline.com/doi/abs/10.1080/21622671.2021.2020156","author":[{"family":"Ergenc","given":"Ceren"},{"family":"Yuksekkaya","given":"Ozge"}],"accessed":{"date-parts":[["2025",5,2]]},"issued":{"date-parts":[["2024",3,15]]}}},{"id":6500,"uris":["http://zotero.org/users/8977980/items/MCPUJMEQ"],"itemData":{"id":6500,"type":"article-journal","abstract":"Advocating the value of an urban lens for researching and understanding illiberalism, we propose a threefold thematic anchoring for emerging inquiry into cities, framed both planetarily and locally, as containers/facilitators/mediators/conduits/nodes of illiberal ideologies, action, processes and outcomes. Our thematic approaches are: (1) that urban density can catalyse illiberalism, from grassroots coalitions (e.g. neighbourhoods) to top-down urban governance (e.g. public/private management coalitions) and the dense ‘thrown-togetherness’ of daily urban life can intensify tension, instability, fear and antagonism; (2) the urban emergency and urban crises, entangled as they are within ongoing neoliberal urbanism, facilitate illiberal responses (e.g. crises as justifications for reactionary/authoritarian policies, laws and outcomes); and (3) the urban offers a speed and virality that fosters illiberalism (e.g. platform-driven urban processes and ‘fast policies’). We suggest that the speeding-up of urban processes, long a facet of industrial capitalism, has now entered a new phase which is simultaneously catalysed by illiberal entities and ideologies (e.g. the platformed-world building of ‘NRx urbanism’), but also lays the groundwork for illiberal responses, new surveillances and authoritarian intrusions into daily life. We weave these thematic windows together with selected examples of global urban happenings and recent episodes, including in the context during and post-COVID-19. We note the proliferation of globally circulating authoritarian tendencies in urban planning, urban governance and crisis management that point to an uncomfortable reality where the urban question may, inherently, be an illiberal one. Nonetheless, we conclude on an optimistic note that illiberal urban futures are still ripe for contestation.","container-title":"Urban Studies","DOI":"10.1177/00420980251327142","ISSN":"0042-0980","language":"EN","page":"00420980251327142","publisher":"SAGE Publications Ltd","source":"SAGE Journals","title":"The urban question under illiberalism? Three thematic approaches","title-short":"The urban question under illiberalism?","author":[{"family":"Luger","given":"Jason D"},{"family":"Dürr","given":"Miklós János"}],"issued":{"date-parts":[["2025",4,12]]}}},{"id":7104,"uris":["http://zotero.org/users/8977980/items/52EDWD4T","http://zotero.org/users/8977980/items/35SNJANE"],"itemData":{"id":7104,"type":"article-journal","abstract":"This Special Issue presents ‘authoritarian neoliberal urbanism’ as an empirical marker and a concept that signposts the ascendence of a new constellation in which authoritarianism becomes an ever-growing force in our cities in the neoliberal present, not only structuring how urban space is experienced but also repurposing it to reinforce authoritarian legitimacy and consolidate political power. This paper introduces six contributions that empirically or conceptually uncover some of the complexities of this new constellation which have remained untracked, unnarrated and misdiagnosed. We draw on the collective insights from these contributions to posit that authoritarian neoliberal urbanism is neither monolithic nor uniformly oppressive. It adapts to local contexts and conjunctural shifts, is (re)configured through both formal and informal, flexible and rigid, (il)legitimate and illegible governance tools and through complex engagements between the state, market actors and urban populations alike, often in tandem with the state’s continuous effort to (re)secure political legitimacy. Such paradoxes, we suggest, urge taking seriously the variegated, contested, and evolving nature of authoritarian neoliberal urbanism(s) as well as their context-specific and situated contradictions and ambiguities. It is within these contradictions and ambiguities that alternatives to neoliberal continuity may be found and the intensifying slide towards illiberal form(s) of capitalism can be transcended.","container-title":"Urban Studies","DOI":"10.1177/00420980251361667","ISSN":"0042-0980","issue":"15","language":"EN","page":"2917-2934","publisher":"SAGE Publications Ltd","source":"SAGE Journals","title":"Neoliberal crises and the city: Wrestling with authoritarian neoliberal urbanism(s)","title-short":"Neoliberal crises and the city","volume":"62","author":[{"family":"Özatağan","given":"Güldem"},{"family":"Fearn","given":"Gareth"},{"family":"Eraydin","given":"Ayda"}],"issued":{"date-parts":[["2025",11,1]]}}}],"schema":"https://github.com/citation-style-language/schema/raw/master/csl-citation.json"} </w:instrText>
      </w:r>
      <w:r w:rsidRPr="00662E51">
        <w:rPr>
          <w:szCs w:val="24"/>
        </w:rPr>
        <w:fldChar w:fldCharType="separate"/>
      </w:r>
      <w:r w:rsidR="00BB6947" w:rsidRPr="00BB6947">
        <w:rPr>
          <w:rFonts w:cs="Times New Roman"/>
          <w:kern w:val="0"/>
        </w:rPr>
        <w:t>(Can et al. 2024; Ergenc and Yuksekkaya 2024; Luger and Dürr 2025; Özatağan et al. 2025)</w:t>
      </w:r>
      <w:r w:rsidRPr="00662E51">
        <w:rPr>
          <w:szCs w:val="24"/>
        </w:rPr>
        <w:fldChar w:fldCharType="end"/>
      </w:r>
      <w:r w:rsidRPr="00662E51">
        <w:rPr>
          <w:szCs w:val="24"/>
        </w:rPr>
        <w:t xml:space="preserve">. Despite literature that acknowledges the importance of party politics to urban governance </w:t>
      </w:r>
      <w:r w:rsidRPr="00662E51">
        <w:rPr>
          <w:szCs w:val="24"/>
        </w:rPr>
        <w:lastRenderedPageBreak/>
        <w:fldChar w:fldCharType="begin"/>
      </w:r>
      <w:r w:rsidR="008835AB" w:rsidRPr="00662E51">
        <w:rPr>
          <w:szCs w:val="24"/>
        </w:rPr>
        <w:instrText xml:space="preserve"> ADDIN ZOTERO_ITEM CSL_CITATION {"citationID":"KvMS3N1r","properties":{"formattedCitation":"(Ormerod 2021; Ormerod and MacLeod 2019)","plainCitation":"(Ormerod 2021; Ormerod and MacLeod 2019)","noteIndex":0},"citationItems":[{"id":3295,"uris":["http://zotero.org/users/8977980/items/UP7CRFTK"],"itemData":{"id":3295,"type":"article-journal","abstract":"This paper argues that geographical research needs to pay greater attention to political parties and their relationship to local governing. In returning to, and updating the concept of the local state, analysis of local socio-spatial and political relations reveals the quieter registers of political power in local governing, and in turn what this means for the condition of local democracy. The long-term housing regeneration of a neighbourhood in Gateshead, North East England is used here as an optic to do just that. Through moments of housing activism, the social and political relations between and within a local Labour Party and local state are considered. A local manifestation of a growing trend that questions the representation of mature structures of power that the Labour Party holds in deindustrialised areas of the UK is considered through struggles over decision-making, belonging, representation and legitimacy. Such accounts of the local scale are critical in relation to global political trends; where apathy, cynicism, lack of expectation and representation and insurgent populist parties are increasingly framed as potential political crises of mature western democracies.","container-title":"Political Geography","DOI":"10.1016/j.polgeo.2020.102308","ISSN":"0962-6298","journalAbbreviation":"Political Geography","language":"en","source":"ScienceDirect","title":"The place of politics and the politics of place: Housing, the Labour Party and the local state in England","title-short":"The place of politics and the politics of place","URL":"https://www.sciencedirect.com/science/article/pii/S0962629820303711","volume":"85","author":[{"family":"Ormerod","given":"Emma"}],"accessed":{"date-parts":[["2023",1,19]]},"issued":{"date-parts":[["2021",3,1]]}}},{"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0095662D" w:rsidRPr="00662E51">
        <w:t>(Ormerod 2021; Ormerod and MacLeod 2019)</w:t>
      </w:r>
      <w:r w:rsidRPr="00662E51">
        <w:rPr>
          <w:szCs w:val="24"/>
        </w:rPr>
        <w:fldChar w:fldCharType="end"/>
      </w:r>
      <w:r w:rsidRPr="00662E51">
        <w:rPr>
          <w:szCs w:val="24"/>
        </w:rPr>
        <w:t xml:space="preserve">, few connections have been established between political parties and authoritarian neoliberalism </w:t>
      </w:r>
      <w:r w:rsidRPr="00662E51">
        <w:rPr>
          <w:szCs w:val="24"/>
        </w:rPr>
        <w:fldChar w:fldCharType="begin"/>
      </w:r>
      <w:r w:rsidR="00213B80">
        <w:rPr>
          <w:szCs w:val="24"/>
        </w:rPr>
        <w:instrText xml:space="preserve"> ADDIN ZOTERO_ITEM CSL_CITATION {"citationID":"Ma9d6IB4","properties":{"formattedCitation":"(cf. \\uc0\\u214{}zden et al. 2017; J. Ward and Ward 2023)","plainCitation":"(cf. Özden et al. 2017; J. Ward and Ward 2023)","noteIndex":0},"citationItems":[{"id":6480,"uris":["http://zotero.org/users/8977980/items/XU857UJW"],"itemData":{"id":6480,"type":"chapter","abstract":"Authoritarian neoliberalism : towards a new research agenda / Cemal Burak Tansel -- Authoritarian neoliberalism and the disciplining of labour / Mònica Clua-Losada and Olatz Ribera-Almandoz -- Commodified pacification : police, commercial security and the state / Kendra Briken and Volker Eick -- Bodies in resistance : conversations on gender, body politics and authoritarian neoliberalism / Wendy Harcourt -- The right to starve : hunger, discipline and labour market restructuring under authoritarian neoliberalism / Sébastien Rioux -- Urban transformation under authoritarian neoliberalism / Annalena di Giovanni -- From Mare Nostrum to Triton : humanitarian emergencies and neoliberal migration management in the Mediterranean / Luca Manunza -- Cease to exist? : the European \"social\" model and the hardening of \"soft\" EU law / Ian Bruff -- The authoritarian and disciplinary mechanism of reduced sovereignty in the EU : the case of Greece / Panagiotis Sotiris -- Antinomies of authoritarian neoliberalism in Turkey : the Justice and Development Party era / Baris Alp Özden, Ismet Akça and Ahmet Bekmen -- Resistance and passive revolution in Egypt and Morocco / Brecht De Smet and Koenraad Bogaert -- Klepto-neoliberalism : authoritarianism and patronage in Cambodia / Simon Springer -- Variegated neoliberalization as a function and outcome of neo-authoritarianism in China / Kean Fan Lim -- Postscript / Cynthia Enloe","collection-title":"Transforming capitalism","container-title":"States of discipline: authoritarian neoliberalism and the contested reproduction of capitalist order","ISBN":"978-1-78348-620-5","language":"eng","publisher":"Rowman &amp; Littlefield International","publisher-place":"London","title":"Antinomies of Authoritarian Neoliberalism in Turkey: The Justice and Development Party Era","editor":[{"family":"Tansel","given":"Cemal Burak"}],"author":[{"family":"Özden","given":"Barış Alp"},{"family":"Akça","given":"İsmet"},{"family":"Bekmen","given":"Ahmet"}],"issued":{"date-parts":[["2017"]]}},"prefix":"cf. "},{"id":7101,"uris":["http://zotero.org/users/8977980/items/4CPII9LX"],"itemData":{"id":7101,"type":"article-journal","abstract":"Many commentators have suggested that the first 18 months of the Johnson government were characterised by a propensity to centralise power. However, few accounts have situated the administration in the historical context of the British state or systematically examined these centralising tendencies. This article attempts to address these omissions. First, through a critical assessment of the literature on authoritarian neoliberalism, the concept of ‘executive centralisation’ is developed within the context of the British state. Second, the article applies this revised framework to the early stages of the Johnson government. While a dominant executive is a long-standing feature of the British political system, it is argued that Johnson has pursued a multifaceted centralisation strategy facilitated by the context of Brexit and COVID-19. In identifying the role of consent in this process, the article augments scholarship on ‘authoritarian neoliberalism’ as a moment in neoliberal governance characterised by the ascendance of coercive governing strategies.","container-title":"Political Studies","DOI":"10.1177/00323217211063730","ISSN":"0032-3217","issue":"4","language":"EN","page":"1171-1189","publisher":"SAGE Publications Ltd","source":"SAGE Journals","title":"From Brexit to COVID-19: The Johnson Government, Executive Centralisation and Authoritarian Populism","title-short":"From Brexit to COVID-19","volume":"71","author":[{"family":"Ward","given":"Joseph"},{"family":"Ward","given":"Bradley"}],"issued":{"date-parts":[["2023",11,1]]}}}],"schema":"https://github.com/citation-style-language/schema/raw/master/csl-citation.json"} </w:instrText>
      </w:r>
      <w:r w:rsidRPr="00662E51">
        <w:rPr>
          <w:szCs w:val="24"/>
        </w:rPr>
        <w:fldChar w:fldCharType="separate"/>
      </w:r>
      <w:r w:rsidR="00213B80" w:rsidRPr="00213B80">
        <w:rPr>
          <w:rFonts w:cs="Times New Roman"/>
          <w:kern w:val="0"/>
        </w:rPr>
        <w:t>(cf. Özden et al. 2017; J. Ward and Ward 2023)</w:t>
      </w:r>
      <w:r w:rsidRPr="00662E51">
        <w:rPr>
          <w:szCs w:val="24"/>
        </w:rPr>
        <w:fldChar w:fldCharType="end"/>
      </w:r>
      <w:r w:rsidRPr="00662E51">
        <w:rPr>
          <w:szCs w:val="24"/>
        </w:rPr>
        <w:t xml:space="preserve">. Chapters 6 and 7 thus intervene at this juncture, asserting the interdependence of parties and AN. </w:t>
      </w:r>
      <w:r w:rsidR="00B90149">
        <w:rPr>
          <w:szCs w:val="24"/>
        </w:rPr>
        <w:tab/>
      </w:r>
    </w:p>
    <w:p w14:paraId="58A18C95" w14:textId="4D7F5542" w:rsidR="00B2628A" w:rsidRPr="00662E51" w:rsidRDefault="00B2628A" w:rsidP="00F56305">
      <w:pPr>
        <w:spacing w:line="360" w:lineRule="auto"/>
        <w:ind w:left="0" w:firstLine="720"/>
        <w:rPr>
          <w:szCs w:val="24"/>
        </w:rPr>
      </w:pPr>
      <w:r w:rsidRPr="00662E51">
        <w:rPr>
          <w:szCs w:val="24"/>
        </w:rPr>
        <w:t>Chapter 7 demonstrated how the Labour Party’s internal struggles worked with state illiberalism to continue the High Road West regeneration scheme. As vehicles for capitalist accumulation, regeneration schemes are frequently contested by impacted local populations</w:t>
      </w:r>
      <w:r w:rsidR="005E2CD7" w:rsidRPr="00662E51">
        <w:rPr>
          <w:szCs w:val="24"/>
        </w:rPr>
        <w:t>. H</w:t>
      </w:r>
      <w:r w:rsidRPr="00662E51">
        <w:rPr>
          <w:szCs w:val="24"/>
        </w:rPr>
        <w:t xml:space="preserve">owever, regeneration programs infrequently fail </w:t>
      </w:r>
      <w:r w:rsidRPr="00662E51">
        <w:rPr>
          <w:szCs w:val="24"/>
        </w:rPr>
        <w:fldChar w:fldCharType="begin"/>
      </w:r>
      <w:r w:rsidR="008835AB" w:rsidRPr="00662E51">
        <w:rPr>
          <w:szCs w:val="24"/>
        </w:rPr>
        <w:instrText xml:space="preserve"> ADDIN ZOTERO_ITEM CSL_CITATION {"citationID":"jwIaLUWc","properties":{"formattedCitation":"(Horton and Penny 2024; Lees and White 2020; Ormerod and MacLeod 2019)","plainCitation":"(Horton and Penny 2024; Lees and White 2020; Ormerod and MacLeod 2019)","noteIndex":0},"citationItems":[{"id":5697,"uris":["http://zotero.org/users/8977980/items/ZPYXM7A6"],"itemData":{"id":5697,"type":"book","ISBN":"978-1-80008-710-1","language":"eng","note":"OCLC: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id":664,"uris":["http://zotero.org/users/8977980/items/XQQFXVDC"],"itemData":{"id":664,"type":"article-journal","abstract":"London’s council estates and their residents are under threat like never before. Council tenants are being forced out of their homes due to estate renewal, welfare reforms, poverty, and the precarity of low-income work. Social cleansing can be understood as a geographical project made up of processes, practices, and policies designed to remove council estate residents from space and place, what we call a ‘new accumulative form of (state-led) gentrification’. We outline these accumulative processes, practices and policies, but more importantly we present grounded, empirical evidence of council tenants and leaseholders’ everyday experiences of dispossession, focusing our lens on three south London boroughs identified as eviction hotspots.","container-title":"Housing Studies","DOI":"10.1080/02673037.2019.1680814","ISSN":"0267-3037","issue":"10","note":"_eprint: https://doi.org/10.1080/02673037.2019.1680814","page":"1701-1722","publisher":"Routledge","source":"Taylor and Francis+NEJM","title":"The social cleansing of London council estates: everyday experiences of ‘accumulative dispossession’","title-short":"The social cleansing of London council estates","volume":"35","author":[{"family":"Lees","given":"Loretta"},{"family":"White","given":"Hannah"}],"issued":{"date-parts":[["2020",11,25]]}}},{"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0095662D" w:rsidRPr="00662E51">
        <w:t>(Horton and Penny 2024; Lees and White 2020; Ormerod and MacLeod 2019)</w:t>
      </w:r>
      <w:r w:rsidRPr="00662E51">
        <w:rPr>
          <w:szCs w:val="24"/>
        </w:rPr>
        <w:fldChar w:fldCharType="end"/>
      </w:r>
      <w:r w:rsidRPr="00662E51">
        <w:rPr>
          <w:szCs w:val="24"/>
        </w:rPr>
        <w:t xml:space="preserve">. The HRW example demonstrated how the collaboration between the party and the state was thus able to continue the scheme. </w:t>
      </w:r>
      <w:r w:rsidR="00F77AF4" w:rsidRPr="00662E51">
        <w:rPr>
          <w:szCs w:val="24"/>
        </w:rPr>
        <w:t>The n</w:t>
      </w:r>
      <w:r w:rsidRPr="00662E51">
        <w:rPr>
          <w:szCs w:val="24"/>
        </w:rPr>
        <w:t>ational Labour</w:t>
      </w:r>
      <w:r w:rsidR="00F77AF4" w:rsidRPr="00662E51">
        <w:rPr>
          <w:szCs w:val="24"/>
        </w:rPr>
        <w:t xml:space="preserve"> Party</w:t>
      </w:r>
      <w:r w:rsidRPr="00662E51">
        <w:rPr>
          <w:szCs w:val="24"/>
        </w:rPr>
        <w:t xml:space="preserve">’s internal battles over its long-term future effectively closed off spaces of debate, meaning the scheme went ahead with little in the way of consultation </w:t>
      </w:r>
      <w:r w:rsidR="00005E16" w:rsidRPr="00662E51">
        <w:rPr>
          <w:szCs w:val="24"/>
        </w:rPr>
        <w:t xml:space="preserve">of, </w:t>
      </w:r>
      <w:r w:rsidRPr="00662E51">
        <w:rPr>
          <w:szCs w:val="24"/>
        </w:rPr>
        <w:t>or approval</w:t>
      </w:r>
      <w:r w:rsidR="00005E16" w:rsidRPr="00662E51">
        <w:rPr>
          <w:szCs w:val="24"/>
        </w:rPr>
        <w:t xml:space="preserve"> from, local party members</w:t>
      </w:r>
      <w:r w:rsidRPr="00662E51">
        <w:rPr>
          <w:szCs w:val="24"/>
        </w:rPr>
        <w:t xml:space="preserve">. Critical councillors and party activists have likewise been expelled from the party, indicating an insulating governance style </w:t>
      </w:r>
      <w:r w:rsidRPr="00662E51">
        <w:rPr>
          <w:szCs w:val="24"/>
        </w:rPr>
        <w:fldChar w:fldCharType="begin"/>
      </w:r>
      <w:r w:rsidR="00B9759A">
        <w:rPr>
          <w:szCs w:val="24"/>
        </w:rPr>
        <w:instrText xml:space="preserve"> ADDIN ZOTERO_ITEM CSL_CITATION {"citationID":"df9aXk6C","properties":{"formattedCitation":"(Gilbert 2021a, 2023; Holden 2025; Tissier 2021; Weir 2023)","plainCitation":"(Gilbert 2021a, 2023; Holden 2025; Tissier 2021; Weir 2023)","noteIndex":0},"citationItems":[{"id":6824,"uris":["http://zotero.org/users/8977980/items/ZVTM8KFG"],"itemData":{"id":6824,"type":"post-weblog","abstract":"Why we shouldn't leave the Labour Party","container-title":"The Educator","language":"en-GB","title":"Why We Shouldn't Leave the Labour Party","title-short":"The Educator","URL":"https://peoplesmomentum.com/newsletters/the-educator/why-we-shouldnt-leave-the-labour-party/","author":[{"family":"Gilbert","given":"Jeremy"}],"accessed":{"date-parts":[["2025",8,8]]},"issued":{"date-parts":[["2021",12,15]]}}},{"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7179,"uris":["http://zotero.org/users/8977980/items/KXFN8SZS"],"itemData":{"id":7179,"type":"book","abstract":"Based on Labour Party files, including some never before publicly seen, this explosive investigation lays bare the intrigues, stratagems and deceits that helped deliver Sir Keir Starmer to Downing Street. Paul Holden shows how Starmer has been the frontman for a ruthless, right-wing political project headed by Morgan McSweeney, now chief of staff in Number 10 and arguably the most powerful man in Britain. Having conquered the party on false pretences, McSweeney and his allies set about purging opponents, marginalising the membership and dragging party policy to the right. These machinations were made possible by financial donations that McSweeney did not disclose - a violation of the law that arguably subverted Britain's democratic system","ISBN":"978-1-68219-598-7","language":"eng","note":"OCLC: 1547942173","publisher":"OR Books","publisher-place":"New York","source":"Open WorldCat","title":"The Fraud: Keir Starmer, Morgan McSweeney, and the crisis of British democracy","title-short":"The fraud","author":[{"family":"Holden","given":"Paul"}],"issued":{"date-parts":[["2025"]]}}},{"id":5174,"uris":["http://zotero.org/users/8977980/items/VMYELFEM"],"itemData":{"id":5174,"type":"post-weblog","abstract":"open-letter-by-damian-tissier-22-09-2021Download THE LOVE LANE BALLOT AN OPEN LETTER From: Damian Tissier, Independent Tenant and Leaseholder Advisor at Love Lane To: Date: Dear , In March 2020, El…","container-title":"Haringey Defend Council Housing","language":"en","title":"Open letter on the Love Lane Ballot","URL":"https://haringeydefendcouncilhousingblog.wordpress.com/2021/09/19/open-letter-on-the-love-lane-ballot/","author":[{"family":"Tissier","given":"Damian"}],"accessed":{"date-parts":[["2023",9,27]]},"issued":{"date-parts":[["2021",9,19]]}}},{"id":4558,"uris":["http://zotero.org/users/8977980/items/MRSL45ET"],"itemData":{"id":4558,"type":"article-magazine","abstract":"Labour suspended its own rules to bar popular socialist candidates from standing in yesterday's election in Haringey. Members of its Local Campaign Forum explain why they have resigned following this latest attack on democracy.","container-title":"Tribune","language":"en-GB","title":"Labour’s Haringey Stitch-Up","URL":"https://tribunemag.co.uk/2023/06/labours-haringey-stich-up","author":[{"family":"Weir","given":"Adrian"}],"accessed":{"date-parts":[["2023",7,4]]},"issued":{"date-parts":[["2023",6]]}}}],"schema":"https://github.com/citation-style-language/schema/raw/master/csl-citation.json"} </w:instrText>
      </w:r>
      <w:r w:rsidRPr="00662E51">
        <w:rPr>
          <w:szCs w:val="24"/>
        </w:rPr>
        <w:fldChar w:fldCharType="separate"/>
      </w:r>
      <w:r w:rsidR="00B9759A" w:rsidRPr="00B9759A">
        <w:t>(Gilbert 2021a, 2023; Holden 2025; Tissier 2021; Weir 2023)</w:t>
      </w:r>
      <w:r w:rsidRPr="00662E51">
        <w:rPr>
          <w:szCs w:val="24"/>
        </w:rPr>
        <w:fldChar w:fldCharType="end"/>
      </w:r>
      <w:r w:rsidRPr="00662E51">
        <w:rPr>
          <w:szCs w:val="24"/>
        </w:rPr>
        <w:t xml:space="preserve">. Spaces for debate and contestation within the Party were thus foreclosed, meaning that activist members were unable to exercise oversight and accountability </w:t>
      </w:r>
      <w:r w:rsidRPr="00662E51">
        <w:rPr>
          <w:szCs w:val="24"/>
        </w:rPr>
        <w:fldChar w:fldCharType="begin"/>
      </w:r>
      <w:r w:rsidR="008835AB" w:rsidRPr="00662E51">
        <w:rPr>
          <w:szCs w:val="24"/>
        </w:rPr>
        <w:instrText xml:space="preserve"> ADDIN ZOTERO_ITEM CSL_CITATION {"citationID":"VcO5HHJn","properties":{"formattedCitation":"(Tansel 2017)","plainCitation":"(Tansel 2017)","noteIndex":0},"citationItems":[{"id":5807,"uris":["http://zotero.org/users/8977980/items/KGMGBNMC"],"itemData":{"id":5807,"type":"book","abstract":"Despite the severity of the global economic crisis and the widespread aversion towards austerity policies, neoliberalism remains the dominant mode of economic governance in the world. What makes neoliberalism such a resilient mode of economic and political governance? How does neoliberalism effectively reproduce itself in the face of popular opposition?States of Discipline offers an answer to these questions by highlighting the ways in which today’s neoliberalism reinforces and relies upon coercive practices that marginalize, discipline and control social groups. Such practices range from the development of market-oriented policies through legal and administrative reforms at the local and national-level, to the coercive apparatuses of the state that repress the social forces that oppose various aspects of neoliberalization. The book argues that these practices are built on the pre-existing infrastructure of neoliberal governance, which strive towards limiting the spaces of popular resistance through a set of administrative, legal and coercive mechanisms. Exploring a range of case studies from across the world, the book uses ‘authoritarian neoliberalism’ as a conceptual prism to shed light on the institutionalization and employment of state practices that invalidate public input and silence popular resistance.","ISBN":"978-1-78348-620-5","language":"en","number-of-pages":"301","publisher":"Rowman &amp; Littlefield","publisher-place":"London ; New York","title":"States of Discipline: Authoritarian Neoliberalism and the Contested Reproduction of Capitalist Order","title-short":"States of Discipline","author":[{"family":"Tansel","given":"Cemal Burak"}],"issued":{"date-parts":[["2017",2,8]]}}}],"schema":"https://github.com/citation-style-language/schema/raw/master/csl-citation.json"} </w:instrText>
      </w:r>
      <w:r w:rsidRPr="00662E51">
        <w:rPr>
          <w:szCs w:val="24"/>
        </w:rPr>
        <w:fldChar w:fldCharType="separate"/>
      </w:r>
      <w:r w:rsidR="0095662D" w:rsidRPr="00662E51">
        <w:t>(Tansel 2017)</w:t>
      </w:r>
      <w:r w:rsidRPr="00662E51">
        <w:rPr>
          <w:szCs w:val="24"/>
        </w:rPr>
        <w:fldChar w:fldCharType="end"/>
      </w:r>
      <w:r w:rsidRPr="00662E51">
        <w:rPr>
          <w:szCs w:val="24"/>
        </w:rPr>
        <w:t xml:space="preserve">. The question of scale is again relevant here, with the national level party intervening downwards to foreclose these spaces and to centralise decision-making </w:t>
      </w:r>
      <w:r w:rsidRPr="00662E51">
        <w:rPr>
          <w:szCs w:val="24"/>
        </w:rPr>
        <w:fldChar w:fldCharType="begin"/>
      </w:r>
      <w:r w:rsidR="008835AB" w:rsidRPr="00662E51">
        <w:rPr>
          <w:szCs w:val="24"/>
        </w:rPr>
        <w:instrText xml:space="preserve"> ADDIN ZOTERO_ITEM CSL_CITATION {"citationID":"uGgOWqRV","properties":{"formattedCitation":"(Ergenc and Yuksekkaya 2024; Tansel 2019)","plainCitation":"(Ergenc and Yuksekkaya 2024; Tansel 2019)","noteIndex":0},"citationItems":[{"id":6435,"uris":["http://zotero.org/users/8977980/items/XK8GISU8"],"itemData":{"id":6435,"type":"article-journal","abstract":"The changes in the global neoliberal order leading up to the 2008 financial crisis shaped individual countries’ political–administrative transformations. One of the most important trends in politic...","archive_location":"world","container-title":"Territory, Politics, Governance","ISSN":"2162-2671","language":"EN","license":"© 2022 The Author(s). Published by Informa UK Limited, trading as Taylor &amp; Francis Group","publisher":"Routledge","source":"www.tandfonline.com","title":"Institutionalizing authoritarian urbanism and the centralization of urban decision-making","URL":"https://www.tandfonline.com/doi/abs/10.1080/21622671.2021.2020156","author":[{"family":"Ergenc","given":"Ceren"},{"family":"Yuksekkaya","given":"Ozge"}],"accessed":{"date-parts":[["2025",5,2]]},"issued":{"date-parts":[["2024",3,15]]}}},{"id":6434,"uris":["http://zotero.org/users/8977980/items/ZBZ9TUCK"],"itemData":{"id":6434,"type":"article-journal","abstract":"The implosion of popular struggles against the erosion of economic and democratic rights in the Middle East has thrown into sharp relief the co-constitutive character of neoliberal reforms and authoritarian state practices. This article zooms in on this relationship, and traces the consolidation of a core component of authoritarian statisms by examining how the ruling AKP government in Turkey has facilitated executive centralization. This process refers to a form of state restructuring whereby key decision-making powers are increasingly concentrated in the hands of the central government while democratic avenues to contest government policies are curtailed through legal and administrative reforms, and the marginalization of dissident social forces. I unpack the mechanisms of executive centralization in Turkey by exploring the transformation of urban governance under AKP rule, which has promoted a spectacular degree of state-led commodification of land and housing while simultaneously recentralizing key decision-making powers. The investigation demonstrates that executive centralization in urban governance has paved the way for the swift implementation of contested urban transformation projects marked by a non-participatory approach to urban ‘renewal’, the reconfiguration of the state’s redistributive function vis-à-vis low-income households, and a tendency to exacerbate existing patterns of inequalities in the housing market.","container-title":"Globalizations","DOI":"10.1080/14747731.2018.1502494","ISSN":"1474-7731","issue":"3","note":"_eprint: https://doi.org/10.1080/14747731.2018.1502494","page":"320-335","publisher":"Routledge","source":"Taylor and Francis+NEJM","title":"Reproducing authoritarian neoliberalism in Turkey: urban governance and state restructuring in the shadow of executive centralization","title-short":"Reproducing authoritarian neoliberalism in Turkey","volume":"16","author":[{"family":"Tansel","given":"Cemal Burak"}],"issued":{"date-parts":[["2019",4,16]]}}}],"schema":"https://github.com/citation-style-language/schema/raw/master/csl-citation.json"} </w:instrText>
      </w:r>
      <w:r w:rsidRPr="00662E51">
        <w:rPr>
          <w:szCs w:val="24"/>
        </w:rPr>
        <w:fldChar w:fldCharType="separate"/>
      </w:r>
      <w:r w:rsidR="0095662D" w:rsidRPr="00662E51">
        <w:t>(Ergenc and Yuksekkaya 2024; Tansel 2019)</w:t>
      </w:r>
      <w:r w:rsidRPr="00662E51">
        <w:rPr>
          <w:szCs w:val="24"/>
        </w:rPr>
        <w:fldChar w:fldCharType="end"/>
      </w:r>
      <w:r w:rsidRPr="00662E51">
        <w:rPr>
          <w:szCs w:val="24"/>
        </w:rPr>
        <w:t xml:space="preserve">. </w:t>
      </w:r>
      <w:r w:rsidR="00B27709" w:rsidRPr="00662E51">
        <w:rPr>
          <w:szCs w:val="24"/>
        </w:rPr>
        <w:t xml:space="preserve">The power geometry of the Labour Party </w:t>
      </w:r>
      <w:r w:rsidR="0014560B" w:rsidRPr="00662E51">
        <w:rPr>
          <w:szCs w:val="24"/>
        </w:rPr>
        <w:t xml:space="preserve">consequently </w:t>
      </w:r>
      <w:r w:rsidR="00B27709" w:rsidRPr="00662E51">
        <w:rPr>
          <w:szCs w:val="24"/>
        </w:rPr>
        <w:t xml:space="preserve">had significant influence on the outcome of High Road West </w:t>
      </w:r>
      <w:r w:rsidR="0014560B" w:rsidRPr="00662E51">
        <w:rPr>
          <w:szCs w:val="24"/>
        </w:rPr>
        <w:fldChar w:fldCharType="begin"/>
      </w:r>
      <w:r w:rsidR="001B2CAA">
        <w:rPr>
          <w:szCs w:val="24"/>
        </w:rPr>
        <w:instrText xml:space="preserve"> ADDIN ZOTERO_ITEM CSL_CITATION {"citationID":"GHLt9b0t","properties":{"formattedCitation":"(J. Scott and Wills 2017)","plainCitation":"(J. Scott and Wills 2017)","noteIndex":0},"citationItems":[{"id":"n0Saldgp/SMymUFlz","uris":["http://zotero.org/users/8977980/items/L74AUTZ7"],"itemData":{"id":"QK1Rbacs/IjXnkn6n","type":"article-journal","abstract":"This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0014560B" w:rsidRPr="00662E51">
        <w:rPr>
          <w:szCs w:val="24"/>
        </w:rPr>
        <w:fldChar w:fldCharType="separate"/>
      </w:r>
      <w:r w:rsidR="00213B80" w:rsidRPr="00213B80">
        <w:t>(J. Scott and Wills 2017)</w:t>
      </w:r>
      <w:r w:rsidR="0014560B" w:rsidRPr="00662E51">
        <w:rPr>
          <w:szCs w:val="24"/>
        </w:rPr>
        <w:fldChar w:fldCharType="end"/>
      </w:r>
      <w:r w:rsidR="0014560B" w:rsidRPr="00662E51">
        <w:rPr>
          <w:szCs w:val="24"/>
        </w:rPr>
        <w:t xml:space="preserve">. </w:t>
      </w:r>
      <w:r w:rsidRPr="00662E51">
        <w:rPr>
          <w:szCs w:val="24"/>
        </w:rPr>
        <w:t xml:space="preserve">Simultaneously, the local Labour Party’s commitment to building council homes locked in accumulation-oriented schemes that have historically been made necessary by a decrease in government support for public housing </w:t>
      </w:r>
      <w:r w:rsidR="003E208B" w:rsidRPr="00662E51">
        <w:rPr>
          <w:szCs w:val="24"/>
        </w:rPr>
        <w:fldChar w:fldCharType="begin"/>
      </w:r>
      <w:r w:rsidR="001B2CAA">
        <w:rPr>
          <w:szCs w:val="24"/>
        </w:rPr>
        <w:instrText xml:space="preserve"> ADDIN ZOTERO_ITEM CSL_CITATION {"citationID":"2WDJQs8q","properties":{"formattedCitation":"(Watt 2021b)","plainCitation":"(Watt 2021b)","noteIndex":0},"citationItems":[{"id":"n0Saldgp/r7qNchtf","uris":["http://zotero.org/users/8977980/items/BHKUJBH9"],"itemData":{"id":"eCLlSK7E/BjVCKenN","type":"book","abstract":"Public housing estates are disappearing from London’s skyline in the name of regeneration, while new mixed-tenure developments are arising in their place. This richly illustrated book provides a vivid interdisciplinary account of the controversial urban policy of demolition and rebuilding amid London’s housing crisis and the polarisation between the city’s have-nots and have-lots. Drawing on extensive fieldwork and interviews with over 180 residents living in some of the capital’s most deprived areas, Watt shows the dramatic ways that estate regeneration is reshaping London, fuelling socio-spatial inequalities via state-led gentrification. Foregrounding resident experiences and perspectives both before and during regeneration, he examines class, place belonging, home and neighbourhood, and argues that the endless regeneration process results in degeneration, displacement and fragmented communities.","ISBN":"978-1-4473-2922-0","language":"en","note":"Google-Books-ID: 0rQmEAAAQBAJ","number-of-pages":"456","publisher":"Policy Press","source":"Google Books","title":"Estate Regeneration and Its Discontents: Public Housing, Place and Inequality in London","title-short":"Estate Regeneration and Its Discontents","author":[{"family":"Watt","given":"Paul"}],"issued":{"date-parts":[["2021",3,31]]}}}],"schema":"https://github.com/citation-style-language/schema/raw/master/csl-citation.json"} </w:instrText>
      </w:r>
      <w:r w:rsidR="003E208B" w:rsidRPr="00662E51">
        <w:rPr>
          <w:szCs w:val="24"/>
        </w:rPr>
        <w:fldChar w:fldCharType="separate"/>
      </w:r>
      <w:r w:rsidR="0095662D" w:rsidRPr="00662E51">
        <w:t>(Watt 2021b)</w:t>
      </w:r>
      <w:r w:rsidR="003E208B" w:rsidRPr="00662E51">
        <w:rPr>
          <w:szCs w:val="24"/>
        </w:rPr>
        <w:fldChar w:fldCharType="end"/>
      </w:r>
      <w:r w:rsidR="003E208B" w:rsidRPr="00662E51">
        <w:rPr>
          <w:szCs w:val="24"/>
        </w:rPr>
        <w:t xml:space="preserve">. </w:t>
      </w:r>
      <w:r w:rsidRPr="00662E51">
        <w:rPr>
          <w:szCs w:val="24"/>
        </w:rPr>
        <w:t xml:space="preserve">The HDV case (Chapter 6)—whilst presenting a more positive picture of party politicking—equally </w:t>
      </w:r>
      <w:r w:rsidR="00F75435" w:rsidRPr="00662E51">
        <w:rPr>
          <w:szCs w:val="24"/>
        </w:rPr>
        <w:t>indicates how</w:t>
      </w:r>
      <w:r w:rsidRPr="00662E51">
        <w:rPr>
          <w:szCs w:val="24"/>
        </w:rPr>
        <w:t xml:space="preserve"> important formal politics are to the maintenance of authoritarian neoliberalism. Although it successfully cancelled the Vehicle, Badiou’s </w:t>
      </w:r>
      <w:r w:rsidRPr="00662E51">
        <w:rPr>
          <w:szCs w:val="24"/>
        </w:rPr>
        <w:fldChar w:fldCharType="begin"/>
      </w:r>
      <w:r w:rsidR="008835AB" w:rsidRPr="00662E51">
        <w:rPr>
          <w:szCs w:val="24"/>
        </w:rPr>
        <w:instrText xml:space="preserve"> ADDIN ZOTERO_ITEM CSL_CITATION {"citationID":"uN10soNs","properties":{"formattedCitation":"(2018; see also Paccoud 2019)","plainCitation":"(2018; see also Paccoud 2019)","noteIndex":0},"citationItems":[{"id":5820,"uris":["http://zotero.org/users/8977980/items/3SIEJR4S"],"itemData":{"id":5820,"type":"book","abstract":"Logics of Worlds is the sequel to Alain Badiou's masterpiece, Being and Event. Tackling the questions that had been left open by Being and Event, and answering many of his critics in the process, Badiou supplements his pioneering treatment of multiple being with a daring and complex theory of the worlds in which truths and subjects make their mark - what he calls a materialist dialectic. Drawing on his most ambitious philosophical predecessors - Leibniz, Kant, Hegel, Kierkegaard, Lacan, Deleuze – Badiou ends this important later work with an impassioned call to'live for an Idea'.","collection-title":"Being and Event","ISBN":"978-1-350-04301-5","language":"English","note":"issue: II","publisher":"Bloomsbury Academic","publisher-place":"London","source":"EBSCOhost","title":"Logics of Worlds : Being and Event II","title-short":"Logics of Worlds","author":[{"family":"Badiou","given":"Alain"}],"accessed":{"date-parts":[["2024",9,4]]},"issued":{"date-parts":[["2018"]]}},"suppress-author":true},{"id":5584,"uris":["http://zotero.org/users/8977980/items/ASA2TBJM"],"itemData":{"id":5584,"type":"article-journal","abstract":"The post-political literature – which equates ‘the political’ with insurgencies directed against the state – has only limited relevance for planning, focused as it is on the ways in which conflict is displaced from the functioning of the state apparatus. The post-political literature has however neglected a significant change in Alain Badiou’s conceptualisation of the relation between the political and the state: the introduction of a political subject which acts from the within the state – what he calls the state revolutionary. This figure, which makes ‘evental’ planning possible, is fleshed out through a Saint-Simonian reading of Haussmann’s planning practice in his first years as Prefect of the Seine.","container-title":"Planning Theory","DOI":"10.1177/1473095218764224","ISSN":"1473-0952","issue":"3","language":"en","page":"339-358","publisher":"SAGE Publications","source":"SAGE Journals","title":"Badiou, Haussmann and Saint-Simon: Opening spaces for the state and planning between ‘post-politics’ and urban insurgencies","title-short":"Badiou, Haussmann and Saint-Simon","volume":"18","author":[{"family":"Paccoud","given":"Antoine"}],"issued":{"date-parts":[["2019",8,1]]}},"prefix":"see also"}],"schema":"https://github.com/citation-style-language/schema/raw/master/csl-citation.json"} </w:instrText>
      </w:r>
      <w:r w:rsidRPr="00662E51">
        <w:rPr>
          <w:szCs w:val="24"/>
        </w:rPr>
        <w:fldChar w:fldCharType="separate"/>
      </w:r>
      <w:r w:rsidR="0095662D" w:rsidRPr="00662E51">
        <w:t>(2018; see also Paccoud 2019)</w:t>
      </w:r>
      <w:r w:rsidRPr="00662E51">
        <w:rPr>
          <w:szCs w:val="24"/>
        </w:rPr>
        <w:fldChar w:fldCharType="end"/>
      </w:r>
      <w:r w:rsidRPr="00662E51">
        <w:rPr>
          <w:szCs w:val="24"/>
        </w:rPr>
        <w:t xml:space="preserve"> state revolutionary (the so-called ‘Corbyn Council’</w:t>
      </w:r>
      <w:r w:rsidR="00667EE9" w:rsidRPr="00662E51">
        <w:rPr>
          <w:szCs w:val="24"/>
        </w:rPr>
        <w:t xml:space="preserve"> led by Joe Ejiofor and composed of leftist, anti-austerity councillors</w:t>
      </w:r>
      <w:r w:rsidRPr="00662E51">
        <w:rPr>
          <w:szCs w:val="24"/>
        </w:rPr>
        <w:t xml:space="preserve">) was unable to pursue more radical change because of </w:t>
      </w:r>
      <w:r w:rsidR="0011275F" w:rsidRPr="00662E51">
        <w:rPr>
          <w:szCs w:val="24"/>
        </w:rPr>
        <w:t xml:space="preserve">both </w:t>
      </w:r>
      <w:r w:rsidRPr="00662E51">
        <w:rPr>
          <w:szCs w:val="24"/>
        </w:rPr>
        <w:t xml:space="preserve">the Labour Party’s internal power geometry </w:t>
      </w:r>
      <w:r w:rsidR="00486F94" w:rsidRPr="00662E51">
        <w:rPr>
          <w:szCs w:val="24"/>
        </w:rPr>
        <w:fldChar w:fldCharType="begin"/>
      </w:r>
      <w:r w:rsidR="001B2CAA">
        <w:rPr>
          <w:szCs w:val="24"/>
        </w:rPr>
        <w:instrText xml:space="preserve"> ADDIN ZOTERO_ITEM CSL_CITATION {"citationID":"pl4QO4e8","properties":{"formattedCitation":"(J. Scott and Wills 2017)","plainCitation":"(J. Scott and Wills 2017)","noteIndex":0},"citationItems":[{"id":"n0Saldgp/SMymUFlz","uris":["http://zotero.org/users/8977980/items/L74AUTZ7"],"itemData":{"id":"eCLlSK7E/EpXYGR5I","type":"article-journal","abstract":"This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party","volume":"60","author":[{"family":"Scott","given":"James"},{"family":"Wills","given":"Jane"}],"issued":{"date-parts":[["2017",9,1]]}}}],"schema":"https://github.com/citation-style-language/schema/raw/master/csl-citation.json"} </w:instrText>
      </w:r>
      <w:r w:rsidR="00486F94" w:rsidRPr="00662E51">
        <w:rPr>
          <w:szCs w:val="24"/>
        </w:rPr>
        <w:fldChar w:fldCharType="separate"/>
      </w:r>
      <w:r w:rsidR="00213B80" w:rsidRPr="00213B80">
        <w:t xml:space="preserve">(J. Scott and Wills </w:t>
      </w:r>
      <w:r w:rsidR="00213B80" w:rsidRPr="00213B80">
        <w:lastRenderedPageBreak/>
        <w:t>2017)</w:t>
      </w:r>
      <w:r w:rsidR="00486F94" w:rsidRPr="00662E51">
        <w:rPr>
          <w:szCs w:val="24"/>
        </w:rPr>
        <w:fldChar w:fldCharType="end"/>
      </w:r>
      <w:r w:rsidR="0011275F" w:rsidRPr="00662E51">
        <w:rPr>
          <w:szCs w:val="24"/>
        </w:rPr>
        <w:t xml:space="preserve"> and extant conditions of austerity and neoliberal political economy</w:t>
      </w:r>
      <w:r w:rsidR="00486F94" w:rsidRPr="00662E51">
        <w:rPr>
          <w:szCs w:val="24"/>
        </w:rPr>
        <w:t>.</w:t>
      </w:r>
      <w:r w:rsidRPr="00662E51">
        <w:rPr>
          <w:szCs w:val="24"/>
        </w:rPr>
        <w:t xml:space="preserve"> Indeed, this Council continued other regeneration schemes </w:t>
      </w:r>
      <w:r w:rsidR="000B076F">
        <w:rPr>
          <w:szCs w:val="24"/>
        </w:rPr>
        <w:t xml:space="preserve">(like HRW) </w:t>
      </w:r>
      <w:r w:rsidRPr="00662E51">
        <w:rPr>
          <w:szCs w:val="24"/>
        </w:rPr>
        <w:t xml:space="preserve">despite its avowedly socialist politics </w:t>
      </w:r>
      <w:r w:rsidRPr="00662E51">
        <w:rPr>
          <w:szCs w:val="24"/>
        </w:rPr>
        <w:fldChar w:fldCharType="begin"/>
      </w:r>
      <w:r w:rsidR="00557CA9" w:rsidRPr="00662E51">
        <w:rPr>
          <w:szCs w:val="24"/>
        </w:rPr>
        <w:instrText xml:space="preserve"> ADDIN ZOTERO_ITEM CSL_CITATION {"citationID":"neQwz272","properties":{"formattedCitation":"(Chakelian 2019)","plainCitation":"(Chakelian 2019)","noteIndex":0},"citationItems":[{"id":5848,"uris":["http://zotero.org/users/8977980/items/F4R4LYEL"],"itemData":{"id":5848,"type":"post-weblog","abstract":"A document leaked to the New Statesman suggests Momentum-led Haringey Council’s hands may not be tied by its predecessor’s gentrification plan.","container-title":"New Statesman","language":"en-US","title":"Why is the first Corbyn council siding with developers against local market traders?","URL":"https://www.newstatesman.com/politics/business-and-finance/2019/10/why-corbyn-council-haringey-seven-sisters-latin-village-property-developers-local-market-traders","author":[{"family":"Chakelian","given":"Anoosh"}],"accessed":{"date-parts":[["2024",9,19]]},"issued":{"date-parts":[["2019",10,11]]}}}],"schema":"https://github.com/citation-style-language/schema/raw/master/csl-citation.json"} </w:instrText>
      </w:r>
      <w:r w:rsidRPr="00662E51">
        <w:rPr>
          <w:szCs w:val="24"/>
        </w:rPr>
        <w:fldChar w:fldCharType="separate"/>
      </w:r>
      <w:r w:rsidR="0095662D" w:rsidRPr="00662E51">
        <w:t>(Chakelian 2019)</w:t>
      </w:r>
      <w:r w:rsidRPr="00662E51">
        <w:rPr>
          <w:szCs w:val="24"/>
        </w:rPr>
        <w:fldChar w:fldCharType="end"/>
      </w:r>
      <w:r w:rsidRPr="00662E51">
        <w:rPr>
          <w:szCs w:val="24"/>
        </w:rPr>
        <w:t xml:space="preserve">. Since the HDV was proposed as a revanchist response to the 2011 uprisings that would remove the </w:t>
      </w:r>
      <w:r w:rsidR="004C6777">
        <w:rPr>
          <w:szCs w:val="24"/>
        </w:rPr>
        <w:t xml:space="preserve">undeserving </w:t>
      </w:r>
      <w:r w:rsidRPr="00662E51">
        <w:rPr>
          <w:szCs w:val="24"/>
        </w:rPr>
        <w:t xml:space="preserve">‘problem people’ of Tottenham </w:t>
      </w:r>
      <w:r w:rsidRPr="00662E51">
        <w:rPr>
          <w:szCs w:val="24"/>
        </w:rPr>
        <w:fldChar w:fldCharType="begin"/>
      </w:r>
      <w:r w:rsidR="004C5D5B">
        <w:rPr>
          <w:szCs w:val="24"/>
        </w:rPr>
        <w:instrText xml:space="preserve"> ADDIN ZOTERO_ITEM CSL_CITATION {"citationID":"CoQy2bfT","properties":{"formattedCitation":"(Horton and Penny 2024; C. Johnston and Mooney 2007; Katz [1989] 2013; MacLeod 2002)","plainCitation":"(Horton and Penny 2024; C. Johnston and Mooney 2007; Katz [1989] 2013; MacLeod 2002)","noteIndex":0},"citationItems":[{"id":5697,"uris":["http://zotero.org/users/8977980/items/ZPYXM7A6"],"itemData":{"id":5697,"type":"book","ISBN":"978-1-80008-710-1","language":"eng","note":"OCLC: 1420141456","publisher":"UCL PRESS","publisher-place":"London (UK), United Kingdom","source":"Open WorldCat","title":"Disrupting the Speculative City: property, power and community resistance in london","title-short":"DISRUPTING THE SPECULATIVE CITY","URL":"https://www.uclpress.co.uk/products/240669","author":[{"family":"Horton","given":"Amy"},{"family":"Penny","given":"Joe"}],"issued":{"date-parts":[["2024"]]}}},{"id":4027,"uris":["http://zotero.org/users/8977980/items/8HIRKD7J"],"itemData":{"id":4027,"type":"chapter","container-title":"Securing an Urban Renaissance","ISBN":"978-1-84742-247-7","publisher":"Policy Press","publisher-place":"Bristol, UNITED KINGDOM","source":"ProQuest Ebook Central","title":"‘Problem’ people, ‘problem’ places? New Labour and council estates","URL":"http://ebookcentral.proquest.com/lib/durham/detail.action?docID=419289","editor":[{"family":"Atkinson","given":"Rowland"},{"family":"Helms","given":"Gesma"}],"author":[{"family":"Johnston","given":"Charlie"},{"family":"Mooney","given":"Gerry"}],"accessed":{"date-parts":[["2023",3,15]]},"issued":{"date-parts":[["2007"]]}}},{"id":7087,"uris":["http://zotero.org/users/8977980/items/HET4FXWX"],"itemData":{"id":7087,"type":"book","abstract":"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light.\n               \n               \n                \n              ,  \n               First published in 1989, The Undeserving Poor was a critically acclaimed and enormously influential account of America's enduring debate about poverty. Taking stock of the last quarter century, Michael B. Katz's new edition of this classic is virtually a new book. As the first did, it will force all concerned Americans to reconsider the foundations of our policies toward the poor, especially in the wake of the Great Recession that began in 2008.Katz highlights how throughout American history, the poor have been regarded as undeserving: people who do not deserve sympathy because they brought their poverty on themselves, either through laziness and immorality, or because they are culturally or mentally deficient. This long-dominant view sees poverty as a personal failure, serving to justify America's mean-spirited treatment of the poor. Katz reminds us, however, that there are other explanations of poverty besides personal failure. Poverty has been written about as a problem of place, of resources, of political economy, of power, and of market failure. Katz looks at each idea in turn, showing how they suggest more effective approaches to our struggle against poverty. The Second Edition includes important new material. It now sheds light on the revival of the idea of culture in poverty research; the rehabilitation of Daniel Patrick Moynihan; the resurgent role of biology in discussions of the causes of poverty, such as in The Bell Curve; and the human rights movement's intensified focus on alleviating world poverty. It emphasizes the successes of the War on Poverty and Great Society, especially at the grassroots level. It is also the first book to chart the rise and fall of the \"underclass\" as a concept driving public policy.A major revision of a landmark study, The Undeserving Poor helps readers to see poverty-and our efforts to combat it—in a new light.","edition":"Second Edition","ISBN":"978-0-19-993395-2","number-of-pages":"368","publisher":"Oxford University Press","publisher-place":"Oxford, New York","source":"Oxford University Press","title":"The Undeserving Poor: America's Enduring Confrontation with Poverty: Fully Updated and Revised","title-short":"The Undeserving Poor","author":[{"family":"Katz","given":"Michael B."}],"issued":{"date-parts":[["2013",11,28]]},"original-date":{"date-parts":[["1989"]]}}},{"id":6885,"uris":["http://zotero.org/users/8977980/items/7TQYKHQR"],"itemData":{"id":6885,"type":"article-journal","abstract":"Recent perspectives on the American city have highlighted the extent to which the economic and sociospatial contradictions generated by two decades of “actually existing” neoliberal urbanism appear to demand an increasingly punitive or “revanchist” political response. At the same time, it is increasingly being acknowledged that, after embracing much of the entrepreneurial ethos, European cities are also confronting sharpening inequalities and entrenched social exclusion. Drawing on evidence from Glasgow, the paper assesses the dialectical relations between urban entrepreneurialism, its escalating contradictions, and the growing compulsion to meet these with a selective appropriation of the revanchist political repertoire.","container-title":"Antipode","DOI":"10.1111/1467-8330.00256","ISSN":"1467-8330","issue":"3","language":"en","license":"Editorial Board of Antipode 2002","note":"_eprint: https://onlinelibrary.wiley.com/doi/pdf/10.1111/1467-8330.00256","page":"602-624","source":"Wiley Online Library","title":"From Urban Entrepreneurialism to a “Revanchist City”? On the Spatial Injustices of Glasgow’s Renaissance","title-short":"From Urban Entrepreneurialism to a “Revanchist City”?","volume":"34","author":[{"family":"MacLeod","given":"Gordon"}],"issued":{"date-parts":[["2002"]]}}}],"schema":"https://github.com/citation-style-language/schema/raw/master/csl-citation.json"} </w:instrText>
      </w:r>
      <w:r w:rsidRPr="00662E51">
        <w:rPr>
          <w:szCs w:val="24"/>
        </w:rPr>
        <w:fldChar w:fldCharType="separate"/>
      </w:r>
      <w:r w:rsidR="004C5D5B" w:rsidRPr="004C5D5B">
        <w:t>(Horton and Penny 2024; C. Johnston and Mooney 2007; Katz [1989] 2013; MacLeod 2002)</w:t>
      </w:r>
      <w:r w:rsidRPr="00662E51">
        <w:rPr>
          <w:szCs w:val="24"/>
        </w:rPr>
        <w:fldChar w:fldCharType="end"/>
      </w:r>
      <w:r w:rsidRPr="00662E51">
        <w:rPr>
          <w:szCs w:val="24"/>
        </w:rPr>
        <w:t xml:space="preserve">, it is in effect a punitive policy that would have continued the “explicit exclusion and marginalization of subordinate social groups” through an undemocratic and unaccountable public-private partnership </w:t>
      </w:r>
      <w:r w:rsidRPr="00662E51">
        <w:rPr>
          <w:szCs w:val="24"/>
        </w:rPr>
        <w:fldChar w:fldCharType="begin"/>
      </w:r>
      <w:r w:rsidR="00557CA9" w:rsidRPr="00662E51">
        <w:rPr>
          <w:szCs w:val="24"/>
        </w:rPr>
        <w:instrText xml:space="preserve"> ADDIN ZOTERO_ITEM CSL_CITATION {"citationID":"eEo0durl","properties":{"formattedCitation":"(Bruff 2014, 116)","plainCitation":"(Bruff 2014, 116)","noteIndex":0},"citationItems":[{"id":5773,"uris":["http://zotero.org/users/8977980/items/YQRZXUST"],"itemData":{"id":5773,"type":"article-journal","container-title":"Rethinking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Neoliberalism","volume":"26","author":[{"family":"Bruff","given":"Ian"}],"issued":{"date-parts":[["2014",1,2]]}},"locator":"116"}],"schema":"https://github.com/citation-style-language/schema/raw/master/csl-citation.json"} </w:instrText>
      </w:r>
      <w:r w:rsidRPr="00662E51">
        <w:rPr>
          <w:szCs w:val="24"/>
        </w:rPr>
        <w:fldChar w:fldCharType="separate"/>
      </w:r>
      <w:r w:rsidR="0095662D" w:rsidRPr="00662E51">
        <w:t>(Bruff 2014, 116)</w:t>
      </w:r>
      <w:r w:rsidRPr="00662E51">
        <w:rPr>
          <w:szCs w:val="24"/>
        </w:rPr>
        <w:fldChar w:fldCharType="end"/>
      </w:r>
      <w:r w:rsidRPr="00662E51">
        <w:rPr>
          <w:szCs w:val="24"/>
        </w:rPr>
        <w:t xml:space="preserve">. Chapters 6 and 7, then, showed how political party structures </w:t>
      </w:r>
      <w:r w:rsidR="00F84E60" w:rsidRPr="00662E51">
        <w:rPr>
          <w:szCs w:val="24"/>
        </w:rPr>
        <w:t xml:space="preserve">can </w:t>
      </w:r>
      <w:r w:rsidRPr="00662E51">
        <w:rPr>
          <w:szCs w:val="24"/>
        </w:rPr>
        <w:t xml:space="preserve">work to insulate decision-making from broader politicisation as well as to support punitive urban policy </w:t>
      </w:r>
      <w:r w:rsidRPr="00662E51">
        <w:rPr>
          <w:szCs w:val="24"/>
        </w:rPr>
        <w:fldChar w:fldCharType="begin"/>
      </w:r>
      <w:r w:rsidR="008835AB" w:rsidRPr="00662E51">
        <w:rPr>
          <w:szCs w:val="24"/>
        </w:rPr>
        <w:instrText xml:space="preserve"> ADDIN ZOTERO_ITEM CSL_CITATION {"citationID":"ohvvftrj","properties":{"formattedCitation":"(Cockburn 1980; Ormerod and MacLeod 2019)","plainCitation":"(Cockburn 1980; Ormerod and MacLeod 2019)","noteIndex":0},"citationItems":[{"id":5811,"uris":["http://zotero.org/users/8977980/items/U5ZYVUT5"],"itemData":{"id":5811,"type":"book","edition":"Repr","ISBN":"978-0-904383-48-5","language":"eng","number-of-pages":"207","publisher":"Pluto Press","publisher-place":"London","source":"K10plus ISBN","title":"The local state: management of cities and people","title-short":"The local state","author":[{"family":"Cockburn","given":"Cynthia"}],"issued":{"date-parts":[["1980"]]}}},{"id":3317,"uris":["http://zotero.org/users/8977980/items/3FKCPYR3"],"itemData":{"id":3317,"type":"article-journal","abstract":"This article contends that the de-politicizing tendencies in urban planning that are often interpreted through a post-political frame of analysis might alternatively be investigated via the analytical lens of a transforming local state. Examining the formation of entrepreneurial municipal housing strategies in Gateshead, northeast England, the article reveals a recent history of community consensus being manipulated, a technocratic steering of participatory planning and a de-amplifying of dissenting voices. Amid protracted conditions of austerity, the more recent strategy sees Gateshead municipal authority assuming an increasingly ?promotional? role, essentially as a housing developer. Placing critical decisions over housing futures within Gateshead Regeneration Partnership, a potentially rough road towards attaining democratic legitimacy is actively being smoothed. These are all trends that are emblematic of a post-political repertoire. However, a more forensic examination reveals how these anti-democratic processes might be more appropriately understood as political accomplishments on the part of those who have been newly incorporated into a local state in transition. The article thereby offers a conceptual antidote to the post-political narrative.","container-title":"Planning Theory","DOI":"10.1177/1473095218790988","ISSN":"1473-0952","issue":"3","page":"319-338","publisher":"SAGE Publications","source":"SAGE Journals","title":"Beyond consensus and conflict in housing governance: Returning to the local state","title-short":"Beyond consensus and conflict in housing governance","volume":"18","author":[{"family":"Ormerod","given":"Emma"},{"family":"MacLeod","given":"Gordon"}],"issued":{"date-parts":[["2019",8,1]]}}}],"schema":"https://github.com/citation-style-language/schema/raw/master/csl-citation.json"} </w:instrText>
      </w:r>
      <w:r w:rsidRPr="00662E51">
        <w:rPr>
          <w:szCs w:val="24"/>
        </w:rPr>
        <w:fldChar w:fldCharType="separate"/>
      </w:r>
      <w:r w:rsidR="0095662D" w:rsidRPr="00662E51">
        <w:t>(Cockburn 1980; Ormerod and MacLeod 2019)</w:t>
      </w:r>
      <w:r w:rsidRPr="00662E51">
        <w:rPr>
          <w:szCs w:val="24"/>
        </w:rPr>
        <w:fldChar w:fldCharType="end"/>
      </w:r>
      <w:r w:rsidRPr="00662E51">
        <w:rPr>
          <w:szCs w:val="24"/>
        </w:rPr>
        <w:t xml:space="preserve">. </w:t>
      </w:r>
    </w:p>
    <w:p w14:paraId="489B1D86" w14:textId="75C54C13" w:rsidR="00B2628A" w:rsidRPr="00662E51" w:rsidRDefault="00B2628A" w:rsidP="00F56305">
      <w:pPr>
        <w:spacing w:line="360" w:lineRule="auto"/>
        <w:ind w:left="0" w:firstLine="720"/>
        <w:rPr>
          <w:szCs w:val="24"/>
        </w:rPr>
      </w:pPr>
      <w:r w:rsidRPr="00662E51">
        <w:rPr>
          <w:szCs w:val="24"/>
        </w:rPr>
        <w:t>Consequently, political</w:t>
      </w:r>
      <w:r w:rsidR="00E228A9">
        <w:rPr>
          <w:szCs w:val="24"/>
        </w:rPr>
        <w:t xml:space="preserve"> and urban geographers</w:t>
      </w:r>
      <w:r w:rsidRPr="00662E51">
        <w:rPr>
          <w:szCs w:val="24"/>
        </w:rPr>
        <w:t xml:space="preserve"> must view political party structures as a relevant mechanism for the upholding of capitalist accumulation.</w:t>
      </w:r>
      <w:r w:rsidR="00E228A9">
        <w:rPr>
          <w:szCs w:val="24"/>
        </w:rPr>
        <w:t xml:space="preserve"> This is especially true as authoritarian neoliberalism is gaining traction with urban geography </w:t>
      </w:r>
      <w:r w:rsidR="00E228A9" w:rsidRPr="00662E51">
        <w:rPr>
          <w:szCs w:val="24"/>
        </w:rPr>
        <w:fldChar w:fldCharType="begin"/>
      </w:r>
      <w:r w:rsidR="00213B80">
        <w:rPr>
          <w:szCs w:val="24"/>
        </w:rPr>
        <w:instrText xml:space="preserve"> ADDIN ZOTERO_ITEM CSL_CITATION {"citationID":"0RMh3zTT","properties":{"formattedCitation":"(e.g., Can et al. 2024; \\uc0\\u214{}zata\\uc0\\u287{}an et al. 2025)","plainCitation":"(e.g., Can et al. 2024; Özatağan et al. 2025)","noteIndex":0},"citationItems":[{"id":5762,"uris":["http://zotero.org/users/8977980/items/NKYRYKPW"],"itemData":{"id":5762,"type":"article-journal","abstract":"This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prefix":"e.g., "},{"id":7104,"uris":["http://zotero.org/users/8977980/items/52EDWD4T","http://zotero.org/users/8977980/items/35SNJANE"],"itemData":{"id":7104,"type":"article-journal","abstract":"This Special Issue presents ‘authoritarian neoliberal urbanism’ as an empirical marker and a concept that signposts the ascendence of a new constellation in which authoritarianism becomes an ever-growing force in our cities in the neoliberal present, not only structuring how urban space is experienced but also repurposing it to reinforce authoritarian legitimacy and consolidate political power. This paper introduces six contributions that empirically or conceptually uncover some of the complexities of this new constellation which have remained untracked, unnarrated and misdiagnosed. We draw on the collective insights from these contributions to posit that authoritarian neoliberal urbanism is neither monolithic nor uniformly oppressive. It adapts to local contexts and conjunctural shifts, is (re)configured through both formal and informal, flexible and rigid, (il)legitimate and illegible governance tools and through complex engagements between the state, market actors and urban populations alike, often in tandem with the state’s continuous effort to (re)secure political legitimacy. Such paradoxes, we suggest, urge taking seriously the variegated, contested, and evolving nature of authoritarian neoliberal urbanism(s) as well as their context-specific and situated contradictions and ambiguities. It is within these contradictions and ambiguities that alternatives to neoliberal continuity may be found and the intensifying slide towards illiberal form(s) of capitalism can be transcended.","container-title":"Urban Studies","DOI":"10.1177/00420980251361667","ISSN":"0042-0980","issue":"15","language":"EN","page":"2917-2934","publisher":"SAGE Publications Ltd","source":"SAGE Journals","title":"Neoliberal crises and the city: Wrestling with authoritarian neoliberal urbanism(s)","title-short":"Neoliberal crises and the city","volume":"62","author":[{"family":"Özatağan","given":"Güldem"},{"family":"Fearn","given":"Gareth"},{"family":"Eraydin","given":"Ayda"}],"issued":{"date-parts":[["2025",11,1]]}}}],"schema":"https://github.com/citation-style-language/schema/raw/master/csl-citation.json"} </w:instrText>
      </w:r>
      <w:r w:rsidR="00E228A9" w:rsidRPr="00662E51">
        <w:rPr>
          <w:szCs w:val="24"/>
        </w:rPr>
        <w:fldChar w:fldCharType="separate"/>
      </w:r>
      <w:r w:rsidR="00E228A9" w:rsidRPr="00EF5E38">
        <w:rPr>
          <w:rFonts w:cs="Times New Roman"/>
          <w:kern w:val="0"/>
        </w:rPr>
        <w:t>(e.g., Can et al. 2024; Özatağan et al. 2025)</w:t>
      </w:r>
      <w:r w:rsidR="00E228A9" w:rsidRPr="00662E51">
        <w:rPr>
          <w:szCs w:val="24"/>
        </w:rPr>
        <w:fldChar w:fldCharType="end"/>
      </w:r>
      <w:r w:rsidR="00E228A9" w:rsidRPr="00662E51">
        <w:rPr>
          <w:szCs w:val="24"/>
        </w:rPr>
        <w:t>.</w:t>
      </w:r>
      <w:r w:rsidR="00E228A9">
        <w:rPr>
          <w:szCs w:val="24"/>
        </w:rPr>
        <w:t xml:space="preserve"> </w:t>
      </w:r>
      <w:r w:rsidRPr="00662E51">
        <w:rPr>
          <w:szCs w:val="24"/>
        </w:rPr>
        <w:t xml:space="preserve">That is, whilst political parties are often seen as key spaces of contestation </w:t>
      </w:r>
      <w:r w:rsidRPr="00662E51">
        <w:rPr>
          <w:szCs w:val="24"/>
        </w:rPr>
        <w:fldChar w:fldCharType="begin"/>
      </w:r>
      <w:r w:rsidR="001B2CAA">
        <w:rPr>
          <w:szCs w:val="24"/>
        </w:rPr>
        <w:instrText xml:space="preserve"> ADDIN ZOTERO_ITEM CSL_CITATION {"citationID":"zZiZ8WQi","properties":{"formattedCitation":"(Halvorsen 2020; J. Scott and Wills 2017; B. Ward 2022)","plainCitation":"(Halvorsen 2020; J. Scott and Wills 2017; B. Ward 2022)","noteIndex":0},"citationItems":[{"id":5547,"uris":["http://zotero.org/users/8977980/items/5PSXDI9P"],"itemData":{"id":5547,"type":"article-journal","abstract":"How and why does geography inform the organisational strategies of political parties?\n              Encuentro por la Democracia y la Equidad\n              (Encounter for Democracy and Equity, hereafter EDE) is a centre</w:instrText>
      </w:r>
      <w:r w:rsidR="001B2CAA">
        <w:rPr>
          <w:rFonts w:ascii="Cambria Math" w:hAnsi="Cambria Math" w:cs="Cambria Math"/>
          <w:szCs w:val="24"/>
        </w:rPr>
        <w:instrText>‐</w:instrText>
      </w:r>
      <w:r w:rsidR="001B2CAA">
        <w:rPr>
          <w:szCs w:val="24"/>
        </w:rPr>
        <w:instrText>left Argentine political party that, since arriving in Buenos Aires in 2008, quickly became one of the largest oppositional parties in the city in terms of its activist base and electoral representation. This was achieved by explicitly prioritising a territorial organisational strategy: building the party at the scale of the neighbourhood by opening branches, accumulating activists and constructing linkages with civil society. Through a qualitative analysis of EDE's organisational strategy over 10 years (2008–2018), the paper proposes four dimensions for understanding the relationship between grassroots territorial organising and party strategy: party</w:instrText>
      </w:r>
      <w:r w:rsidR="001B2CAA">
        <w:rPr>
          <w:rFonts w:ascii="Cambria Math" w:hAnsi="Cambria Math" w:cs="Cambria Math"/>
          <w:szCs w:val="24"/>
        </w:rPr>
        <w:instrText>‐</w:instrText>
      </w:r>
      <w:r w:rsidR="001B2CAA">
        <w:rPr>
          <w:szCs w:val="24"/>
        </w:rPr>
        <w:instrText>building; electoral success; democratic linkages; and alliance building. The findings are of relevance not only to party</w:instrText>
      </w:r>
      <w:r w:rsidR="001B2CAA">
        <w:rPr>
          <w:rFonts w:ascii="Cambria Math" w:hAnsi="Cambria Math" w:cs="Cambria Math"/>
          <w:szCs w:val="24"/>
        </w:rPr>
        <w:instrText>‐</w:instrText>
      </w:r>
      <w:r w:rsidR="001B2CAA">
        <w:rPr>
          <w:szCs w:val="24"/>
        </w:rPr>
        <w:instrText>building in Latin America but also to the recent surge of territorial organising in parties in Europe. The paper makes three contributions to geographical literature. First, it adds to limited Anglophone geographical engagements with Latin American electoral and party politics by highlighting the centrality of spatiality to party</w:instrText>
      </w:r>
      <w:r w:rsidR="001B2CAA">
        <w:rPr>
          <w:rFonts w:ascii="Cambria Math" w:hAnsi="Cambria Math" w:cs="Cambria Math"/>
          <w:szCs w:val="24"/>
        </w:rPr>
        <w:instrText>‐</w:instrText>
      </w:r>
      <w:r w:rsidR="001B2CAA">
        <w:rPr>
          <w:szCs w:val="24"/>
        </w:rPr>
        <w:instrText>building. Second, it emphasises sub</w:instrText>
      </w:r>
      <w:r w:rsidR="001B2CAA">
        <w:rPr>
          <w:rFonts w:ascii="Cambria Math" w:hAnsi="Cambria Math" w:cs="Cambria Math"/>
          <w:szCs w:val="24"/>
        </w:rPr>
        <w:instrText>‐</w:instrText>
      </w:r>
      <w:r w:rsidR="001B2CAA">
        <w:rPr>
          <w:szCs w:val="24"/>
        </w:rPr>
        <w:instrText xml:space="preserve">national dynamics of party organising, contributing to a dismantling of methodological state centrism that pervades party scholarship. Third, it develops a geographical analytical approach to party organisation that demonstrates how sociospatial relations constitute parties' unfolding relations with the state and civil society.\n            \n          , \n            How and why does geography inform the organisational strategies of political parties? The paper proposes a model for analysing the geography of political parties by focusing on the relationship between territory and party organisation. It draws on empirical work in Buenos Aires to outline four dimensions through which parties strategically organise in and through territory in order to pursue their objectives.","container-title":"Transactions of the Institute of British Geographers","DOI":"10.1111/tran.12343","ISSN":"0020-2754, 1475-5661","issue":"2","journalAbbreviation":"Trans Inst British Geog","language":"en","page":"242-255","source":"DOI.org (Crossref)","title":"The geography of political parties: Territory and organisational strategies in Buenos Aires","title-short":"The geography of political parties","volume":"45","author":[{"family":"Halvorsen","given":"Sam"}],"issued":{"date-parts":[["2020",6]]}}},{"id":"n0Saldgp/SMymUFlz","uris":["http://zotero.org/users/8977980/items/L74AUTZ7"],"itemData":{"id":"eCLlSK7E/EpXYGR5I","type":"article-journal","abstract":"This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party","volume":"60","author":[{"family":"Scott","given":"James"},{"family":"Wills","given":"Jane"}],"issued":{"date-parts":[["2017",9,1]]}}},{"id":5841,"uris":["http://zotero.org/users/8977980/items/ALM77PTV"],"itemData":{"id":5841,"type":"article-journal","abstract":"During the early years of Jeremy Corbyn’s tenure as Labour leader, promises of wide sweeping party reform, in particular members-led democratisation, were central to fortifying his support within the extra-parliamentary party. However, by the time Corbyn’s leadership came to a close, very few reforms had been achieved. This article argues that whilst the Corbyn leadership was initially drawn towards a more grassroots vision of rank-and-file democracy, this came into tension with the demands facing the leadership in the context of intense intra-party factionalism. In a Brexit-dominated political landscape, both the normative and actual constraints facing internal party democracy meant that major party reforms were increasingly sidelined. Going forward, this has renewed important questions surrounding if, and how, a more direct vision of democracy is possible within a deeply institutionalised centre-left party.","container-title":"British Politics","DOI":"10.1057/s41293-021-00158-8","ISSN":"1746-9198","issue":"3","journalAbbreviation":"Br Polit","language":"en","page":"353-365","source":"Springer Link","title":"Managing democracy in Corbyn’s Labour Party: faction-fighting or movement-building?","title-short":"Managing democracy in Corbyn’s Labour Party","volume":"17","author":[{"family":"Ward","given":"Bradley"}],"issued":{"date-parts":[["2022",9,1]]}}}],"schema":"https://github.com/citation-style-language/schema/raw/master/csl-citation.json"} </w:instrText>
      </w:r>
      <w:r w:rsidRPr="00662E51">
        <w:rPr>
          <w:szCs w:val="24"/>
        </w:rPr>
        <w:fldChar w:fldCharType="separate"/>
      </w:r>
      <w:r w:rsidR="00213B80" w:rsidRPr="00213B80">
        <w:t>(Halvorsen 2020; J. Scott and Wills 2017; B. Ward 2022)</w:t>
      </w:r>
      <w:r w:rsidRPr="00662E51">
        <w:rPr>
          <w:szCs w:val="24"/>
        </w:rPr>
        <w:fldChar w:fldCharType="end"/>
      </w:r>
      <w:r w:rsidRPr="00662E51">
        <w:rPr>
          <w:szCs w:val="24"/>
        </w:rPr>
        <w:t>, they are equally often vehicles for</w:t>
      </w:r>
      <w:r w:rsidR="00A060B5" w:rsidRPr="00662E51">
        <w:rPr>
          <w:szCs w:val="24"/>
        </w:rPr>
        <w:t xml:space="preserve"> insulation and coercion </w:t>
      </w:r>
      <w:r w:rsidR="00A060B5" w:rsidRPr="00662E51">
        <w:rPr>
          <w:szCs w:val="24"/>
        </w:rPr>
        <w:fldChar w:fldCharType="begin"/>
      </w:r>
      <w:r w:rsidR="00213B80">
        <w:rPr>
          <w:szCs w:val="24"/>
        </w:rPr>
        <w:instrText xml:space="preserve"> ADDIN ZOTERO_ITEM CSL_CITATION {"citationID":"4wovvUDw","properties":{"formattedCitation":"(Alt\\uc0\\u305{}n\\uc0\\u246{}rs and Ak\\uc0\\u231{}ay 2022; \\uc0\\u214{}zden et al. 2017; J. Ward and Ward 2023)","plainCitation":"(Altınörs and Akçay 2022; Özden et al. 2017; J. Ward and Ward 2023)","noteIndex":0},"citationItems":[{"id":6618,"uris":["http://zotero.org/users/8977980/items/778WE4EM"],"itemData":{"id":6618,"type":"article-journal","abstract":"The aim of this article is to analyze Turkey's recent authoritarian transformation from a critical political economy perspective and to examine the main determinants of, what we call, the ‘authoritarian consolidation attempt' of the Justice and Development Party (AKP). For that purpose, first, we sought answers to the following question: why did the AKP engage in a more authoritarian political agenda in the 2010s? We critically review the literature on the contemporary dynamics of authoritarianism, particularly focusing on two explanatory frameworks, competitive authoritarianism, and authoritarian neoliberalism. We argue that the crisis of authoritarian neoliberalism did not end up with democratization in Turkey in the 2010s, rather the power bloc initiated a strategy of the authoritarian fix as a reaction to the multiple crises that were a combination of the state crisis and the crisis of capital accumulation regime. Second, we analyzed how authoritarianism in Turkey is en route to consolidation in the aftermath of the transition to the Turkish presidential system in 2018, and what the fundamental factors of this consolidation are. We investigated the main features of Turkish presidentialism following the three-dimensional framework of authoritarian consolidation, including infrastructural, despotic, and discursive power analyses. As a result, we suggest a critical political economy account to unfold contemporary dynamics of authoritarianism based on the Turkish case.","container-title":"Globalizations","DOI":"10.1080/14747731.2021.2025290","ISSN":"1474-7731","issue":"7","note":"_eprint: https://doi.org/10.1080/14747731.2021.2025290","page":"1029-1053","publisher":"Routledge","source":"Taylor and Francis+NEJM","title":"Authoritarian neoliberalism, crisis, and consolidation: the political economy of regime change in Turkey","title-short":"Authoritarian neoliberalism, crisis, and consolidation","volume":"19","author":[{"family":"Altınörs","given":"Görkem"},{"family":"Akçay","given":"Ümit"}],"issued":{"date-parts":[["2022",10,3]]}}},{"id":6480,"uris":["http://zotero.org/users/8977980/items/XU857UJW"],"itemData":{"id":6480,"type":"chapter","abstract":"Authoritarian neoliberalism : towards a new research agenda / Cemal Burak Tansel -- Authoritarian neoliberalism and the disciplining of labour / Mònica Clua-Losada and Olatz Ribera-Almandoz -- Commodified pacification : police, commercial security and the state / Kendra Briken and Volker Eick -- Bodies in resistance : conversations on gender, body politics and authoritarian neoliberalism / Wendy Harcourt -- The right to starve : hunger, discipline and labour market restructuring under authoritarian neoliberalism / Sébastien Rioux -- Urban transformation under authoritarian neoliberalism / Annalena di Giovanni -- From Mare Nostrum to Triton : humanitarian emergencies and neoliberal migration management in the Mediterranean / Luca Manunza -- Cease to exist? : the European \"social\" model and the hardening of \"soft\" EU law / Ian Bruff -- The authoritarian and disciplinary mechanism of reduced sovereignty in the EU : the case of Greece / Panagiotis Sotiris -- Antinomies of authoritarian neoliberalism in Turkey : the Justice and Development Party era / Baris Alp Özden, Ismet Akça and Ahmet Bekmen -- Resistance and passive revolution in Egypt and Morocco / Brecht De Smet and Koenraad Bogaert -- Klepto-neoliberalism : authoritarianism and patronage in Cambodia / Simon Springer -- Variegated neoliberalization as a function and outcome of neo-authoritarianism in China / Kean Fan Lim -- Postscript / Cynthia Enloe","collection-title":"Transforming capitalism","container-title":"States of discipline: authoritarian neoliberalism and the contested reproduction of capitalist order","ISBN":"978-1-78348-620-5","language":"eng","publisher":"Rowman &amp; Littlefield International","publisher-place":"London","title":"Antinomies of Authoritarian Neoliberalism in Turkey: The Justice and Development Party Era","editor":[{"family":"Tansel","given":"Cemal Burak"}],"author":[{"family":"Özden","given":"Barış Alp"},{"family":"Akça","given":"İsmet"},{"family":"Bekmen","given":"Ahmet"}],"issued":{"date-parts":[["2017"]]}}},{"id":7101,"uris":["http://zotero.org/users/8977980/items/4CPII9LX"],"itemData":{"id":7101,"type":"article-journal","abstract":"Many commentators have suggested that the first 18 months of the Johnson government were characterised by a propensity to centralise power. However, few accounts have situated the administration in the historical context of the British state or systematically examined these centralising tendencies. This article attempts to address these omissions. First, through a critical assessment of the literature on authoritarian neoliberalism, the concept of ‘executive centralisation’ is developed within the context of the British state. Second, the article applies this revised framework to the early stages of the Johnson government. While a dominant executive is a long-standing feature of the British political system, it is argued that Johnson has pursued a multifaceted centralisation strategy facilitated by the context of Brexit and COVID-19. In identifying the role of consent in this process, the article augments scholarship on ‘authoritarian neoliberalism’ as a moment in neoliberal governance characterised by the ascendance of coercive governing strategies.","container-title":"Political Studies","DOI":"10.1177/00323217211063730","ISSN":"0032-3217","issue":"4","language":"EN","page":"1171-1189","publisher":"SAGE Publications Ltd","source":"SAGE Journals","title":"From Brexit to COVID-19: The Johnson Government, Executive Centralisation and Authoritarian Populism","title-short":"From Brexit to COVID-19","volume":"71","author":[{"family":"Ward","given":"Joseph"},{"family":"Ward","given":"Bradley"}],"issued":{"date-parts":[["2023",11,1]]}}}],"schema":"https://github.com/citation-style-language/schema/raw/master/csl-citation.json"} </w:instrText>
      </w:r>
      <w:r w:rsidR="00A060B5" w:rsidRPr="00662E51">
        <w:rPr>
          <w:szCs w:val="24"/>
        </w:rPr>
        <w:fldChar w:fldCharType="separate"/>
      </w:r>
      <w:r w:rsidR="00213B80" w:rsidRPr="00213B80">
        <w:rPr>
          <w:rFonts w:cs="Times New Roman"/>
          <w:kern w:val="0"/>
        </w:rPr>
        <w:t>(Altınörs and Akçay 2022; Özden et al. 2017; J. Ward and Ward 2023)</w:t>
      </w:r>
      <w:r w:rsidR="00A060B5" w:rsidRPr="00662E51">
        <w:rPr>
          <w:szCs w:val="24"/>
        </w:rPr>
        <w:fldChar w:fldCharType="end"/>
      </w:r>
      <w:r w:rsidR="00A060B5" w:rsidRPr="00662E51">
        <w:rPr>
          <w:szCs w:val="24"/>
        </w:rPr>
        <w:t>.</w:t>
      </w:r>
      <w:r w:rsidRPr="00662E51">
        <w:rPr>
          <w:szCs w:val="24"/>
        </w:rPr>
        <w:t xml:space="preserve"> This is because such institutions are also frequently “the means by which [neoliberal restructuring] establishes itself” </w:t>
      </w:r>
      <w:r w:rsidRPr="00662E51">
        <w:rPr>
          <w:szCs w:val="24"/>
        </w:rPr>
        <w:fldChar w:fldCharType="begin"/>
      </w:r>
      <w:r w:rsidR="00557CA9" w:rsidRPr="00662E51">
        <w:rPr>
          <w:szCs w:val="24"/>
        </w:rPr>
        <w:instrText xml:space="preserve"> ADDIN ZOTERO_ITEM CSL_CITATION {"citationID":"ICkup2FP","properties":{"formattedCitation":"(Bruff 2014, 115)","plainCitation":"(Bruff 2014, 115)","noteIndex":0},"citationItems":[{"id":5773,"uris":["http://zotero.org/users/8977980/items/YQRZXUST"],"itemData":{"id":5773,"type":"article-journal","container-title":"Rethinking Marxism","DOI":"10.1080/08935696.2013.843250","ISSN":"0893-5696, 1475-8059","issue":"1","journalAbbreviation":"Rethinking Marxism","language":"en","page":"113-129","source":"DOI.org (Crossref)","title":"The Rise of Authoritarian Neoliberalism","volume":"26","author":[{"family":"Bruff","given":"Ian"}],"issued":{"date-parts":[["2014",1,2]]}},"locator":"115"}],"schema":"https://github.com/citation-style-language/schema/raw/master/csl-citation.json"} </w:instrText>
      </w:r>
      <w:r w:rsidRPr="00662E51">
        <w:rPr>
          <w:szCs w:val="24"/>
        </w:rPr>
        <w:fldChar w:fldCharType="separate"/>
      </w:r>
      <w:r w:rsidR="0095662D" w:rsidRPr="00662E51">
        <w:t>(Bruff 2014, 115)</w:t>
      </w:r>
      <w:r w:rsidRPr="00662E51">
        <w:rPr>
          <w:szCs w:val="24"/>
        </w:rPr>
        <w:fldChar w:fldCharType="end"/>
      </w:r>
      <w:r w:rsidRPr="00662E51">
        <w:rPr>
          <w:szCs w:val="24"/>
        </w:rPr>
        <w:t>. These processes, to repeat myself, are scalar.</w:t>
      </w:r>
      <w:r w:rsidR="0011392B" w:rsidRPr="0011392B">
        <w:rPr>
          <w:szCs w:val="24"/>
        </w:rPr>
        <w:t xml:space="preserve"> </w:t>
      </w:r>
      <w:r w:rsidR="0011392B">
        <w:rPr>
          <w:szCs w:val="24"/>
        </w:rPr>
        <w:t xml:space="preserve">As </w:t>
      </w:r>
      <w:r w:rsidR="00292512">
        <w:rPr>
          <w:szCs w:val="24"/>
        </w:rPr>
        <w:t xml:space="preserve">J. </w:t>
      </w:r>
      <w:r w:rsidR="0011392B">
        <w:rPr>
          <w:szCs w:val="24"/>
        </w:rPr>
        <w:t xml:space="preserve">Scott and Wills </w:t>
      </w:r>
      <w:r w:rsidR="0011392B" w:rsidRPr="00662E51">
        <w:rPr>
          <w:szCs w:val="24"/>
        </w:rPr>
        <w:fldChar w:fldCharType="begin"/>
      </w:r>
      <w:r w:rsidR="001B2CAA">
        <w:rPr>
          <w:szCs w:val="24"/>
        </w:rPr>
        <w:instrText xml:space="preserve"> ADDIN ZOTERO_ITEM CSL_CITATION {"citationID":"7l7rTYcC","properties":{"formattedCitation":"(2017)","plainCitation":"(2017)","noteIndex":0},"citationItems":[{"id":"n0Saldgp/SMymUFlz","uris":["http://zotero.org/users/8977980/items/L74AUTZ7"],"itemData":{"id":"QK1Rbacs/IjXnkn6n","type":"article-journal","abstract":"This paper highlights the geographical contributions made to academic debate about democracy, representation and the role of the political party. It argues that while geographers have made important arguments in relation to the structure and operation of representative democracy, there is scope for paying greater attention to the internal spatial dynamics of the political party. A successful political party requires a balance between the national party machine and its local membership base. This paper draws on research to explore the way in which the British Labour Party sought to renew its local membership base by adopting community organising techniques and establishing a new arms-length organisation, Movement for Change (M4C), between 2010 and 2015. It uses this research material to highlight the importance of the internal balance of power within any political party, and the need for a multi-scalar approach to understanding the successful operation of any political party.","container-title":"Political Geography","DOI":"10.1016/j.polgeo.2017.06.001","ISSN":"0962-6298","journalAbbreviation":"Political Geography","page":"121-131","source":"ScienceDirect","title":"The geography of the political party: Lessons from the British Labour Party's experiment with community organising, 2010 to 2015","title-short":"The geography of the political party","volume":"60","author":[{"family":"Scott","given":"James"},{"family":"Wills","given":"Jane"}],"issued":{"date-parts":[["2017",9,1]]}},"suppress-author":true}],"schema":"https://github.com/citation-style-language/schema/raw/master/csl-citation.json"} </w:instrText>
      </w:r>
      <w:r w:rsidR="0011392B" w:rsidRPr="00662E51">
        <w:rPr>
          <w:szCs w:val="24"/>
        </w:rPr>
        <w:fldChar w:fldCharType="separate"/>
      </w:r>
      <w:r w:rsidR="00AC2956" w:rsidRPr="00AC2956">
        <w:t>(2017)</w:t>
      </w:r>
      <w:r w:rsidR="0011392B" w:rsidRPr="00662E51">
        <w:rPr>
          <w:szCs w:val="24"/>
        </w:rPr>
        <w:fldChar w:fldCharType="end"/>
      </w:r>
      <w:r w:rsidR="0011392B">
        <w:rPr>
          <w:szCs w:val="24"/>
        </w:rPr>
        <w:t xml:space="preserve"> assert, </w:t>
      </w:r>
      <w:r w:rsidR="00DB6FEE">
        <w:rPr>
          <w:szCs w:val="24"/>
        </w:rPr>
        <w:t>such processes have a specific</w:t>
      </w:r>
      <w:r w:rsidR="00E35673">
        <w:rPr>
          <w:szCs w:val="24"/>
        </w:rPr>
        <w:t xml:space="preserve"> geography</w:t>
      </w:r>
      <w:r w:rsidR="00DB6FEE">
        <w:rPr>
          <w:szCs w:val="24"/>
        </w:rPr>
        <w:t xml:space="preserve">. Geographers can consequently contribute to similar analyses through a greater attention to </w:t>
      </w:r>
      <w:r w:rsidR="00E35673" w:rsidRPr="00E35673">
        <w:rPr>
          <w:szCs w:val="24"/>
        </w:rPr>
        <w:t xml:space="preserve">geometry, </w:t>
      </w:r>
      <w:r w:rsidR="00E35673">
        <w:rPr>
          <w:szCs w:val="24"/>
        </w:rPr>
        <w:t xml:space="preserve">scale, </w:t>
      </w:r>
      <w:r w:rsidR="00E35673" w:rsidRPr="00E35673">
        <w:rPr>
          <w:szCs w:val="24"/>
        </w:rPr>
        <w:t>space, and place</w:t>
      </w:r>
      <w:r w:rsidR="00E35673">
        <w:rPr>
          <w:szCs w:val="24"/>
        </w:rPr>
        <w:t xml:space="preserve"> within the party, across the party-state nexus, and </w:t>
      </w:r>
      <w:r w:rsidR="00D74178">
        <w:rPr>
          <w:szCs w:val="24"/>
        </w:rPr>
        <w:t xml:space="preserve">between the party and the processes of neoliberalism. </w:t>
      </w:r>
      <w:r w:rsidRPr="00662E51">
        <w:rPr>
          <w:szCs w:val="24"/>
        </w:rPr>
        <w:t xml:space="preserve">Thus, to ignore the local political party, then, is to ignore an important non-market institution that serves to reinforce neoliberal processes amidst significant community opposition. </w:t>
      </w:r>
    </w:p>
    <w:p w14:paraId="01C87F04" w14:textId="77777777" w:rsidR="00B2628A" w:rsidRPr="00662E51" w:rsidRDefault="00B2628A" w:rsidP="00F56305">
      <w:pPr>
        <w:spacing w:line="360" w:lineRule="auto"/>
        <w:ind w:left="0" w:firstLine="720"/>
        <w:rPr>
          <w:szCs w:val="24"/>
        </w:rPr>
      </w:pPr>
    </w:p>
    <w:p w14:paraId="03BD6E0F" w14:textId="1DCEAF31" w:rsidR="00B2628A" w:rsidRPr="00662E51" w:rsidRDefault="00B2628A" w:rsidP="00F56305">
      <w:pPr>
        <w:pStyle w:val="Heading3"/>
      </w:pPr>
      <w:bookmarkStart w:id="531" w:name="_Toc213173997"/>
      <w:bookmarkStart w:id="532" w:name="_Toc221184385"/>
      <w:bookmarkStart w:id="533" w:name="_Toc231215301"/>
      <w:r w:rsidRPr="00662E51">
        <w:t>For New Activist Frameworks</w:t>
      </w:r>
      <w:bookmarkEnd w:id="531"/>
      <w:bookmarkEnd w:id="532"/>
      <w:r w:rsidR="00836748">
        <w:t>:</w:t>
      </w:r>
      <w:bookmarkEnd w:id="533"/>
      <w:r w:rsidRPr="00662E51">
        <w:t xml:space="preserve"> </w:t>
      </w:r>
    </w:p>
    <w:p w14:paraId="1533F25F" w14:textId="550AC2F0" w:rsidR="00B2628A" w:rsidRPr="00662E51" w:rsidRDefault="00B2628A" w:rsidP="00F56305">
      <w:pPr>
        <w:spacing w:line="360" w:lineRule="auto"/>
        <w:ind w:left="0" w:firstLine="576"/>
        <w:rPr>
          <w:szCs w:val="24"/>
        </w:rPr>
      </w:pPr>
      <w:r w:rsidRPr="00662E51">
        <w:rPr>
          <w:szCs w:val="24"/>
        </w:rPr>
        <w:t xml:space="preserve">How, then, might campaigners resist powerful institutions bent on maintaining neoliberal processes at all costs? Chapter 5 moves backwards in time to evaluate activism under Thatcher’s authoritarianism </w:t>
      </w:r>
      <w:r w:rsidRPr="00662E51">
        <w:rPr>
          <w:szCs w:val="24"/>
        </w:rPr>
        <w:fldChar w:fldCharType="begin"/>
      </w:r>
      <w:r w:rsidR="00213B80">
        <w:rPr>
          <w:szCs w:val="24"/>
        </w:rPr>
        <w:instrText xml:space="preserve"> ADDIN ZOTERO_ITEM CSL_CITATION {"citationID":"EF81ANk7","properties":{"formattedCitation":"(M. D. J. Ryan 2019)","plainCitation":"(M. D. J. Ryan 2019)","noteIndex":0},"citationItems":[{"id":5778,"uris":["http://zotero.org/users/8977980/items/KAAG23WN"],"itemData":{"id":5778,"type":"article-journal","abstract":"From the legislated 'embedding' of neoliberalism as seen with constitutional debt ceilings, through sweeping free trade agreements, to the direct, violent suppression of political freedoms; democracy today seems to be under siege from all sides. In response to these troubling developments, Ian Bruff (2014) recently introduced the concept of 'authoritarian neoliberalism' to understand increasingly undemocratic forms of state and state action in the current conjuncture. This article argues that although 'authoritarian neoliberalism' presents a useful development in our understanding of these processes, the concept faces several challenges - in particular, that of obscuring a broader history of authoritarianism and its contradictions, by separating neoliberalism into distinct phases. This article considers two moments of authoritarianism within the history of neoliberalism: the United Kingdom under Margaret Thatcher, and the Greek experience of mandated austerity within the strictures of the European Monetary Union (EMU). Through these examples, the article will engage with claims that the 'authoritarian neoliberalism' of the post-2007 context is somehow 'qualitatively distinct' from earlier forms. It is argued that an enforced separation between these two cases is unhelpful, and that more fruitful directions for this emerging research agenda lie not in a conceptual separation of the past, but rather a consideration of the durability of authoritarian state forms.","container-title":"Competition &amp; Change","DOI":"10.1177/1024529418797867","ISSN":"1024-5294, 1477-2221","issue":"2","journalAbbreviation":"Compet. Chang.","language":"English","note":"number-of-pages: 22\npublisher-place: London\nWeb of Science ID: WOS:000462050600002","page":"116-137","publisher":"SAGE Publications Ltd","source":"Clarivate Analytics Web of Science","title":"Interrogating 'authoritarian neoliberalism': The problem of periodization","title-short":"Interrogating 'authoritarian neoliberalism'","volume":"23","author":[{"family":"Ryan","given":"Matthew D. J."}],"issued":{"date-parts":[["2019",4]]}}}],"schema":"https://github.com/citation-style-language/schema/raw/master/csl-citation.json"} </w:instrText>
      </w:r>
      <w:r w:rsidRPr="00662E51">
        <w:rPr>
          <w:szCs w:val="24"/>
        </w:rPr>
        <w:fldChar w:fldCharType="separate"/>
      </w:r>
      <w:r w:rsidR="00213B80" w:rsidRPr="00213B80">
        <w:t>(M. D. J. Ryan 2019)</w:t>
      </w:r>
      <w:r w:rsidRPr="00662E51">
        <w:rPr>
          <w:szCs w:val="24"/>
        </w:rPr>
        <w:fldChar w:fldCharType="end"/>
      </w:r>
      <w:r w:rsidR="00086144">
        <w:rPr>
          <w:szCs w:val="24"/>
        </w:rPr>
        <w:t xml:space="preserve">, </w:t>
      </w:r>
      <w:r w:rsidR="00086144">
        <w:rPr>
          <w:szCs w:val="24"/>
        </w:rPr>
        <w:lastRenderedPageBreak/>
        <w:t>responding to Research Question 1</w:t>
      </w:r>
      <w:r w:rsidRPr="00662E51">
        <w:rPr>
          <w:szCs w:val="24"/>
        </w:rPr>
        <w:t xml:space="preserve">. It considers the work of the Broadwater Farm Youth Association (BFYA), a multi-ethnic collection of the eponymous estate’s residents who fought for more resources and attention from Haringey Council. Their resistance was not confrontational and directed against the state; rather, it accommodated and replaced the local state. To better capture how such campaigning remains transformative even though it is not confrontational, my analysis draws on the acts of citizenship theory </w:t>
      </w:r>
      <w:r w:rsidRPr="00662E51">
        <w:rPr>
          <w:szCs w:val="24"/>
        </w:rPr>
        <w:fldChar w:fldCharType="begin"/>
      </w:r>
      <w:r w:rsidR="008E2F28">
        <w:rPr>
          <w:szCs w:val="24"/>
        </w:rPr>
        <w:instrText xml:space="preserve"> ADDIN ZOTERO_ITEM CSL_CITATION {"citationID":"xj9n7cee","properties":{"formattedCitation":"(Barbero 2012; Isin 2008)","plainCitation":"(Barbero 2012; Isin 2008)","noteIndex":0},"citationItems":[{"id":3274,"uris":["http://zotero.org/users/8977980/items/U7NNX2E6"],"itemData":{"id":3274,"type":"article-journal","abstract":"This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Marc"}],"author":[{"family":"Isin","given":"Engin"}],"accessed":{"date-parts":[["2022",2,3]]},"issued":{"date-parts":[["2008"]]}}}],"schema":"https://github.com/citation-style-language/schema/raw/master/csl-citation.json"} </w:instrText>
      </w:r>
      <w:r w:rsidRPr="00662E51">
        <w:rPr>
          <w:szCs w:val="24"/>
        </w:rPr>
        <w:fldChar w:fldCharType="separate"/>
      </w:r>
      <w:r w:rsidR="008E2F28" w:rsidRPr="008E2F28">
        <w:t>(Barbero 2012; Isin 2008)</w:t>
      </w:r>
      <w:r w:rsidRPr="00662E51">
        <w:rPr>
          <w:szCs w:val="24"/>
        </w:rPr>
        <w:fldChar w:fldCharType="end"/>
      </w:r>
      <w:r w:rsidRPr="00662E51">
        <w:rPr>
          <w:szCs w:val="24"/>
        </w:rPr>
        <w:t xml:space="preserve">. The theory of acts posits that citizenship is better understood as something more akin to a </w:t>
      </w:r>
      <w:r w:rsidRPr="00662E51">
        <w:rPr>
          <w:i/>
          <w:iCs/>
          <w:szCs w:val="24"/>
        </w:rPr>
        <w:t>process</w:t>
      </w:r>
      <w:r w:rsidRPr="00662E51">
        <w:rPr>
          <w:szCs w:val="24"/>
        </w:rPr>
        <w:t xml:space="preserve"> rather a simple legal status—groups without citizenship can obtain it through acting as subjects who have the right to claim rights. Namely, Isin </w:t>
      </w:r>
      <w:r w:rsidRPr="00662E51">
        <w:rPr>
          <w:szCs w:val="24"/>
        </w:rPr>
        <w:fldChar w:fldCharType="begin"/>
      </w:r>
      <w:r w:rsidR="008835AB" w:rsidRPr="00662E51">
        <w:rPr>
          <w:szCs w:val="24"/>
        </w:rPr>
        <w:instrText xml:space="preserve"> ADDIN ZOTERO_ITEM CSL_CITATION {"citationID":"3GFnUcqI","properties":{"formattedCitation":"(2008)","plainCitation":"(2008)","noteIndex":0},"citationItems":[{"id":256,"uris":["http://zotero.org/users/8977980/items/ZRWP6PIY"],"itemData":{"id":256,"type":"chapter","abstract":"Politics,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Citizenship","ISBN":"978-1-84813-263-4","language":"eng","page":"15-43","publisher":"Zed Books Ltd","publisher-place":"London, UK","source":"discover.durham.ac.uk","title":"Theorizing Acts of Citizenship","editor":[{"family":"Isin","given":"Engin"},{"family":"Nielsen","given":"Greg Marc"}],"author":[{"family":"Isin","given":"Engin"}],"accessed":{"date-parts":[["2022",2,3]]},"issued":{"date-parts":[["2008"]]}},"suppress-author":true}],"schema":"https://github.com/citation-style-language/schema/raw/master/csl-citation.json"} </w:instrText>
      </w:r>
      <w:r w:rsidRPr="00662E51">
        <w:rPr>
          <w:szCs w:val="24"/>
        </w:rPr>
        <w:fldChar w:fldCharType="separate"/>
      </w:r>
      <w:r w:rsidR="0095662D" w:rsidRPr="00662E51">
        <w:t>(2008)</w:t>
      </w:r>
      <w:r w:rsidRPr="00662E51">
        <w:rPr>
          <w:szCs w:val="24"/>
        </w:rPr>
        <w:fldChar w:fldCharType="end"/>
      </w:r>
      <w:r w:rsidRPr="00662E51">
        <w:rPr>
          <w:szCs w:val="24"/>
        </w:rPr>
        <w:t xml:space="preserve"> indicates that acts must transform groups into answerable subjects: that is, those subjects who the state is compelled to respond to and to whom the state must justify its actions. This happens through the writing of new citizenship</w:t>
      </w:r>
      <w:r w:rsidR="00721CEE" w:rsidRPr="00662E51">
        <w:rPr>
          <w:szCs w:val="24"/>
        </w:rPr>
        <w:t xml:space="preserve"> scripts</w:t>
      </w:r>
      <w:r w:rsidRPr="00662E51">
        <w:rPr>
          <w:szCs w:val="24"/>
        </w:rPr>
        <w:t xml:space="preserve"> </w:t>
      </w:r>
      <w:r w:rsidRPr="00662E51">
        <w:rPr>
          <w:i/>
          <w:iCs/>
          <w:szCs w:val="24"/>
        </w:rPr>
        <w:t>through</w:t>
      </w:r>
      <w:r w:rsidRPr="00662E51">
        <w:rPr>
          <w:szCs w:val="24"/>
        </w:rPr>
        <w:t xml:space="preserve"> an act that forms an answerable subject. Jakimów </w:t>
      </w:r>
      <w:r w:rsidRPr="00662E51">
        <w:rPr>
          <w:szCs w:val="24"/>
        </w:rPr>
        <w:fldChar w:fldCharType="begin"/>
      </w:r>
      <w:r w:rsidR="00F15CF8">
        <w:rPr>
          <w:szCs w:val="24"/>
        </w:rPr>
        <w:instrText xml:space="preserve"> ADDIN ZOTERO_ITEM CSL_CITATION {"citationID":"uEjhO7o1","properties":{"formattedCitation":"(2017, 2022)","plainCitation":"(2017, 2022)","noteIndex":0},"citationItems":[{"id":5120,"uris":["http://zotero.org/users/8977980/items/LAMKT3ES"],"itemData":{"id":5120,"type":"article-journal","abstract":"Based on ethnographic fieldwork among migrant worker NGOs conducted between 2011 and 2016, this article employs critical theories of citizenship to illustrate how migrant worker NGOs use a strategy of ‘resistance through accommodation’ to re-shape the citizenship regime and discourse in China. The dominant literature on labour activism tends to discount the potential for migrant worker NGOs to undertake resistance, on account of their dependency upon the state and the market. The article contends that while NGOs must engage in relations with the state and the market to ensure their own survival, their activism does not ultimately centre on either resisting or accommodating these actors directly, but rather upon a broader engagement process aimed at the strategic purpose of ‘citizenship transformation’.","container-title":"Journal of Contemporary China","DOI":"10.1080/10670564.2017.1337316","ISSN":"1067-0564","issue":"108","note":"_eprint: https://doi.org/10.1080/10670564.2017.1337316","page":"915-930","publisher":"Routledge","source":"Taylor and Francis+NEJM","title":"Resistance through Accommodation: A Citizenship Approach to Migrant Worker NGOs in China","title-short":"Resistance through Accommodation","volume":"26","author":[{"family":"Jakimów","given":"Małgorzata"}],"issued":{"date-parts":[["2017",11,2]]}},"suppress-author":true},{"id":5118,"uris":["http://zotero.org/users/8977980/items/WQR8VRAH"],"itemData":{"id":5118,"type":"article-journal","abstract":"The acts of citizenship framework emerged as an important innovation to the previous status- and practice-focused understanding of citizenship with a landmark edited volume Acts of Citizenship (2008). While the theorisation of citizenship through acts has emerged predominantly from democratic context, the theory holds that acts of citizenship can happen in various cultural and political contexts, and should be studied in multiple and overlapping sites and scales, rather than solely those linked to nation-states. Yet, what happens when acts of citizenship take place in contexts, where rights are severely curtailed, and the very notion of activist citizenship is rejected as unlawful? And how are acts of citizenship performed differently when they respond to particular cultural sensibilities? This essay aims to extend the repertoire of acts of citizenship, by emphasising why and how acts of citizenship need to be treated differently in different cultural contexts and under varying political regimes.","container-title":"Citizenship Studies","DOI":"10.1080/13621025.2022.2091232","ISSN":"1362-1025","issue":"4-5","note":"_eprint: https://doi.org/10.1080/13621025.2022.2091232","page":"505-511","publisher":"Routledge","source":"Taylor and Francis+NEJM","title":"Activist citizenship in non-Western and non-democratic contexts: how to define ‘acts of citizenship’","title-short":"Activist citizenship in non-Western and non-democratic contexts","volume":"26","author":[{"family":"Jakimów","given":"Małgorzata"}],"issued":{"date-parts":[["2022",7,4]]}},"suppress-author":true}],"schema":"https://github.com/citation-style-language/schema/raw/master/csl-citation.json"} </w:instrText>
      </w:r>
      <w:r w:rsidRPr="00662E51">
        <w:rPr>
          <w:szCs w:val="24"/>
        </w:rPr>
        <w:fldChar w:fldCharType="separate"/>
      </w:r>
      <w:r w:rsidR="00F15CF8" w:rsidRPr="00F15CF8">
        <w:t>(2017, 2022)</w:t>
      </w:r>
      <w:r w:rsidRPr="00662E51">
        <w:rPr>
          <w:szCs w:val="24"/>
        </w:rPr>
        <w:fldChar w:fldCharType="end"/>
      </w:r>
      <w:r w:rsidRPr="00662E51">
        <w:rPr>
          <w:szCs w:val="24"/>
        </w:rPr>
        <w:t xml:space="preserve"> builds on the theory of acts to assert that citizenship can be obtained through accommodating acts: those that utilise state-approved channels or rhetoric but still work to develop that answerable subject. Accommodative acts are specifically relevant to authoritarian states, in which outright dissent is often illegal and/or dangerous. Chapter 5 </w:t>
      </w:r>
      <w:r w:rsidR="00721CEE" w:rsidRPr="00662E51">
        <w:rPr>
          <w:szCs w:val="24"/>
        </w:rPr>
        <w:t xml:space="preserve">employs </w:t>
      </w:r>
      <w:r w:rsidRPr="00662E51">
        <w:rPr>
          <w:szCs w:val="24"/>
        </w:rPr>
        <w:t xml:space="preserve">the framework of accommodative acts in exploring BFYA’s activism, with the aim of troubling traditional, heroistic understanding of advocacy </w:t>
      </w:r>
      <w:r w:rsidRPr="00662E51">
        <w:rPr>
          <w:szCs w:val="24"/>
        </w:rPr>
        <w:fldChar w:fldCharType="begin"/>
      </w:r>
      <w:r w:rsidR="00213B80">
        <w:rPr>
          <w:szCs w:val="24"/>
        </w:rPr>
        <w:instrText xml:space="preserve"> ADDIN ZOTERO_ITEM CSL_CITATION {"citationID":"Cadk5hAX","properties":{"formattedCitation":"(Askins 2014; D. G. Martin et al. 2007; Pottinger 2017; Roy and Neveu 2023)","plainCitation":"(Askins 2014; D. G. Martin et al. 2007; Pottinger 2017; Roy and Neveu 2023)","noteIndex":0},"citationItems":[{"id":7180,"uris":["http://zotero.org/users/8977980/items/6VHU98IS"],"itemData":{"id":7180,"type":"article-journal","abstract":"This paper draws on fieldwork with a befriending scheme that pairs refugees, asylum seekers and local residents in the north east of England. It explores the ways in which a ?quiet politics? of encounter, embedded in intimate relationships, is caught up in and productive of complex inter-scale geographies, highlighting the ebbs and flows across security and insecurity. Critically, it foregrounds the relationality of emotions in enabling and maintaining intimate-geopolitics.","container-title":"Area","DOI":"10.1111/area.12138_5","ISSN":"0004-0894","issue":"4","page":"353-354","publisher":"John Wiley &amp; Sons, Ltd","source":"rgs-ibg.onlinelibrary.wiley.com (Atypon)","title":"A quiet politics of being together: Miriam and Rose","title-short":"A quiet politics of being together","volume":"46","author":[{"family":"Askins","given":"Kye"}],"issued":{"date-parts":[["2014",12]]}}},{"id":5833,"uris":["http://zotero.org/users/8977980/items/72L3TA9R"],"itemData":{"id":5833,"type":"article-journal","container-title":"Women's Studies Quarterly","ISSN":"0732-1562","issue":"3/4","page":"78-94","publisher":"The Feminist Press at the City University of New York","source":"JSTOR","title":"What Counts as Activism?: The Role of Individuals in Creating Change","title-short":"What Counts as Activism?","volume":"35","author":[{"family":"Martin","given":"Deborah G."},{"family":"Hanson","given":"Susan"},{"family":"Fontaine","given":"Danielle"}],"issued":{"date-parts":[["2007"]]}}},{"id":7051,"uris":["http://zotero.org/users/8977980/items/GZZVXTGN"],"itemData":{"id":7051,"type":"article-journal","abstract":"While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activism","volume":"49","author":[{"family":"Pottinger","given":"Laura"}],"issued":{"date-parts":[["2017"]]}}},{"id":6273,"uris":["http://zotero.org/users/8977980/items/DA7DH2T6"],"itemData":{"id":6273,"type":"article-journal","container-title":"Citizenship Studies","DOI":"10.1080/13621025.2023.2171254","ISSN":"1362-1025, 1469-3593","issue":"3","journalAbbreviation":"Citizenship Studies","language":"en","page":"385-405","source":"DOI.org (Crossref)","title":"A philosophy of the theory of “acts of citizenship” woven into the fabric of a political anthropology of citizenship","volume":"27","author":[{"family":"Roy","given":"Martin"},{"family":"Neveu","given":"Catherine"}],"issued":{"date-parts":[["2023",4,3]]}}}],"schema":"https://github.com/citation-style-language/schema/raw/master/csl-citation.json"} </w:instrText>
      </w:r>
      <w:r w:rsidRPr="00662E51">
        <w:rPr>
          <w:szCs w:val="24"/>
        </w:rPr>
        <w:fldChar w:fldCharType="separate"/>
      </w:r>
      <w:r w:rsidR="00213B80" w:rsidRPr="00213B80">
        <w:t>(Askins 2014; D. G. Martin et al. 2007; Pottinger 2017; Roy and Neveu 2023)</w:t>
      </w:r>
      <w:r w:rsidRPr="00662E51">
        <w:rPr>
          <w:szCs w:val="24"/>
        </w:rPr>
        <w:fldChar w:fldCharType="end"/>
      </w:r>
      <w:r w:rsidRPr="00662E51">
        <w:rPr>
          <w:szCs w:val="24"/>
        </w:rPr>
        <w:t xml:space="preserve">. It also utilises theories of authoritarian neoliberalism to understand how such activism can remain transformative even during illiberal times. </w:t>
      </w:r>
    </w:p>
    <w:p w14:paraId="04E5E479" w14:textId="3ED96AFB" w:rsidR="00B2628A" w:rsidRPr="00662E51" w:rsidRDefault="00B2628A" w:rsidP="00F56305">
      <w:pPr>
        <w:spacing w:line="360" w:lineRule="auto"/>
        <w:ind w:left="0"/>
        <w:rPr>
          <w:szCs w:val="24"/>
        </w:rPr>
      </w:pPr>
      <w:r w:rsidRPr="00662E51">
        <w:rPr>
          <w:szCs w:val="24"/>
        </w:rPr>
        <w:tab/>
        <w:t xml:space="preserve">The Association’s advocacy was both broad and smartly targeted. A significant portion thereof specifically demanded more attention from the local state. BFYA </w:t>
      </w:r>
      <w:r w:rsidR="00DF0C8E" w:rsidRPr="00662E51">
        <w:rPr>
          <w:szCs w:val="24"/>
        </w:rPr>
        <w:t xml:space="preserve">used </w:t>
      </w:r>
      <w:r w:rsidRPr="00662E51">
        <w:rPr>
          <w:szCs w:val="24"/>
        </w:rPr>
        <w:t xml:space="preserve">a range of tactics including but not limited to intruding on council meetings; demanding, and winning, a </w:t>
      </w:r>
      <w:r w:rsidR="00DF0C8E" w:rsidRPr="00662E51">
        <w:rPr>
          <w:szCs w:val="24"/>
        </w:rPr>
        <w:t xml:space="preserve">regular </w:t>
      </w:r>
      <w:r w:rsidRPr="00662E51">
        <w:rPr>
          <w:szCs w:val="24"/>
        </w:rPr>
        <w:t>forum</w:t>
      </w:r>
      <w:r w:rsidR="00DF0C8E" w:rsidRPr="00662E51">
        <w:rPr>
          <w:szCs w:val="24"/>
        </w:rPr>
        <w:t xml:space="preserve"> composed of BF residents, council staff, and councillors</w:t>
      </w:r>
      <w:r w:rsidRPr="00662E51">
        <w:rPr>
          <w:szCs w:val="24"/>
        </w:rPr>
        <w:t>; direct and frequent personal lobbying of politicians and Haringey staff members; among others. None of these manoeuvres involved direct confrontation with the state</w:t>
      </w:r>
      <w:r w:rsidR="00372E22" w:rsidRPr="00662E51">
        <w:rPr>
          <w:szCs w:val="24"/>
        </w:rPr>
        <w:t xml:space="preserve">, which are typically in the form of protests and occupations </w:t>
      </w:r>
      <w:r w:rsidR="00684FC6" w:rsidRPr="00662E51">
        <w:rPr>
          <w:szCs w:val="24"/>
        </w:rPr>
        <w:fldChar w:fldCharType="begin"/>
      </w:r>
      <w:r w:rsidR="008835AB" w:rsidRPr="00662E51">
        <w:rPr>
          <w:szCs w:val="24"/>
        </w:rPr>
        <w:instrText xml:space="preserve"> ADDIN ZOTERO_ITEM CSL_CITATION {"citationID":"YnLsREjI","properties":{"formattedCitation":"(e.g., Barbero 2012; Earle 2012; Hsu 2008; Fierro 2020; Jacobson 2022; Janoschka 2015; Nyers 2008; Pontrandolfo 2018)","plainCitation":"(e.g., Barbero 2012; Earle 2012; Hsu 2008; Fierro 2020; Jacobson 2022; Janoschka 2015; Nyers 2008; Pontrandolfo 2018)","noteIndex":0},"citationItems":[{"id":3274,"uris":["http://zotero.org/users/8977980/items/U7NNX2E6"],"itemData":{"id":3274,"type":"article-journal","abstract":"This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Citizenship","volume":"21","author":[{"family":"Barbero","given":"Iker"}],"issued":{"date-parts":[["2012",12,1]]}},"prefix":"e.g., "},{"id":1320,"uris":["http://zotero.org/users/8977980/items/SCKC3SXG"],"itemData":{"id":1320,"type":"article-journal","abstract":"This article examines the rhetoric and practice of a large social movement organised around low-income housing in the city of São Paulo, Brazil. Making explicit the relationship between housing and citizenship, the União de Movimentos de Moradia (Alliance of Housing Movements) articulates a ‘politics of rights’ with which it calls on the state to uphold the constitutional right to housing, and legitimates its high-proﬁle occupations of abandoned buildings in the centre of the city. The article engages with James Holston’s historical examination of homeowners’ struggles on the peripheries of São Paulo to assert themselves as rights-holders and to mobilise against threats of eviction. While Holston names these groups of residents ‘insurgent’ citizens for the way they have unsettled entrenched social inequalities, this article presents the concept of ‘transgressive’ citizenship to reﬂect the challenge the housing movement makes to the state as it uses text-based law to justify building occupations.","container-title":"Journal of Latin American Studies","DOI":"10.1017/S0022216X11001118","ISSN":"0022-216X, 1469-767X","issue":"1","journalAbbreviation":"J. Lat. Am. Stud.","language":"en","page":"97-126","source":"DOI.org (Crossref)","title":"From Insurgent to Transgressive Citizenship: Housing, Social Movements and the Politics of Rights in São Paulo","title-short":"From Insurgent to Transgressive Citizenship","volume":"44","author":[{"family":"Earle","given":"Lucy"}],"issued":{"date-parts":[["2012",2]]}}},{"id":6747,"uris":["http://zotero.org/users/8977980/items/TZB8NVV4"],"itemData":{"id":6747,"type":"chapter","abstract":"Politics,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Citizenship","ISBN":"978-1-84813-263-4","language":"eng","page":"247-265","publisher":"Zed Books Ltd","publisher-place":"London, UK","source":"discover.durham.ac.uk","title":"Acts of Chinese Citizenship: The Tank Man and Democracy-to-Come","URL":"https://ezphost.dur.ac.uk/login?url=https://search.ebscohost.com/login.aspx?direct=true&amp;scope=site&amp;db=nlebk&amp;AN=260783","editor":[{"family":"Isin","given":"Engin"},{"family":"Nielsen","given":"Greg Marc"}],"author":[{"family":"Hsu","given":"Yon"}],"accessed":{"date-parts":[["2022",2,3]]},"issued":{"date-parts":[["2008"]]}}},{"id":1552,"uris":["http://zotero.org/users/8977980/items/6CWBKE8P"],"itemData":{"id":1552,"type":"article-journal","abstract":"The Brazilian Movimento dos Trabalhadores sem Teto (MTST)—Homeless Workers’ Movement—is a social movement that struggles for housing and for a radical transformation of capitalistic socio-economic relations. The present paper offers a problematization of the movement’s plea to social rights. They are part of the movement’s discourse and strategy. However, the activists’ objective is more radical: they aim at a complete transformation of the Brazilian economy and society. By first discussing two sets of literatures—Critical Legal Theory and Governmentality Studies—this article illustrates the complexity and the ambivalences of a radical politics of rights. Then, by contrasting my ongoing ethnographic research with the work of James Holston and Lucy Earle, I discuss the relevance of a citizenship framework for the MTST’s struggle. Finally, inspired by Foucault’s concept of counter-conducts, the article argues that the movement’s politics of rights represents an effective tactic to contrast neoliberal governmentality and to create radical democratic spaces of struggle and collective resistance.","container-title":"International Journal of Politics, Culture, and Society","DOI":"10.1007/s10767-020-09356-6","ISSN":"0891-4486, 1573-3416","issue":"4","journalAbbreviation":"Int J Polit Cult Soc","language":"en","page":"513-527","source":"DOI.org (Crossref)","title":"The MTST Politics of Social Rights: Counter-Conducts, Acts of Citizenship and a Radical Struggle Beyond Housing","title-short":"The MTST Politics of Social Rights","volume":"33","author":[{"family":"Fierro","given":"Alberto"}],"issued":{"date-parts":[["2020",12]]}}},{"id":2614,"uris":["http://zotero.org/users/8977980/items/4SUAA6HS"],"itemData":{"id":2614,"type":"article-journal","abstract":"This article examines an overlooked group of participants within 1970s housing occupation movements in Western Europe – migrants. More specifically, I analyse Italian migrants’ participation in housing occupations in the city of Frankfurt am Main, West Germany, from 1970–3. By engaging in visible protest, Italian migrant occupiers performed ‘acts of urban citizenship’ that ruptured understandings of localised citizenship and belonging. This case study thus illuminates two interrelated historic phenomena: (1) how social rights became de-territorialised and attached to the individual rather than the nation-state; and (2) how the city became a crucial site of citizenship formation, even across national borders.","container-title":"Contemporary European History","DOI":"10.1017/S0960777322000662","ISSN":"0960-7773, 1469-2171","journalAbbreviation":"Contemporary European History","language":"en","page":"1-17","source":"DOI.org (Crossref)","title":"Redefining Urban Citizenship: Italian Migrants and Housing Occupations in 1970s Frankfurt am Main","title-short":"Redefining Urban Citizenship","author":[{"family":"Jacobson","given":"Sarah"}],"issued":{"date-parts":[["2022",10,20]]}}},{"id":1549,"uris":["http://zotero.org/users/8977980/items/CHNDW7D6"],"itemData":{"id":1549,"type":"article-journal","abstract":"The city region of Madrid can be considered as an exponent of the striking contradictions associated with the contemporary market-oriented production of housing. Given the increasing economic constraints of many ­middle- and working-class households because of the crisis, property values have been declining for practically seven years now, and tens of thousands of households have been evicted from their homes because they were unable to pay back their mortgages. Simultaneously, since the outbreak of the indignados movement in May 2011, a contestation of the structural forces ruling the real estate sector has been taking place, and questions about the right of housing became a prominent part of the public debate in an increasingly politicised society. Alongside the background of literature about the post-political city and subversive citizenship, this article pursues three key aims: It analyses the consequences of the persistent crisis with a special focus on the residential housing market in Madrid. Secondly, an analysis of the new social and political dynamics that have been emerging during the crisis is developed. Finally, it pinpoints to the way how the emergence of new actors within contemporary housing struggles has been shifting the social and political discourses in this political arena. Such an approach brings together discussions from the field of Political Science with the new geographies of contested crisis urbanism that relate to debates about the social construction of the city, citizenship and disobedience.","container-title":"DIE ERDE – Journal of the Geographical Society of Berlin","DOI":"10.12854/erde-146-9","ISSN":"0013-9998","issue":"2-3","language":"en","license":"Copyright (c) 2015 DIE ERDE – Journal of the Geographical Society of Berlin","note":"number: 2-3","page":"100-112","source":"www.die-erde.org","title":"Politics, citizenship and disobedience in the city of crisis: a critical analysis of contemporary housing struggles in Madrid","title-short":"Politics, citizenship and disobedience in the city of crisis","volume":"146","author":[{"family":"Janoschka","given":"Michael"}],"issued":{"date-parts":[["2015",10,1]]}}},{"id":274,"uris":["http://zotero.org/users/8977980/items/CJIY3UC6"],"itemData":{"id":274,"type":"chapter","abstract":"Politics,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Citizenship","ISBN":"978-1-84813-263-4","language":"eng","page":"160-81","publisher":"Zed Books Ltd","publisher-place":"London, UK","title":"No One Is Illegal Between City and Nation","editor":[{"family":"Isin","given":"Engin"},{"family":"Nielsen","given":"Greg Marc"}],"author":[{"family":"Nyers","given":"Peter"}],"accessed":{"date-parts":[["2022",2,3]]},"issued":{"date-parts":[["2008"]]}}},{"id":1415,"uris":["http://zotero.org/users/8977980/items/B2S7Z254"],"itemData":{"id":1415,"type":"article-journal","abstract":"This article presents the case study of a community-based Roma struggle to challenge categorisations, improve housing conditions and access citizenship rights. It is an ethnographic account of the citizenship enactments that a Roma family network, which migrated from Romania to Italy, has been pursuing since its arrival in the southern Italian town of Bari. The aim is to promote the value of ethnographic research in understanding the numerous, complex ways in which 'being political' among Roma is possible. This can take place not only through elite Roma activism, or by communities of Roma producing 'hidden transcripts', but also through community-based 'acts of citizenship'.","container-title":"Nomadic Peoples","ISSN":"0822-7942","issue":"1","page":"83-103","publisher":"White Horse Press","source":"JSTOR","title":"Roma 'Acts of Citizenship': Negotiating Categories and Housing Solutions","title-short":"ROMA 'ACTS OF CITIZENSHIP'","volume":"22","author":[{"family":"Pontrandolfo","given":"Stefania"}],"issued":{"date-parts":[["2018"]]}}}],"schema":"https://github.com/citation-style-language/schema/raw/master/csl-citation.json"} </w:instrText>
      </w:r>
      <w:r w:rsidR="00684FC6" w:rsidRPr="00662E51">
        <w:rPr>
          <w:szCs w:val="24"/>
        </w:rPr>
        <w:fldChar w:fldCharType="separate"/>
      </w:r>
      <w:r w:rsidR="00684FC6" w:rsidRPr="00662E51">
        <w:t>(e.g., Barbero 2012; Earle 2012; Hsu 2008; Fierro 2020; Jacobson 2022; Janoschka 2015; Nyers 2008; Pontrandolfo 2018)</w:t>
      </w:r>
      <w:r w:rsidR="00684FC6" w:rsidRPr="00662E51">
        <w:rPr>
          <w:szCs w:val="24"/>
        </w:rPr>
        <w:fldChar w:fldCharType="end"/>
      </w:r>
      <w:r w:rsidR="00684FC6" w:rsidRPr="00662E51">
        <w:rPr>
          <w:szCs w:val="24"/>
        </w:rPr>
        <w:t>.</w:t>
      </w:r>
      <w:r w:rsidRPr="00662E51">
        <w:rPr>
          <w:szCs w:val="24"/>
        </w:rPr>
        <w:t xml:space="preserve"> Rather, they are </w:t>
      </w:r>
      <w:r w:rsidRPr="00662E51">
        <w:rPr>
          <w:szCs w:val="24"/>
        </w:rPr>
        <w:lastRenderedPageBreak/>
        <w:t>clever use of existing channels to push the state to comply. Other key illustrations reflect the Association’s intelligent approach, one of which I highlighted in the chapter: ‘auto-regeneration.’ This refers to redevelopment schemes that involve the estate’s residents directly regenerating the estate. After a large grant from central government, BFYA’s sister organisation (a co-op) was awarded a contract to rebuild potions of Broadwater Farm. In this case, accommodative acts were necessary because of Thatcher-era authoritarianism</w:t>
      </w:r>
      <w:r w:rsidR="009C12F8" w:rsidRPr="00662E51">
        <w:rPr>
          <w:szCs w:val="24"/>
        </w:rPr>
        <w:t>.</w:t>
      </w:r>
      <w:r w:rsidRPr="00662E51">
        <w:rPr>
          <w:szCs w:val="24"/>
        </w:rPr>
        <w:t xml:space="preserve"> Activism—especially that by Black Brit</w:t>
      </w:r>
      <w:r w:rsidR="00566884">
        <w:rPr>
          <w:szCs w:val="24"/>
        </w:rPr>
        <w:t>on</w:t>
      </w:r>
      <w:r w:rsidRPr="00662E51">
        <w:rPr>
          <w:szCs w:val="24"/>
        </w:rPr>
        <w:t xml:space="preserve">s—was heavily policed and oppressed </w:t>
      </w:r>
      <w:r w:rsidRPr="00662E51">
        <w:rPr>
          <w:szCs w:val="24"/>
        </w:rPr>
        <w:fldChar w:fldCharType="begin"/>
      </w:r>
      <w:r w:rsidR="00213B80">
        <w:rPr>
          <w:szCs w:val="24"/>
        </w:rPr>
        <w:instrText xml:space="preserve"> ADDIN ZOTERO_ITEM CSL_CITATION {"citationID":"txRPohYL","properties":{"formattedCitation":"(Elliott-Cooper 2021; S. Hall et al. [1978] 2019; Perera 2019a)","plainCitation":"(Elliott-Cooper 2021; S. Hall et al. [1978] 2019; Perera 2019a)","noteIndex":0},"citationItems":[{"id":5679,"uris":["http://zotero.org/users/8977980/items/VM8DZIZ5"],"itemData":{"id":5679,"type":"book","DOI":"10.7765/9781526143945","ISBN":"978-1-5261-4394-5","publisher":"Manchester University Press","source":"DOI.org (Crossref)","title":"Black resistance to British policing","title-short":"Black resistance to British policing","URL":"https://www.manchesterhive.com/view/9781526143945/9781526143945.xml","author":[{"family":"Elliott-Cooper","given":"Adam"}],"accessed":{"date-parts":[["2024",2,1]]},"issued":{"date-parts":[["2021",5,1]]}}},{"id":5777,"uris":["http://zotero.org/users/8977980/items/3K89WG2H"],"itemData":{"id":5777,"type":"book","edition":"2nd edition, 35th anniversary edition","ISBN":"978-1-137-00718-6","language":"eng","number-of-pages":"451","publisher":"Macmillan International Higher Education","publisher-place":"London","source":"K10plus ISBN","title":"Policing the crisis: mugging, the state and law and order","title-short":"Policing the crisis","author":[{"family":"Hall","given":"Stuart"},{"family":"Critcher","given":"Chas"},{"family":"Jefferson","given":"Tony"},{"family":"Clarke","given":"John"},{"family":"Roberts","given":"Brian"}],"issued":{"date-parts":[["2019"]]},"original-date":{"date-parts":[["1978"]]}}},{"id":3141,"uris":["http://zotero.org/users/8977980/items/CB3BBSPP"],"itemData":{"id":3141,"type":"report","language":"en","number":"12","publisher":"Institute of Race Relations","publisher-place":"London","source":"Zotero","title":"The London Clearances: Race, Housing and Policing","URL":"https://irr.org.uk/wp-content/uploads/2020/09/The-London-Clearances-Race-Housing-and-Policing-1.pdf","author":[{"family":"Perera","given":"Jessica"}],"issued":{"date-parts":[["2019"]]}}}],"schema":"https://github.com/citation-style-language/schema/raw/master/csl-citation.json"} </w:instrText>
      </w:r>
      <w:r w:rsidRPr="00662E51">
        <w:rPr>
          <w:szCs w:val="24"/>
        </w:rPr>
        <w:fldChar w:fldCharType="separate"/>
      </w:r>
      <w:r w:rsidR="00213B80" w:rsidRPr="00213B80">
        <w:t>(Elliott-Cooper 2021; S. Hall et al. [1978] 2019; Perera 2019a)</w:t>
      </w:r>
      <w:r w:rsidRPr="00662E51">
        <w:rPr>
          <w:szCs w:val="24"/>
        </w:rPr>
        <w:fldChar w:fldCharType="end"/>
      </w:r>
      <w:r w:rsidRPr="00662E51">
        <w:rPr>
          <w:szCs w:val="24"/>
        </w:rPr>
        <w:t xml:space="preserve">. Concurrently, Haringey Council was engaging in illiberal insulation that Dillon and Fanning </w:t>
      </w:r>
      <w:r w:rsidRPr="00662E51">
        <w:rPr>
          <w:szCs w:val="24"/>
        </w:rPr>
        <w:fldChar w:fldCharType="begin"/>
      </w:r>
      <w:r w:rsidR="008835AB" w:rsidRPr="00662E51">
        <w:rPr>
          <w:szCs w:val="24"/>
        </w:rPr>
        <w:instrText xml:space="preserve"> ADDIN ZOTERO_ITEM CSL_CITATION {"citationID":"ElUEM3qF","properties":{"formattedCitation":"(2011)","plainCitation":"(2011)","noteIndex":0},"citationItems":[{"id":254,"uris":["http://zotero.org/users/8977980/items/4A2LKAH2"],"itemData":{"id":254,"type":"book","collection-title":"Urban and regional planning and development","ISBN":"978-1-4094-2069-9","language":"eng","publisher":"Ashgate Pub.","publisher-place":"Farnham, Surrey, England ; Burlington, VT","source":"discover.durham.ac.uk","title":"Lessons for the big society: planning, regeneration, and the politics of community participation","title-short":"Lessons for the big society","URL":"https://ebookcentral.proquest.com/lib/durham/detail.action?docID=770988","author":[{"family":"Dillon","given":"Denis"},{"family":"Fanning","given":"Bryan"}],"accessed":{"date-parts":[["2022",2,3]]},"issued":{"date-parts":[["2011"]]}},"suppress-author":true}],"schema":"https://github.com/citation-style-language/schema/raw/master/csl-citation.json"} </w:instrText>
      </w:r>
      <w:r w:rsidRPr="00662E51">
        <w:rPr>
          <w:szCs w:val="24"/>
        </w:rPr>
        <w:fldChar w:fldCharType="separate"/>
      </w:r>
      <w:r w:rsidR="0095662D" w:rsidRPr="00662E51">
        <w:t>(2011)</w:t>
      </w:r>
      <w:r w:rsidRPr="00662E51">
        <w:rPr>
          <w:szCs w:val="24"/>
        </w:rPr>
        <w:fldChar w:fldCharType="end"/>
      </w:r>
      <w:r w:rsidRPr="00662E51">
        <w:rPr>
          <w:szCs w:val="24"/>
        </w:rPr>
        <w:t xml:space="preserve"> call municipal paternalism, which meant the Council frequently declined to adequately consult the community. As such, accommodative acts were the only available pathway to extract concrete change. Collectively, BFYA’s approaches were able to reshape the relationship between Broadwater Farm residents and the state: not only did residents become literally answerable subjects, but also the Association demonstrate their political acumen—thereby defying depictions of Black residents as politically detached and uninterested. Together, these organising were accommodative citizenship acts that were successful in transforming Broadwater Farm estate residents’ subjectivities. </w:t>
      </w:r>
    </w:p>
    <w:p w14:paraId="027AA282" w14:textId="234E8EDE" w:rsidR="00B2628A" w:rsidRPr="00662E51" w:rsidRDefault="00B2628A" w:rsidP="00F56305">
      <w:pPr>
        <w:spacing w:line="360" w:lineRule="auto"/>
        <w:ind w:left="0"/>
        <w:rPr>
          <w:szCs w:val="24"/>
        </w:rPr>
      </w:pPr>
      <w:r w:rsidRPr="00662E51">
        <w:rPr>
          <w:szCs w:val="24"/>
        </w:rPr>
        <w:tab/>
        <w:t xml:space="preserve">An important contribution from theorising BFYA’s acts of citizenship is to trouble dominant perspectives on activism. Such perspectives are often treat organising as a masculine and heroistic endeavour, thus ignoring the quieter forms of activism </w:t>
      </w:r>
      <w:r w:rsidR="00F13AC1" w:rsidRPr="00662E51">
        <w:rPr>
          <w:szCs w:val="24"/>
        </w:rPr>
        <w:fldChar w:fldCharType="begin"/>
      </w:r>
      <w:r w:rsidR="00213B80">
        <w:rPr>
          <w:szCs w:val="24"/>
        </w:rPr>
        <w:instrText xml:space="preserve"> ADDIN ZOTERO_ITEM CSL_CITATION {"citationID":"vTSt9ZO3","properties":{"formattedCitation":"(Askins 2014; D. G. Martin et al. 2007; Pottinger 2017; Roy and Neveu 2023)","plainCitation":"(Askins 2014; D. G. Martin et al. 2007; Pottinger 2017; Roy and Neveu 2023)","noteIndex":0},"citationItems":[{"id":7180,"uris":["http://zotero.org/users/8977980/items/6VHU98IS"],"itemData":{"id":7180,"type":"article-journal","abstract":"This paper draws on fieldwork with a befriending scheme that pairs refugees, asylum seekers and local residents in the north east of England. It explores the ways in which a ?quiet politics? of encounter, embedded in intimate relationships, is caught up in and productive of complex inter-scale geographies, highlighting the ebbs and flows across security and insecurity. Critically, it foregrounds the relationality of emotions in enabling and maintaining intimate-geopolitics.","container-title":"Area","DOI":"10.1111/area.12138_5","ISSN":"0004-0894","issue":"4","page":"353-354","publisher":"John Wiley &amp; Sons, Ltd","source":"rgs-ibg.onlinelibrary.wiley.com (Atypon)","title":"A quiet politics of being together: Miriam and Rose","title-short":"A quiet politics of being together","volume":"46","author":[{"family":"Askins","given":"Kye"}],"issued":{"date-parts":[["2014",12]]}}},{"id":5833,"uris":["http://zotero.org/users/8977980/items/72L3TA9R"],"itemData":{"id":5833,"type":"article-journal","container-title":"Women's Studies Quarterly","ISSN":"0732-1562","issue":"3/4","page":"78-94","publisher":"The Feminist Press at the City University of New York","source":"JSTOR","title":"What Counts as Activism?: The Role of Individuals in Creating Change","title-short":"What Counts as Activism?","volume":"35","author":[{"family":"Martin","given":"Deborah G."},{"family":"Hanson","given":"Susan"},{"family":"Fontaine","given":"Danielle"}],"issued":{"date-parts":[["2007"]]}}},{"id":7051,"uris":["http://zotero.org/users/8977980/items/GZZVXTGN"],"itemData":{"id":7051,"type":"article-journal","abstract":"While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activism","volume":"49","author":[{"family":"Pottinger","given":"Laura"}],"issued":{"date-parts":[["2017"]]}}},{"id":6273,"uris":["http://zotero.org/users/8977980/items/DA7DH2T6"],"itemData":{"id":6273,"type":"article-journal","container-title":"Citizenship Studies","DOI":"10.1080/13621025.2023.2171254","ISSN":"1362-1025, 1469-3593","issue":"3","journalAbbreviation":"Citizenship Studies","language":"en","page":"385-405","source":"DOI.org (Crossref)","title":"A philosophy of the theory of “acts of citizenship” woven into the fabric of a political anthropology of citizenship","volume":"27","author":[{"family":"Roy","given":"Martin"},{"family":"Neveu","given":"Catherine"}],"issued":{"date-parts":[["2023",4,3]]}}}],"schema":"https://github.com/citation-style-language/schema/raw/master/csl-citation.json"} </w:instrText>
      </w:r>
      <w:r w:rsidR="00F13AC1" w:rsidRPr="00662E51">
        <w:rPr>
          <w:szCs w:val="24"/>
        </w:rPr>
        <w:fldChar w:fldCharType="separate"/>
      </w:r>
      <w:r w:rsidR="00213B80" w:rsidRPr="00213B80">
        <w:t>(Askins 2014; D. G. Martin et al. 2007; Pottinger 2017; Roy and Neveu 2023)</w:t>
      </w:r>
      <w:r w:rsidR="00F13AC1" w:rsidRPr="00662E51">
        <w:rPr>
          <w:szCs w:val="24"/>
        </w:rPr>
        <w:fldChar w:fldCharType="end"/>
      </w:r>
      <w:r w:rsidR="00F13AC1" w:rsidRPr="00662E51">
        <w:rPr>
          <w:szCs w:val="24"/>
        </w:rPr>
        <w:t xml:space="preserve">. </w:t>
      </w:r>
      <w:r w:rsidRPr="00662E51">
        <w:rPr>
          <w:szCs w:val="24"/>
        </w:rPr>
        <w:t xml:space="preserve">As evident in many works that utilise the theory of acts </w:t>
      </w:r>
      <w:r w:rsidRPr="00662E51">
        <w:rPr>
          <w:szCs w:val="24"/>
        </w:rPr>
        <w:fldChar w:fldCharType="begin"/>
      </w:r>
      <w:r w:rsidR="008835AB" w:rsidRPr="00662E51">
        <w:rPr>
          <w:szCs w:val="24"/>
        </w:rPr>
        <w:instrText xml:space="preserve"> ADDIN ZOTERO_ITEM CSL_CITATION {"citationID":"SeP3TDco","properties":{"formattedCitation":"(e.g., Barbero 2012; Earle 2012; Hsu 2008; Fierro 2020; Jacobson 2022; Janoschka 2015; Nyers 2008; Pontrandolfo 2018)","plainCitation":"(e.g., Barbero 2012; Earle 2012; Hsu 2008; Fierro 2020; Jacobson 2022; Janoschka 2015; Nyers 2008; Pontrandolfo 2018)","noteIndex":0},"citationItems":[{"id":3274,"uris":["http://zotero.org/users/8977980/items/U7NNX2E6"],"itemData":{"id":3274,"type":"article-journal","abstract":"This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Citizenship","volume":"21","author":[{"family":"Barbero","given":"Iker"}],"issued":{"date-parts":[["2012",12,1]]}},"prefix":"e.g., "},{"id":1320,"uris":["http://zotero.org/users/8977980/items/SCKC3SXG"],"itemData":{"id":1320,"type":"article-journal","abstract":"This article examines the rhetoric and practice of a large social movement organised around low-income housing in the city of São Paulo, Brazil. Making explicit the relationship between housing and citizenship, the União de Movimentos de Moradia (Alliance of Housing Movements) articulates a ‘politics of rights’ with which it calls on the state to uphold the constitutional right to housing, and legitimates its high-proﬁle occupations of abandoned buildings in the centre of the city. The article engages with James Holston’s historical examination of homeowners’ struggles on the peripheries of São Paulo to assert themselves as rights-holders and to mobilise against threats of eviction. While Holston names these groups of residents ‘insurgent’ citizens for the way they have unsettled entrenched social inequalities, this article presents the concept of ‘transgressive’ citizenship to reﬂect the challenge the housing movement makes to the state as it uses text-based law to justify building occupations.","container-title":"Journal of Latin American Studies","DOI":"10.1017/S0022216X11001118","ISSN":"0022-216X, 1469-767X","issue":"1","journalAbbreviation":"J. Lat. Am. Stud.","language":"en","page":"97-126","source":"DOI.org (Crossref)","title":"From Insurgent to Transgressive Citizenship: Housing, Social Movements and the Politics of Rights in São Paulo","title-short":"From Insurgent to Transgressive Citizenship","volume":"44","author":[{"family":"Earle","given":"Lucy"}],"issued":{"date-parts":[["2012",2]]}}},{"id":6747,"uris":["http://zotero.org/users/8977980/items/TZB8NVV4"],"itemData":{"id":6747,"type":"chapter","abstract":"Politics,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Citizenship","ISBN":"978-1-84813-263-4","language":"eng","page":"247-265","publisher":"Zed Books Ltd","publisher-place":"London, UK","source":"discover.durham.ac.uk","title":"Acts of Chinese Citizenship: The Tank Man and Democracy-to-Come","URL":"https://ezphost.dur.ac.uk/login?url=https://search.ebscohost.com/login.aspx?direct=true&amp;scope=site&amp;db=nlebk&amp;AN=260783","editor":[{"family":"Isin","given":"Engin"},{"family":"Nielsen","given":"Greg Marc"}],"author":[{"family":"Hsu","given":"Yon"}],"accessed":{"date-parts":[["2022",2,3]]},"issued":{"date-parts":[["2008"]]}}},{"id":1552,"uris":["http://zotero.org/users/8977980/items/6CWBKE8P"],"itemData":{"id":1552,"type":"article-journal","abstract":"The Brazilian Movimento dos Trabalhadores sem Teto (MTST)—Homeless Workers’ Movement—is a social movement that struggles for housing and for a radical transformation of capitalistic socio-economic relations. The present paper offers a problematization of the movement’s plea to social rights. They are part of the movement’s discourse and strategy. However, the activists’ objective is more radical: they aim at a complete transformation of the Brazilian economy and society. By first discussing two sets of literatures—Critical Legal Theory and Governmentality Studies—this article illustrates the complexity and the ambivalences of a radical politics of rights. Then, by contrasting my ongoing ethnographic research with the work of James Holston and Lucy Earle, I discuss the relevance of a citizenship framework for the MTST’s struggle. Finally, inspired by Foucault’s concept of counter-conducts, the article argues that the movement’s politics of rights represents an effective tactic to contrast neoliberal governmentality and to create radical democratic spaces of struggle and collective resistance.","container-title":"International Journal of Politics, Culture, and Society","DOI":"10.1007/s10767-020-09356-6","ISSN":"0891-4486, 1573-3416","issue":"4","journalAbbreviation":"Int J Polit Cult Soc","language":"en","page":"513-527","source":"DOI.org (Crossref)","title":"The MTST Politics of Social Rights: Counter-Conducts, Acts of Citizenship and a Radical Struggle Beyond Housing","title-short":"The MTST Politics of Social Rights","volume":"33","author":[{"family":"Fierro","given":"Alberto"}],"issued":{"date-parts":[["2020",12]]}}},{"id":2614,"uris":["http://zotero.org/users/8977980/items/4SUAA6HS"],"itemData":{"id":2614,"type":"article-journal","abstract":"This article examines an overlooked group of participants within 1970s housing occupation movements in Western Europe – migrants. More specifically, I analyse Italian migrants’ participation in housing occupations in the city of Frankfurt am Main, West Germany, from 1970–3. By engaging in visible protest, Italian migrant occupiers performed ‘acts of urban citizenship’ that ruptured understandings of localised citizenship and belonging. This case study thus illuminates two interrelated historic phenomena: (1) how social rights became de-territorialised and attached to the individual rather than the nation-state; and (2) how the city became a crucial site of citizenship formation, even across national borders.","container-title":"Contemporary European History","DOI":"10.1017/S0960777322000662","ISSN":"0960-7773, 1469-2171","journalAbbreviation":"Contemporary European History","language":"en","page":"1-17","source":"DOI.org (Crossref)","title":"Redefining Urban Citizenship: Italian Migrants and Housing Occupations in 1970s Frankfurt am Main","title-short":"Redefining Urban Citizenship","author":[{"family":"Jacobson","given":"Sarah"}],"issued":{"date-parts":[["2022",10,20]]}}},{"id":1549,"uris":["http://zotero.org/users/8977980/items/CHNDW7D6"],"itemData":{"id":1549,"type":"article-journal","abstract":"The city region of Madrid can be considered as an exponent of the striking contradictions associated with the contemporary market-oriented production of housing. Given the increasing economic constraints of many ­middle- and working-class households because of the crisis, property values have been declining for practically seven years now, and tens of thousands of households have been evicted from their homes because they were unable to pay back their mortgages. Simultaneously, since the outbreak of the indignados movement in May 2011, a contestation of the structural forces ruling the real estate sector has been taking place, and questions about the right of housing became a prominent part of the public debate in an increasingly politicised society. Alongside the background of literature about the post-political city and subversive citizenship, this article pursues three key aims: It analyses the consequences of the persistent crisis with a special focus on the residential housing market in Madrid. Secondly, an analysis of the new social and political dynamics that have been emerging during the crisis is developed. Finally, it pinpoints to the way how the emergence of new actors within contemporary housing struggles has been shifting the social and political discourses in this political arena. Such an approach brings together discussions from the field of Political Science with the new geographies of contested crisis urbanism that relate to debates about the social construction of the city, citizenship and disobedience.","container-title":"DIE ERDE – Journal of the Geographical Society of Berlin","DOI":"10.12854/erde-146-9","ISSN":"0013-9998","issue":"2-3","language":"en","license":"Copyright (c) 2015 DIE ERDE – Journal of the Geographical Society of Berlin","note":"number: 2-3","page":"100-112","source":"www.die-erde.org","title":"Politics, citizenship and disobedience in the city of crisis: a critical analysis of contemporary housing struggles in Madrid","title-short":"Politics, citizenship and disobedience in the city of crisis","volume":"146","author":[{"family":"Janoschka","given":"Michael"}],"issued":{"date-parts":[["2015",10,1]]}}},{"id":274,"uris":["http://zotero.org/users/8977980/items/CJIY3UC6"],"itemData":{"id":274,"type":"chapter","abstract":"Politics,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Citizenship","ISBN":"978-1-84813-263-4","language":"eng","page":"160-81","publisher":"Zed Books Ltd","publisher-place":"London, UK","title":"No One Is Illegal Between City and Nation","editor":[{"family":"Isin","given":"Engin"},{"family":"Nielsen","given":"Greg Marc"}],"author":[{"family":"Nyers","given":"Peter"}],"accessed":{"date-parts":[["2022",2,3]]},"issued":{"date-parts":[["2008"]]}}},{"id":1415,"uris":["http://zotero.org/users/8977980/items/B2S7Z254"],"itemData":{"id":1415,"type":"article-journal","abstract":"This article presents the case study of a community-based Roma struggle to challenge categorisations, improve housing conditions and access citizenship rights. It is an ethnographic account of the citizenship enactments that a Roma family network, which migrated from Romania to Italy, has been pursuing since its arrival in the southern Italian town of Bari. The aim is to promote the value of ethnographic research in understanding the numerous, complex ways in which 'being political' among Roma is possible. This can take place not only through elite Roma activism, or by communities of Roma producing 'hidden transcripts', but also through community-based 'acts of citizenship'.","container-title":"Nomadic Peoples","ISSN":"0822-7942","issue":"1","page":"83-103","publisher":"White Horse Press","source":"JSTOR","title":"Roma 'Acts of Citizenship': Negotiating Categories and Housing Solutions","title-short":"ROMA 'ACTS OF CITIZENSHIP'","volume":"22","author":[{"family":"Pontrandolfo","given":"Stefania"}],"issued":{"date-parts":[["2018"]]}}}],"schema":"https://github.com/citation-style-language/schema/raw/master/csl-citation.json"} </w:instrText>
      </w:r>
      <w:r w:rsidRPr="00662E51">
        <w:rPr>
          <w:szCs w:val="24"/>
        </w:rPr>
        <w:fldChar w:fldCharType="separate"/>
      </w:r>
      <w:r w:rsidR="00684FC6" w:rsidRPr="00662E51">
        <w:t>(e.g., Barbero 2012; Earle 2012; Hsu 2008; Fierro 2020; Jacobson 2022; Janoschka 2015; Nyers 2008; Pontrandolfo 2018)</w:t>
      </w:r>
      <w:r w:rsidRPr="00662E51">
        <w:rPr>
          <w:szCs w:val="24"/>
        </w:rPr>
        <w:fldChar w:fldCharType="end"/>
      </w:r>
      <w:r w:rsidRPr="00662E51">
        <w:rPr>
          <w:szCs w:val="24"/>
        </w:rPr>
        <w:t xml:space="preserve">, activism studies tend to focus on protests, occupations, confrontational resistance, and other actions that tend to </w:t>
      </w:r>
      <w:r w:rsidR="00952E2C" w:rsidRPr="00662E51">
        <w:rPr>
          <w:szCs w:val="24"/>
        </w:rPr>
        <w:t xml:space="preserve">(but do not always) </w:t>
      </w:r>
      <w:r w:rsidRPr="00662E51">
        <w:rPr>
          <w:szCs w:val="24"/>
        </w:rPr>
        <w:t xml:space="preserve">break the law. Yet, acts that generate answerable subjects do not necessarily need to be “revolutionary in nature and effect” as long as the quality of answerability remains </w:t>
      </w:r>
      <w:r w:rsidRPr="00662E51">
        <w:rPr>
          <w:szCs w:val="24"/>
        </w:rPr>
        <w:fldChar w:fldCharType="begin"/>
      </w:r>
      <w:r w:rsidR="00952E2C" w:rsidRPr="00662E51">
        <w:rPr>
          <w:szCs w:val="24"/>
        </w:rPr>
        <w:instrText xml:space="preserve"> ADDIN ZOTERO_ITEM CSL_CITATION {"citationID":"8q2gbFyk","properties":{"formattedCitation":"(Darling 2014, 88; see also Saeidi 2010)","plainCitation":"(Darling 2014, 88; see also Saeidi 2010)","noteIndex":0},"citationItems":[{"id":3275,"uris":["http://zotero.org/users/8977980/items/ERTQGRHZ"],"itemData":{"id":3275,"type":"article-journal","abstract":"This paper explores the ways in which practices of asylum governance serve to depoliticise those seeking asylum in the UK. In critiquing claims over the “post-political” nature of contemporary governance, the paper proposes a focus upon situated practices of depoliticisation which displace those seeking asylum through the production of specific sites of accommodation and specific discourses of risk, security and moralised concern. The paper questions the tendency within “post-political” thought to strip the potential of modes of informal citizenship through arguing that minor acts of resistance are ineffectual and illusory. In response, the paper explores irregular migrant's “acts of citizenship”, and suggests that such prosaic acts can be powerful forms of political interruption through which new ways of seeing asylum are constructed. The paper concludes by suggesting that an incremental politics orientated around such acts of interruption is essential to challenge the material, affective and discursive closures of asylum domopolitics.","container-title":"Antipode","DOI":"10.1111/anti.12026","ISSN":"1467-8330","issue":"1","language":"en","note":"_eprint: https://onlinelibrary.wiley.com/doi/pdf/10.1111/anti.12026","page":"72-91","source":"Wiley Online Library","title":"Asylum and the Post-Political: Domopolitics, Depoliticisation and Acts of Citizenship","title-short":"Asylum and the Post-Political","volume":"46","author":[{"family":"Darling","given":"Jonathan"}],"issued":{"date-parts":[["2014"]]}},"locator":"88"},{"id":4395,"uris":["http://zotero.org/users/8977980/items/4WV52Z3G"],"itemData":{"id":4395,"type":"article-journal","container-title":"Citizenship Studies","DOI":"10.1080/13621021003594734","ISSN":"1362-1025, 1469-3593","issue":"2","journalAbbreviation":"Citizenship Studies","language":"en","page":"113-126","source":"DOI.org (Crossref)","title":"Creating the Islamic Republic of Iran: wives and daughters of martyrs, and acts of citizenship","title-short":"Creating the Islamic Republic of Iran","volume":"14","author":[{"family":"Saeidi","given":"Shirin"}],"issued":{"date-parts":[["2010",4]]}},"prefix":"see also"}],"schema":"https://github.com/citation-style-language/schema/raw/master/csl-citation.json"} </w:instrText>
      </w:r>
      <w:r w:rsidRPr="00662E51">
        <w:rPr>
          <w:szCs w:val="24"/>
        </w:rPr>
        <w:fldChar w:fldCharType="separate"/>
      </w:r>
      <w:r w:rsidR="00952E2C" w:rsidRPr="00662E51">
        <w:t>(Darling 2014, 88; see also Saeidi 2010)</w:t>
      </w:r>
      <w:r w:rsidRPr="00662E51">
        <w:rPr>
          <w:szCs w:val="24"/>
        </w:rPr>
        <w:fldChar w:fldCharType="end"/>
      </w:r>
      <w:r w:rsidRPr="00662E51">
        <w:rPr>
          <w:szCs w:val="24"/>
        </w:rPr>
        <w:t xml:space="preserve">. As such, these acts reman undertheorised: their transformative potential is passed over in favour of more confrontational activism. This thesis, then, ties together acts of citizenship, their accommodative </w:t>
      </w:r>
      <w:r w:rsidRPr="00662E51">
        <w:rPr>
          <w:szCs w:val="24"/>
        </w:rPr>
        <w:lastRenderedPageBreak/>
        <w:t xml:space="preserve">form, and authoritarian neoliberalism—with the goal of asserting the transformative power inherent such ‘everyday’ activism(s) </w:t>
      </w:r>
      <w:r w:rsidRPr="00662E51">
        <w:rPr>
          <w:szCs w:val="24"/>
        </w:rPr>
        <w:fldChar w:fldCharType="begin"/>
      </w:r>
      <w:r w:rsidR="00213B80">
        <w:rPr>
          <w:szCs w:val="24"/>
        </w:rPr>
        <w:instrText xml:space="preserve"> ADDIN ZOTERO_ITEM CSL_CITATION {"citationID":"mr5hcNWt","properties":{"formattedCitation":"(D. G. Martin et al. 2007)","plainCitation":"(D. G. Martin et al. 2007)","noteIndex":0},"citationItems":[{"id":5833,"uris":["http://zotero.org/users/8977980/items/72L3TA9R"],"itemData":{"id":5833,"type":"article-journal","container-title":"Women's Studies Quarterly","ISSN":"0732-1562","issue":"3/4","page":"78-94","publisher":"The Feminist Press at the City University of New York","source":"JSTOR","title":"What Counts as Activism?: The Role of Individuals in Creating Change","title-short":"What Counts as Activism?","volume":"35","author":[{"family":"Martin","given":"Deborah G."},{"family":"Hanson","given":"Susan"},{"family":"Fontaine","given":"Danielle"}],"issued":{"date-parts":[["2007"]]}}}],"schema":"https://github.com/citation-style-language/schema/raw/master/csl-citation.json"} </w:instrText>
      </w:r>
      <w:r w:rsidRPr="00662E51">
        <w:rPr>
          <w:szCs w:val="24"/>
        </w:rPr>
        <w:fldChar w:fldCharType="separate"/>
      </w:r>
      <w:r w:rsidR="00213B80" w:rsidRPr="00213B80">
        <w:t>(D. G. Martin et al. 2007)</w:t>
      </w:r>
      <w:r w:rsidRPr="00662E51">
        <w:rPr>
          <w:szCs w:val="24"/>
        </w:rPr>
        <w:fldChar w:fldCharType="end"/>
      </w:r>
      <w:r w:rsidRPr="00662E51">
        <w:rPr>
          <w:szCs w:val="24"/>
        </w:rPr>
        <w:t xml:space="preserve"> and ‘passive dissent’ </w:t>
      </w:r>
      <w:r w:rsidRPr="00662E51">
        <w:rPr>
          <w:szCs w:val="24"/>
        </w:rPr>
        <w:fldChar w:fldCharType="begin"/>
      </w:r>
      <w:r w:rsidR="00557CA9" w:rsidRPr="00662E51">
        <w:rPr>
          <w:szCs w:val="24"/>
        </w:rPr>
        <w:instrText xml:space="preserve"> ADDIN ZOTERO_ITEM CSL_CITATION {"citationID":"QabJm0po","properties":{"formattedCitation":"(Wilkinson and Ortega-Alc\\uc0\\u225{}zar 2019)","plainCitation":"(Wilkinson and Ortega-Alcázar 2019)","noteIndex":0},"citationItems":[{"id":5078,"uris":["http://zotero.org/users/8977980/items/EV5QXRJZ"],"itemData":{"id":5078,"type":"article-journal","abstract":"This paper seeks to advance understandings of austerity's everyday affects by examining how neoliberal welfare retrenchment is lived, experienced and resisted. Drawing on interviews with young people in housing need, we demonstrate the ways in which day-to-day coping with welfare reform can lead to a state of fatigue, a gradual slow wearing-out that comes with having to endure everyday hardship. Such weariness, we argue, is an integral part of understanding the everyday impacts of austerity. Yet despite the apparent centrality of weariness to issues such as precarity and poverty, there has not yet been sustained discussion into the idea of weariness itself. A common conceptualisation positions weariness as the antithesis of political action, where individuals are slowly worn down until they no longer have the strength or capacity to resist. However, this paper offers a more reparative reading of weariness, one which does not narrowly conceptualise weariness as simply a closing down. Instead we question whether weariness should necessarily always be equated with inaction. The paper focuses on forms of suffering and violence that are felt as a kind of steady on-going form of endurance, rather than as a sudden eruption. We foreground affective moments that are neither passionate nor intense, but instead listless and still, generating feelings of inertia, flatness, impasse. The paper concludes with some reflections on what we term “the right to be weary,” examining how weariness could be understood as a potential retreat from the relentless drive to move forwards, a form of passive dissent.","container-title":"Transactions of the Institute of British Geographers","DOI":"10.1111/tran.12266","ISSN":"1475-5661","issue":"1","language":"en","license":"The information, practices and views in this article are those of the author(s) and do not necessarily reflect the opinion of the Royal Geographical Society (with IBG). © 2018 The Authors. Transactions of the Institute of British Geographers published by John Wiley &amp; Sons Ltd on behalf of Royal Geographical Society (with the Institute of British Geographers).","note":"_eprint: https://onlinelibrary.wiley.com/doi/pdf/10.1111/tran.12266","page":"155-167","source":"Wiley Online Library","title":"The right to be weary? Endurance and exhaustion in austere times","title-short":"The right to be weary?","volume":"44","author":[{"family":"Wilkinson","given":"Eleanor"},{"family":"Ortega-Alcázar","given":"Iliana"}],"issued":{"date-parts":[["2019"]]}}}],"schema":"https://github.com/citation-style-language/schema/raw/master/csl-citation.json"} </w:instrText>
      </w:r>
      <w:r w:rsidRPr="00662E51">
        <w:rPr>
          <w:szCs w:val="24"/>
        </w:rPr>
        <w:fldChar w:fldCharType="separate"/>
      </w:r>
      <w:r w:rsidR="0095662D" w:rsidRPr="00662E51">
        <w:rPr>
          <w:rFonts w:cs="Times New Roman"/>
          <w:kern w:val="0"/>
        </w:rPr>
        <w:t>(Wilkinson and Ortega-Alcázar 2019)</w:t>
      </w:r>
      <w:r w:rsidRPr="00662E51">
        <w:rPr>
          <w:szCs w:val="24"/>
        </w:rPr>
        <w:fldChar w:fldCharType="end"/>
      </w:r>
      <w:r w:rsidRPr="00662E51">
        <w:rPr>
          <w:szCs w:val="24"/>
        </w:rPr>
        <w:t xml:space="preserve">. That is, such organising can remain transformative because of its orientation towards becoming answerable subjects. As Pottinger </w:t>
      </w:r>
      <w:r w:rsidRPr="00662E51">
        <w:rPr>
          <w:szCs w:val="24"/>
        </w:rPr>
        <w:fldChar w:fldCharType="begin"/>
      </w:r>
      <w:r w:rsidR="00557CA9" w:rsidRPr="00662E51">
        <w:rPr>
          <w:szCs w:val="24"/>
        </w:rPr>
        <w:instrText xml:space="preserve"> ADDIN ZOTERO_ITEM CSL_CITATION {"citationID":"8NOh73yG","properties":{"formattedCitation":"(2017, 221)","plainCitation":"(2017, 221)","noteIndex":0},"citationItems":[{"id":7051,"uris":["http://zotero.org/users/8977980/items/GZZVXTGN"],"itemData":{"id":7051,"type":"article-journal","abstract":"While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activism","volume":"49","author":[{"family":"Pottinger","given":"Laura"}],"issued":{"date-parts":[["2017"]]}},"locator":"221","label":"page","suppress-author":true}],"schema":"https://github.com/citation-style-language/schema/raw/master/csl-citation.json"} </w:instrText>
      </w:r>
      <w:r w:rsidRPr="00662E51">
        <w:rPr>
          <w:szCs w:val="24"/>
        </w:rPr>
        <w:fldChar w:fldCharType="separate"/>
      </w:r>
      <w:r w:rsidR="0095662D" w:rsidRPr="00662E51">
        <w:t>(2017, 221)</w:t>
      </w:r>
      <w:r w:rsidRPr="00662E51">
        <w:rPr>
          <w:szCs w:val="24"/>
        </w:rPr>
        <w:fldChar w:fldCharType="end"/>
      </w:r>
      <w:r w:rsidRPr="00662E51">
        <w:rPr>
          <w:szCs w:val="24"/>
        </w:rPr>
        <w:t xml:space="preserve"> describes in her study of community and ‘guerilla’ gardening, quiet activism(s) are “small, everyday, embodied acts, often of making or creating that can be either implicitly or explicitly political in nature”—they rework existing social, political, and economic arrangements in concrete ways</w:t>
      </w:r>
      <w:r w:rsidR="001D75AE">
        <w:rPr>
          <w:szCs w:val="24"/>
        </w:rPr>
        <w:t xml:space="preserve"> </w:t>
      </w:r>
      <w:r w:rsidR="00BE5B68">
        <w:rPr>
          <w:szCs w:val="24"/>
        </w:rPr>
        <w:fldChar w:fldCharType="begin"/>
      </w:r>
      <w:r w:rsidR="00BE5B68">
        <w:rPr>
          <w:szCs w:val="24"/>
        </w:rPr>
        <w:instrText xml:space="preserve"> ADDIN ZOTERO_ITEM CSL_CITATION {"citationID":"osCz8g5H","properties":{"formattedCitation":"(see also Askins 2014 on \\uc0\\u8216{}quiet politics\\uc0\\u8217{})","plainCitation":"(see also Askins 2014 on ‘quiet politics’)","noteIndex":0},"citationItems":[{"id":7180,"uris":["http://zotero.org/users/8977980/items/6VHU98IS"],"itemData":{"id":7180,"type":"article-journal","abstract":"This paper draws on fieldwork with a befriending scheme that pairs refugees, asylum seekers and local residents in the north east of England. It explores the ways in which a ?quiet politics? of encounter, embedded in intimate relationships, is caught up in and productive of complex inter-scale geographies, highlighting the ebbs and flows across security and insecurity. Critically, it foregrounds the relationality of emotions in enabling and maintaining intimate-geopolitics.","container-title":"Area","DOI":"10.1111/area.12138_5","ISSN":"0004-0894","issue":"4","page":"353-354","publisher":"John Wiley &amp; Sons, Ltd","source":"rgs-ibg.onlinelibrary.wiley.com (Atypon)","title":"A quiet politics of being together: Miriam and Rose","title-short":"A quiet politics of being together","volume":"46","author":[{"family":"Askins","given":"Kye"}],"issued":{"date-parts":[["2014",12]]}},"prefix":"see also","suffix":"on \"quiet politics\""}],"schema":"https://github.com/citation-style-language/schema/raw/master/csl-citation.json"} </w:instrText>
      </w:r>
      <w:r w:rsidR="00BE5B68">
        <w:rPr>
          <w:szCs w:val="24"/>
        </w:rPr>
        <w:fldChar w:fldCharType="separate"/>
      </w:r>
      <w:r w:rsidR="00BE5B68" w:rsidRPr="00BE5B68">
        <w:rPr>
          <w:rFonts w:cs="Times New Roman"/>
          <w:kern w:val="0"/>
        </w:rPr>
        <w:t>(see also Askins 2014 on ‘quiet politics’)</w:t>
      </w:r>
      <w:r w:rsidR="00BE5B68">
        <w:rPr>
          <w:szCs w:val="24"/>
        </w:rPr>
        <w:fldChar w:fldCharType="end"/>
      </w:r>
      <w:r w:rsidRPr="00662E51">
        <w:rPr>
          <w:szCs w:val="24"/>
        </w:rPr>
        <w:t xml:space="preserve">. Linking this viewpoint back to acts and accommodation, then, reinforces the importance of thinking expansively about what activism ‘counts’ and </w:t>
      </w:r>
      <w:r w:rsidRPr="00662E51">
        <w:rPr>
          <w:i/>
          <w:iCs/>
          <w:szCs w:val="24"/>
        </w:rPr>
        <w:t>how</w:t>
      </w:r>
      <w:r w:rsidRPr="00662E51">
        <w:rPr>
          <w:szCs w:val="24"/>
        </w:rPr>
        <w:t xml:space="preserve"> it counts. That is, to maintain conceptual clarity, my emphasis here is on activism that </w:t>
      </w:r>
      <w:r w:rsidRPr="00662E51">
        <w:rPr>
          <w:i/>
          <w:iCs/>
          <w:szCs w:val="24"/>
        </w:rPr>
        <w:t>transforms</w:t>
      </w:r>
      <w:r w:rsidRPr="00662E51">
        <w:rPr>
          <w:szCs w:val="24"/>
        </w:rPr>
        <w:t xml:space="preserve"> subjects into answerable ones </w:t>
      </w:r>
      <w:r w:rsidRPr="00662E51">
        <w:rPr>
          <w:szCs w:val="24"/>
        </w:rPr>
        <w:fldChar w:fldCharType="begin"/>
      </w:r>
      <w:r w:rsidR="00557CA9" w:rsidRPr="00662E51">
        <w:rPr>
          <w:szCs w:val="24"/>
        </w:rPr>
        <w:instrText xml:space="preserve"> ADDIN ZOTERO_ITEM CSL_CITATION {"citationID":"3VAJy18q","properties":{"formattedCitation":"(see also Roy and Neveu 2023)","plainCitation":"(see also Roy and Neveu 2023)","noteIndex":0},"citationItems":[{"id":6273,"uris":["http://zotero.org/users/8977980/items/DA7DH2T6"],"itemData":{"id":6273,"type":"article-journal","container-title":"Citizenship Studies","DOI":"10.1080/13621025.2023.2171254","ISSN":"1362-1025, 1469-3593","issue":"3","journalAbbreviation":"Citizenship Studies","language":"en","page":"385-405","source":"DOI.org (Crossref)","title":"A philosophy of the theory of “acts of citizenship” woven into the fabric of a political anthropology of citizenship","volume":"27","author":[{"family":"Roy","given":"Martin"},{"family":"Neveu","given":"Catherine"}],"issued":{"date-parts":[["2023",4,3]]}},"prefix":"see also"}],"schema":"https://github.com/citation-style-language/schema/raw/master/csl-citation.json"} </w:instrText>
      </w:r>
      <w:r w:rsidRPr="00662E51">
        <w:rPr>
          <w:szCs w:val="24"/>
        </w:rPr>
        <w:fldChar w:fldCharType="separate"/>
      </w:r>
      <w:r w:rsidR="0095662D" w:rsidRPr="00662E51">
        <w:t>(see also Roy and Neveu 2023)</w:t>
      </w:r>
      <w:r w:rsidRPr="00662E51">
        <w:rPr>
          <w:szCs w:val="24"/>
        </w:rPr>
        <w:fldChar w:fldCharType="end"/>
      </w:r>
      <w:r w:rsidRPr="00662E51">
        <w:rPr>
          <w:szCs w:val="24"/>
        </w:rPr>
        <w:t xml:space="preserve">. Thus, this thesis is a call for scholarship to broaden the scope of activism to consider quieter, accommodative, and everyday forms.  </w:t>
      </w:r>
    </w:p>
    <w:p w14:paraId="35B8F4F6" w14:textId="6A30CB8E" w:rsidR="00B2628A" w:rsidRPr="00662E51" w:rsidRDefault="00B2628A" w:rsidP="00F56305">
      <w:pPr>
        <w:spacing w:line="360" w:lineRule="auto"/>
        <w:ind w:left="0" w:firstLine="576"/>
        <w:rPr>
          <w:szCs w:val="24"/>
        </w:rPr>
      </w:pPr>
      <w:r w:rsidRPr="00662E51">
        <w:rPr>
          <w:szCs w:val="24"/>
        </w:rPr>
        <w:t xml:space="preserve">Another contribution rests in the use of authoritarian neoliberalism to interpret accommodative acts. Doing so allows me to argue for two new dimensions to the theory of acts. First, is to highlight the importance of scale to acts. Second, is to broaden its scope to consider citizenship under </w:t>
      </w:r>
      <w:r w:rsidR="000436EE" w:rsidRPr="000436EE">
        <w:rPr>
          <w:szCs w:val="24"/>
        </w:rPr>
        <w:t xml:space="preserve">authoritarian </w:t>
      </w:r>
      <w:r w:rsidRPr="00662E51">
        <w:rPr>
          <w:szCs w:val="24"/>
        </w:rPr>
        <w:t xml:space="preserve">neoliberalism. Citizenship acts are typically oriented towards the nation state, as it often has the legal power to fulfil activist demands </w:t>
      </w:r>
      <w:r w:rsidRPr="00662E51">
        <w:rPr>
          <w:szCs w:val="24"/>
        </w:rPr>
        <w:fldChar w:fldCharType="begin"/>
      </w:r>
      <w:r w:rsidR="008835AB" w:rsidRPr="00662E51">
        <w:rPr>
          <w:szCs w:val="24"/>
        </w:rPr>
        <w:instrText xml:space="preserve"> ADDIN ZOTERO_ITEM CSL_CITATION {"citationID":"lrWKZxF8","properties":{"formattedCitation":"(e.g., Barbero 2012; Darling 2014; Nyers 2008; Saeidi 2010)","plainCitation":"(e.g., Barbero 2012; Darling 2014; Nyers 2008; Saeidi 2010)","noteIndex":0},"citationItems":[{"id":3274,"uris":["http://zotero.org/users/8977980/items/U7NNX2E6"],"itemData":{"id":3274,"type":"article-journal","abstract":"This article investigates the acts of protest that occurred in the city of Barcelona and other Spanish cities in 2001 in response to imminent toughening of the Foreigners? law 8/2000. The sit-ins, demonstrations and hunger strikes led to negotiation with the government and the government?s acceptance of some of the undocumented migrants or ?sinpapeles? demands for regularization of their status. At the same time, the sinpapeles also expressed a critique of the entire anti-immigrant border regime. These events demonstrated that citizenship could not be viewed exclusively as a fixed regime. Rather, it was a site for legal and political contestation. With the emergence of new subjects as claimants of rights, a number of scholars have pointed to the need for an alternative vocabulary of citizenship studies, one that includes certain practices that were previously excluded. The concept ?acts of citizenship? offers an approach to investigating such actions that considers actors not currently recognized as legal and political subjects. Applying this concept to the struggles of the sinpapeles, this article demonstrates how a number of acts converted previously undocumented immigrants into subjects of legaity, and to a certain extent, into citizens.","container-title":"Social &amp; Legal Studies","DOI":"10.1177/0964663912455944","ISSN":"0964-6639","issue":"4","page":"529-547","publisher":"SAGE Publications Ltd","source":"SAGE Journals","title":"Expanding Acts of Citizenship: The Struggles of Sinpapeles Migrants","title-short":"Expanding Acts of Citizenship","volume":"21","author":[{"family":"Barbero","given":"Iker"}],"issued":{"date-parts":[["2012",12,1]]}},"prefix":"e.g., "},{"id":3275,"uris":["http://zotero.org/users/8977980/items/ERTQGRHZ"],"itemData":{"id":3275,"type":"article-journal","abstract":"This paper explores the ways in which practices of asylum governance serve to depoliticise those seeking asylum in the UK. In critiquing claims over the “post-political” nature of contemporary governance, the paper proposes a focus upon situated practices of depoliticisation which displace those seeking asylum through the production of specific sites of accommodation and specific discourses of risk, security and moralised concern. The paper questions the tendency within “post-political” thought to strip the potential of modes of informal citizenship through arguing that minor acts of resistance are ineffectual and illusory. In response, the paper explores irregular migrant's “acts of citizenship”, and suggests that such prosaic acts can be powerful forms of political interruption through which new ways of seeing asylum are constructed. The paper concludes by suggesting that an incremental politics orientated around such acts of interruption is essential to challenge the material, affective and discursive closures of asylum domopolitics.","container-title":"Antipode","DOI":"10.1111/anti.12026","ISSN":"1467-8330","issue":"1","language":"en","note":"_eprint: https://onlinelibrary.wiley.com/doi/pdf/10.1111/anti.12026","page":"72-91","source":"Wiley Online Library","title":"Asylum and the Post-Political: Domopolitics, Depoliticisation and Acts of Citizenship","title-short":"Asylum and the Post-Political","volume":"46","author":[{"family":"Darling","given":"Jonathan"}],"issued":{"date-parts":[["2014"]]}}},{"id":274,"uris":["http://zotero.org/users/8977980/items/CJIY3UC6"],"itemData":{"id":274,"type":"chapter","abstract":"Politics, ethics, aesthetics -- Theorizing acts of citizenship / Engin F. Isin -- Can an act of citizenship be creative? / Melanie White -- What Levinas can and cannot teach us about mediating acts of citizenship / Bettina Bergo -- Acts I : Heroic intrusions and the body of law -- Act 1 : Abraham's sacrifice / Charles Wells -- Act 2 : Antigone's offering / Charles Wells -- Act 3 : Socrates's death / Bora Ali Isyar -- Act 4 : Euthanasia / Bora Ali Isyar -- Act 5 : Pat Tillman: soldier-citizen-hero? / Darryl Burgwin -- Citizens, strangers, aliens, outcasts -- Citizenship without acts? With Tocqueville in America / Brian C.J. Singer -- Acts of piety : the political and the religious or a tale of two cities / Bryan S. Turner -- Arendt's citizenship and citizen participation in disappearing Dublin / Kieran Bonner -- No one is illegal between city and nation / Peter Nyers -- Acts of demonstration : mapping the territory of (non- ) citizenship / William Walters -- Acts II : Exclusions without names -- Act 6 : Promising to become European / Erkan Ercel -- Act 7 : Checkpoint gazes / Irus Braverman -- Act 8 : The Romani / Ebru Üstündag -- Act 9 : Return to Guatemala / Karine Côté-Boucher -- Act 10 : Unintentional acts of citizenship (the joke) / Ian Morrison -- Sites and scales of answerability -- Citizenship, art and the voices of the city: Wodiczko's the homeless projection / Fred Evans -- Acts of Chinese citizenship : the tank man and democracy-to-come / Yon Hsu -- Answerability with cosmopolitan intent : an ethics based politics for acts of urban citizenship / Greg M. Nielsen -- Acts III : Rituals and performance -- Act 11 : Acts of commemoration / Ian Morrison -- Act 12 : Non-citizens' politics / John Saunders -- Act 13 : flash mobs / John Saunders -- Act 14 : Spike Lee's 25th hour / Erkan Ercel.","call-number":"NetLibrary, 323.6 ACT, 323.6 ISI","container-title":"Acts of Citizenship","ISBN":"978-1-84813-263-4","language":"eng","page":"160-81","publisher":"Zed Books Ltd","publisher-place":"London, UK","title":"No One Is Illegal Between City and Nation","editor":[{"family":"Isin","given":"Engin"},{"family":"Nielsen","given":"Greg Marc"}],"author":[{"family":"Nyers","given":"Peter"}],"accessed":{"date-parts":[["2022",2,3]]},"issued":{"date-parts":[["2008"]]}}},{"id":4395,"uris":["http://zotero.org/users/8977980/items/4WV52Z3G"],"itemData":{"id":4395,"type":"article-journal","container-title":"Citizenship Studies","DOI":"10.1080/13621021003594734","ISSN":"1362-1025, 1469-3593","issue":"2","journalAbbreviation":"Citizenship Studies","language":"en","page":"113-126","source":"DOI.org (Crossref)","title":"Creating the Islamic Republic of Iran: wives and daughters of martyrs, and acts of citizenship","title-short":"Creating the Islamic Republic of Iran","volume":"14","author":[{"family":"Saeidi","given":"Shirin"}],"issued":{"date-parts":[["2010",4]]}}}],"schema":"https://github.com/citation-style-language/schema/raw/master/csl-citation.json"} </w:instrText>
      </w:r>
      <w:r w:rsidRPr="00662E51">
        <w:rPr>
          <w:szCs w:val="24"/>
        </w:rPr>
        <w:fldChar w:fldCharType="separate"/>
      </w:r>
      <w:r w:rsidR="0095662D" w:rsidRPr="00662E51">
        <w:t>(e.g., Barbero 2012; Darling 2014; Nyers 2008; Saeidi 2010)</w:t>
      </w:r>
      <w:r w:rsidRPr="00662E51">
        <w:rPr>
          <w:szCs w:val="24"/>
        </w:rPr>
        <w:fldChar w:fldCharType="end"/>
      </w:r>
      <w:r w:rsidRPr="00662E51">
        <w:rPr>
          <w:szCs w:val="24"/>
        </w:rPr>
        <w:t xml:space="preserve">. Nevertheless, the framework remains flexible enough to consider demands made to other state scales. Considering most of BFYA’s acts were targeted at Haringey Council, my investigation breaks new ground by applying acts to the local scale </w:t>
      </w:r>
      <w:r w:rsidRPr="00662E51">
        <w:rPr>
          <w:szCs w:val="24"/>
        </w:rPr>
        <w:fldChar w:fldCharType="begin"/>
      </w:r>
      <w:r w:rsidR="008835AB" w:rsidRPr="00662E51">
        <w:rPr>
          <w:szCs w:val="24"/>
        </w:rPr>
        <w:instrText xml:space="preserve"> ADDIN ZOTERO_ITEM CSL_CITATION {"citationID":"IHL8DcJC","properties":{"formattedCitation":"(cf. Pontrandolfo 2018)","plainCitation":"(cf. Pontrandolfo 2018)","noteIndex":0},"citationItems":[{"id":1415,"uris":["http://zotero.org/users/8977980/items/B2S7Z254"],"itemData":{"id":1415,"type":"article-journal","abstract":"This article presents the case study of a community-based Roma struggle to challenge categorisations, improve housing conditions and access citizenship rights. It is an ethnographic account of the citizenship enactments that a Roma family network, which migrated from Romania to Italy, has been pursuing since its arrival in the southern Italian town of Bari. The aim is to promote the value of ethnographic research in understanding the numerous, complex ways in which 'being political' among Roma is possible. This can take place not only through elite Roma activism, or by communities of Roma producing 'hidden transcripts', but also through community-based 'acts of citizenship'.","container-title":"Nomadic Peoples","ISSN":"0822-7942","issue":"1","page":"83-103","publisher":"White Horse Press","source":"JSTOR","title":"Roma 'Acts of Citizenship': Negotiating Categories and Housing Solutions","title-short":"ROMA 'ACTS OF CITIZENSHIP'","volume":"22","author":[{"family":"Pontrandolfo","given":"Stefania"}],"issued":{"date-parts":[["2018"]]}},"prefix":"cf. "}],"schema":"https://github.com/citation-style-language/schema/raw/master/csl-citation.json"} </w:instrText>
      </w:r>
      <w:r w:rsidRPr="00662E51">
        <w:rPr>
          <w:szCs w:val="24"/>
        </w:rPr>
        <w:fldChar w:fldCharType="separate"/>
      </w:r>
      <w:r w:rsidR="0095662D" w:rsidRPr="00662E51">
        <w:t>(cf. Pontrandolfo 2018)</w:t>
      </w:r>
      <w:r w:rsidRPr="00662E51">
        <w:rPr>
          <w:szCs w:val="24"/>
        </w:rPr>
        <w:fldChar w:fldCharType="end"/>
      </w:r>
      <w:r w:rsidRPr="00662E51">
        <w:rPr>
          <w:szCs w:val="24"/>
        </w:rPr>
        <w:t xml:space="preserve">. </w:t>
      </w:r>
      <w:r w:rsidR="00B6581A" w:rsidRPr="00662E51">
        <w:rPr>
          <w:szCs w:val="24"/>
        </w:rPr>
        <w:t xml:space="preserve">Doing so not only </w:t>
      </w:r>
      <w:r w:rsidR="00747D46" w:rsidRPr="00662E51">
        <w:rPr>
          <w:szCs w:val="24"/>
        </w:rPr>
        <w:t xml:space="preserve">recognises </w:t>
      </w:r>
      <w:r w:rsidR="00674B0D" w:rsidRPr="00662E51">
        <w:rPr>
          <w:szCs w:val="24"/>
        </w:rPr>
        <w:t xml:space="preserve">the </w:t>
      </w:r>
      <w:r w:rsidR="00747D46" w:rsidRPr="00662E51">
        <w:rPr>
          <w:szCs w:val="24"/>
        </w:rPr>
        <w:t xml:space="preserve">methodological nationalism </w:t>
      </w:r>
      <w:r w:rsidR="00674B0D" w:rsidRPr="00662E51">
        <w:rPr>
          <w:szCs w:val="24"/>
        </w:rPr>
        <w:t xml:space="preserve">of the </w:t>
      </w:r>
      <w:r w:rsidR="00C71591" w:rsidRPr="00662E51">
        <w:rPr>
          <w:szCs w:val="24"/>
        </w:rPr>
        <w:t xml:space="preserve">subfield </w:t>
      </w:r>
      <w:r w:rsidR="00747D46" w:rsidRPr="00662E51">
        <w:rPr>
          <w:szCs w:val="24"/>
        </w:rPr>
        <w:fldChar w:fldCharType="begin"/>
      </w:r>
      <w:r w:rsidR="008835AB" w:rsidRPr="00662E51">
        <w:rPr>
          <w:szCs w:val="24"/>
        </w:rPr>
        <w:instrText xml:space="preserve"> ADDIN ZOTERO_ITEM CSL_CITATION {"citationID":"1TcMiNUM","properties":{"formattedCitation":"(Beck 2007; Beck and Beck-Gernsheim 2009; Wimmer and Glick Schiller 2002)","plainCitation":"(Beck 2007; Beck and Beck-Gernsheim 2009; Wimmer and Glick Schiller 2002)","noteIndex":0},"citationItems":[{"id":6783,"uris":["http://zotero.org/users/8977980/items/SIBZULEB"],"itemData":{"id":6783,"type":"article-journal","container-title":"Theory, Culture &amp; Society","DOI":"10.1177/02632764070240072505","ISSN":"0263-2764","issue":"7-8","language":"EN","page":"286-290","publisher":"SAGE Publications Ltd","source":"SAGE Journals","title":"The Cosmopolitan Condition: Why Methodological Nationalism Fails","title-short":"The Cosmopolitan Condition","volume":"24","author":[{"family":"Beck","given":"Ulrich"}],"issued":{"date-parts":[["2007",12,1]]}}},{"id":6791,"uris":["http://zotero.org/users/8977980/items/84UUA9Q5"],"itemData":{"id":6791,"type":"article-journal","abstract":"Is there such a thing as ‘global generations’? What does ‘global generation’ mean? Can we, as we did so far, still understand the concept of generation in a national frame of reference? Or do we need a cosmopolitan outlook to understand the generational dynamics that exacerbate inter-generational tensions within nations and intra-generational affinities and conflicts between nations? For example, globalized ‘Consumer Generations’ comprise very different fractions; not only those who buy and live with consumer brands and images, but also those who are unable to buy and live with these symbols, but risk their lives to become migrants to the consumer paradises of the Western World or Dubai. Our thesis is: A cosmopolitan sociology is required in order to understand the situations, impacts, divisions, contradictions, and desires of the global generations. A cosmopolitan sociology means a sociology that gets rid off ‘methodological nationalism’ and takes globality and (human) social life on planet Earth seriously. A cosmopolitan sociology differs from a universalistic one by starting, not from anything supposedly general, but from global variability, global interconnectedness, and global intercommunication. It means treating the global generations not as a single, universal generation with common symbols and a unique consciousness. Rather, it conceptualizes and analyses a multiplicity of global generations that appear as a set of intertwined transnational generational constellations.","container-title":"European Sociological Review","DOI":"10.1093/esr/jcn032","ISSN":"0266-7215","issue":"1","journalAbbreviation":"Eur Sociol Rev","page":"25-36","source":"Silverchair","title":"Global Generations and the Trap of Methodological Nationalism For a Cosmopolitan Turn in the Sociology of Youth and Generation","volume":"25","author":[{"family":"Beck","given":"Ulrich"},{"family":"Beck-Gernsheim","given":"Elisabeth"}],"issued":{"date-parts":[["2009",2,1]]}}},{"id":6784,"uris":["http://zotero.org/users/8977980/items/PD5YHWGU"],"itemData":{"id":6784,"type":"article-journal","abstract":"Methodological nationalism is understood as the assumption that the nation/state/society is the natural social and political form of the modern world. We distinguish three modes of methodological nationalism that have characterized mainstream social science, and then show how these have influenced research on migration. We discover parallels between nationalist thinking and the conceptualization of migration in postwar social sciences. In a historical tour d’horizon, we show that this mainstream concept has developed in close interaction with nation–state building processes in the West and the role that immigration and integration policies have played within them. The shift towards a study of ‘transnational communities’— the last phase in this process — was more a consequence of an epistemic move away from methodological nationalism than of the appearance of new objects of observation. The article concludes by recommending new concepts for analysis that, on the one hand, are not coloured by methodological nationalism and, on the other hand, go beyond the fluidism of much contemporary social theory.","container-title":"Global Networks","DOI":"10.1111/1471-0374.00043","ISSN":"1471-0374","issue":"4","language":"en","license":"Blackwell Publishers Ltd. &amp; Global Networks Partnership 2002","note":"_eprint: https://onlinelibrary.wiley.com/doi/pdf/10.1111/1471-0374.00043","page":"301-334","source":"Wiley Online Library","title":"Methodological nationalism and beyond: nation–state building, migration and the social sciences","title-short":"Methodological nationalism and beyond","volume":"2","author":[{"family":"Wimmer","given":"Andreas"},{"family":"Glick Schiller","given":"Nina"}],"issued":{"date-parts":[["2002"]]}}}],"schema":"https://github.com/citation-style-language/schema/raw/master/csl-citation.json"} </w:instrText>
      </w:r>
      <w:r w:rsidR="00747D46" w:rsidRPr="00662E51">
        <w:rPr>
          <w:szCs w:val="24"/>
        </w:rPr>
        <w:fldChar w:fldCharType="separate"/>
      </w:r>
      <w:r w:rsidR="00747D46" w:rsidRPr="00662E51">
        <w:t>(Beck 2007; Beck and Beck-Gernsheim 2009; Wimmer and Glick Schiller 2002)</w:t>
      </w:r>
      <w:r w:rsidR="00747D46" w:rsidRPr="00662E51">
        <w:rPr>
          <w:szCs w:val="24"/>
        </w:rPr>
        <w:fldChar w:fldCharType="end"/>
      </w:r>
      <w:r w:rsidR="00747D46" w:rsidRPr="00662E51">
        <w:rPr>
          <w:szCs w:val="24"/>
        </w:rPr>
        <w:t xml:space="preserve">, but also </w:t>
      </w:r>
      <w:r w:rsidR="00C71591" w:rsidRPr="00662E51">
        <w:rPr>
          <w:szCs w:val="24"/>
        </w:rPr>
        <w:t xml:space="preserve">serves as a call for other citizenship studies scholars to consider </w:t>
      </w:r>
      <w:r w:rsidR="00DE7E12" w:rsidRPr="00662E51">
        <w:rPr>
          <w:szCs w:val="24"/>
        </w:rPr>
        <w:t xml:space="preserve">acts from a new angle. </w:t>
      </w:r>
      <w:r w:rsidRPr="00662E51">
        <w:rPr>
          <w:szCs w:val="24"/>
        </w:rPr>
        <w:t xml:space="preserve">Similarly, coupling AN and accommodative resistance broadens the concept of acts to a new class thereof—those that happen in nominal democracies that are actually authoritarian. Although doing so does risk conceptual dilution, the case of the BFYA was one of </w:t>
      </w:r>
      <w:r w:rsidRPr="00662E51">
        <w:rPr>
          <w:i/>
          <w:iCs/>
          <w:szCs w:val="24"/>
        </w:rPr>
        <w:t>transforming</w:t>
      </w:r>
      <w:r w:rsidRPr="00662E51">
        <w:rPr>
          <w:szCs w:val="24"/>
        </w:rPr>
        <w:t xml:space="preserve"> subjectivities, and so it remains a case of acts. The </w:t>
      </w:r>
      <w:r w:rsidRPr="00662E51">
        <w:rPr>
          <w:szCs w:val="24"/>
        </w:rPr>
        <w:lastRenderedPageBreak/>
        <w:t xml:space="preserve">research into the Broadwater Farm Youth Association, then, has revealed new ways of interpreting transformative activism by shifting the focus to quieter direct action amidst authoritarian neoliberalism. </w:t>
      </w:r>
    </w:p>
    <w:p w14:paraId="139A4525" w14:textId="77777777" w:rsidR="00B2628A" w:rsidRPr="00662E51" w:rsidRDefault="00B2628A" w:rsidP="00F56305">
      <w:pPr>
        <w:spacing w:line="360" w:lineRule="auto"/>
        <w:ind w:left="0"/>
        <w:rPr>
          <w:szCs w:val="24"/>
        </w:rPr>
      </w:pPr>
    </w:p>
    <w:p w14:paraId="205B5EFB" w14:textId="1D23B655" w:rsidR="00B2628A" w:rsidRPr="00662E51" w:rsidRDefault="00B2628A" w:rsidP="00F56305">
      <w:pPr>
        <w:pStyle w:val="Heading2"/>
      </w:pPr>
      <w:bookmarkStart w:id="534" w:name="_Toc213173998"/>
      <w:bookmarkStart w:id="535" w:name="_Toc216096190"/>
      <w:bookmarkStart w:id="536" w:name="_Toc221184386"/>
      <w:bookmarkStart w:id="537" w:name="_Toc231215302"/>
      <w:r w:rsidRPr="00662E51">
        <w:t>Future Research</w:t>
      </w:r>
      <w:bookmarkEnd w:id="534"/>
      <w:bookmarkEnd w:id="535"/>
      <w:bookmarkEnd w:id="536"/>
      <w:r w:rsidR="00836748">
        <w:t>:</w:t>
      </w:r>
      <w:bookmarkEnd w:id="537"/>
    </w:p>
    <w:p w14:paraId="7C4FC65F" w14:textId="77777777" w:rsidR="000B25EF" w:rsidRDefault="000B25EF" w:rsidP="003C2432">
      <w:pPr>
        <w:spacing w:line="360" w:lineRule="auto"/>
        <w:ind w:left="0"/>
        <w:rPr>
          <w:szCs w:val="24"/>
        </w:rPr>
      </w:pPr>
      <w:r w:rsidRPr="00662E51">
        <w:rPr>
          <w:szCs w:val="24"/>
        </w:rPr>
        <w:t xml:space="preserve">There are a few directions that this work could expand towards. One is to continue to engage in debates arounds citizenship acts, developing conceptual understandings of acts under authoritarian neoliberalism. Considering authoritarian neoliberalism is gaining prominence in geography </w:t>
      </w:r>
      <w:r w:rsidRPr="00662E51">
        <w:rPr>
          <w:szCs w:val="24"/>
        </w:rPr>
        <w:fldChar w:fldCharType="begin"/>
      </w:r>
      <w:r w:rsidRPr="00662E51">
        <w:rPr>
          <w:szCs w:val="24"/>
        </w:rPr>
        <w:instrText xml:space="preserve"> ADDIN ZOTERO_ITEM CSL_CITATION {"citationID":"CgTT8k0q","properties":{"formattedCitation":"(e.g., Luger and D\\uc0\\u252{}rr 2025)","plainCitation":"(e.g., Luger and Dürr 2025)","noteIndex":0},"citationItems":[{"id":6500,"uris":["http://zotero.org/users/8977980/items/MCPUJMEQ"],"itemData":{"id":6500,"type":"article-journal","abstract":"Advocating the value of an urban lens for researching and understanding illiberalism, we propose a threefold thematic anchoring for emerging inquiry into cities, framed both planetarily and locally, as containers/facilitators/mediators/conduits/nodes of illiberal ideologies, action, processes and outcomes. Our thematic approaches are: (1) that urban density can catalyse illiberalism, from grassroots coalitions (e.g. neighbourhoods) to top-down urban governance (e.g. public/private management coalitions) and the dense ‘thrown-togetherness’ of daily urban life can intensify tension, instability, fear and antagonism; (2) the urban emergency and urban crises, entangled as they are within ongoing neoliberal urbanism, facilitate illiberal responses (e.g. crises as justifications for reactionary/authoritarian policies, laws and outcomes); and (3) the urban offers a speed and virality that fosters illiberalism (e.g. platform-driven urban processes and ‘fast policies’). We suggest that the speeding-up of urban processes, long a facet of industrial capitalism, has now entered a new phase which is simultaneously catalysed by illiberal entities and ideologies (e.g. the platformed-world building of ‘NRx urbanism’), but also lays the groundwork for illiberal responses, new surveillances and authoritarian intrusions into daily life. We weave these thematic windows together with selected examples of global urban happenings and recent episodes, including in the context during and post-COVID-19. We note the proliferation of globally circulating authoritarian tendencies in urban planning, urban governance and crisis management that point to an uncomfortable reality where the urban question may, inherently, be an illiberal one. Nonetheless, we conclude on an optimistic note that illiberal urban futures are still ripe for contestation.","container-title":"Urban Studies","DOI":"10.1177/00420980251327142","ISSN":"0042-0980","language":"EN","page":"00420980251327142","publisher":"SAGE Publications Ltd","source":"SAGE Journals","title":"The urban question under illiberalism? Three thematic approaches","title-short":"The urban question under illiberalism?","author":[{"family":"Luger","given":"Jason D"},{"family":"Dürr","given":"Miklós János"}],"issued":{"date-parts":[["2025",4,12]]}},"prefix":"e.g., "}],"schema":"https://github.com/citation-style-language/schema/raw/master/csl-citation.json"} </w:instrText>
      </w:r>
      <w:r w:rsidRPr="00662E51">
        <w:rPr>
          <w:szCs w:val="24"/>
        </w:rPr>
        <w:fldChar w:fldCharType="separate"/>
      </w:r>
      <w:r w:rsidRPr="00662E51">
        <w:rPr>
          <w:rFonts w:cs="Times New Roman"/>
          <w:kern w:val="0"/>
        </w:rPr>
        <w:t>(e.g., Luger and Dürr 2025)</w:t>
      </w:r>
      <w:r w:rsidRPr="00662E51">
        <w:rPr>
          <w:szCs w:val="24"/>
        </w:rPr>
        <w:fldChar w:fldCharType="end"/>
      </w:r>
      <w:r w:rsidRPr="00662E51">
        <w:rPr>
          <w:szCs w:val="24"/>
        </w:rPr>
        <w:t xml:space="preserve">, additional work will be required to evaluate how resistance against AN can enlarge the space of citizenship even during ongoing attempts to shrink that space </w:t>
      </w:r>
      <w:r w:rsidRPr="00662E51">
        <w:rPr>
          <w:szCs w:val="24"/>
        </w:rPr>
        <w:fldChar w:fldCharType="begin"/>
      </w:r>
      <w:r w:rsidRPr="00662E51">
        <w:rPr>
          <w:szCs w:val="24"/>
        </w:rPr>
        <w:instrText xml:space="preserve"> ADDIN ZOTERO_ITEM CSL_CITATION {"citationID":"uZMFtJBO","properties":{"formattedCitation":"(Somers 2022)","plainCitation":"(Somers 2022)","noteIndex":0},"citationItems":[{"id":7066,"uris":["http://zotero.org/users/8977980/items/QEI6AUPF"],"itemData":{"id":7066,"type":"article-journal","abstract":"Twenty-five years ago the new citizenship studies rightly predicted the egregious inegalitarian effects of neoliberalism’s dismantling of the social welfare state, but misrecognised the cause as a retreat of the state and the return of unfettered market forces. That continuing misrecognition obscures the roots of today’s surging authoritarianism and the dedemocratization of citizenship. The attack on social citizenship was instead a battle over control of the predistributive powers that engineer the market economy. Because social citizenship is not merely an effect of democracy but also one of its conditions, neoliberalism weaponized the moral economy of market justice and the mechanisms of dedemocratization against expanded social rights to give cover to its now increasingly successful war against democratic citizenship.","container-title":"Citizenship Studies","DOI":"10.1080/13621025.2022.2091250","ISSN":"1362-1025","issue":"4-5","note":"_eprint: https://doi.org/10.1080/13621025.2022.2091250","page":"661-674","publisher":"Routledge","source":"Taylor and Francis+NEJM","title":"Dedemocratizing citizenship: how neoliberalism used market justice to move from welfare queening to authoritarianism in 25 short years","title-short":"Dedemocratizing citizenship","volume":"26","author":[{"family":"Somers","given":"Margaret R."}],"issued":{"date-parts":[["2022",7,4]]}}}],"schema":"https://github.com/citation-style-language/schema/raw/master/csl-citation.json"} </w:instrText>
      </w:r>
      <w:r w:rsidRPr="00662E51">
        <w:rPr>
          <w:szCs w:val="24"/>
        </w:rPr>
        <w:fldChar w:fldCharType="separate"/>
      </w:r>
      <w:r w:rsidRPr="00662E51">
        <w:t>(Somers 2022)</w:t>
      </w:r>
      <w:r w:rsidRPr="00662E51">
        <w:rPr>
          <w:szCs w:val="24"/>
        </w:rPr>
        <w:fldChar w:fldCharType="end"/>
      </w:r>
      <w:r w:rsidRPr="00662E51">
        <w:rPr>
          <w:szCs w:val="24"/>
        </w:rPr>
        <w:t xml:space="preserve">. </w:t>
      </w:r>
      <w:r>
        <w:rPr>
          <w:szCs w:val="24"/>
        </w:rPr>
        <w:t xml:space="preserve">The BFYA (Chapter 5) revealed how working </w:t>
      </w:r>
      <w:r>
        <w:rPr>
          <w:i/>
          <w:iCs/>
          <w:szCs w:val="24"/>
        </w:rPr>
        <w:t>with</w:t>
      </w:r>
      <w:r>
        <w:rPr>
          <w:szCs w:val="24"/>
        </w:rPr>
        <w:t xml:space="preserve"> and </w:t>
      </w:r>
      <w:r>
        <w:rPr>
          <w:i/>
          <w:iCs/>
          <w:szCs w:val="24"/>
        </w:rPr>
        <w:t>against</w:t>
      </w:r>
      <w:r>
        <w:rPr>
          <w:szCs w:val="24"/>
        </w:rPr>
        <w:t xml:space="preserve"> the state can bring about transformative change through accommodative resistance. Section 8.2.3 thus lays out one potential thread of new research: a quiet politics </w:t>
      </w:r>
      <w:r>
        <w:rPr>
          <w:szCs w:val="24"/>
        </w:rPr>
        <w:fldChar w:fldCharType="begin"/>
      </w:r>
      <w:r>
        <w:rPr>
          <w:szCs w:val="24"/>
        </w:rPr>
        <w:instrText xml:space="preserve"> ADDIN ZOTERO_ITEM CSL_CITATION {"citationID":"vvVDqAWh","properties":{"formattedCitation":"(Askins 2014)","plainCitation":"(Askins 2014)","noteIndex":0},"citationItems":[{"id":7180,"uris":["http://zotero.org/users/8977980/items/6VHU98IS"],"itemData":{"id":7180,"type":"article-journal","abstract":"This paper draws on fieldwork with a befriending scheme that pairs refugees, asylum seekers and local residents in the north east of England. It explores the ways in which a ?quiet politics? of encounter, embedded in intimate relationships, is caught up in and productive of complex inter-scale geographies, highlighting the ebbs and flows across security and insecurity. Critically, it foregrounds the relationality of emotions in enabling and maintaining intimate-geopolitics.","container-title":"Area","DOI":"10.1111/area.12138_5","ISSN":"0004-0894","issue":"4","page":"353-354","publisher":"John Wiley &amp; Sons, Ltd","source":"rgs-ibg.onlinelibrary.wiley.com (Atypon)","title":"A quiet politics of being together: Miriam and Rose","title-short":"A quiet politics of being together","volume":"46","author":[{"family":"Askins","given":"Kye"}],"issued":{"date-parts":[["2014",12]]}}}],"schema":"https://github.com/citation-style-language/schema/raw/master/csl-citation.json"} </w:instrText>
      </w:r>
      <w:r>
        <w:rPr>
          <w:szCs w:val="24"/>
        </w:rPr>
        <w:fldChar w:fldCharType="separate"/>
      </w:r>
      <w:r w:rsidRPr="009160E7">
        <w:t>(Askins 2014)</w:t>
      </w:r>
      <w:r>
        <w:rPr>
          <w:szCs w:val="24"/>
        </w:rPr>
        <w:fldChar w:fldCharType="end"/>
      </w:r>
      <w:r>
        <w:rPr>
          <w:szCs w:val="24"/>
        </w:rPr>
        <w:t xml:space="preserve"> or activism </w:t>
      </w:r>
      <w:r>
        <w:rPr>
          <w:szCs w:val="24"/>
        </w:rPr>
        <w:fldChar w:fldCharType="begin"/>
      </w:r>
      <w:r>
        <w:rPr>
          <w:szCs w:val="24"/>
        </w:rPr>
        <w:instrText xml:space="preserve"> ADDIN ZOTERO_ITEM CSL_CITATION {"citationID":"JfQAbven","properties":{"formattedCitation":"(Pottinger 2017)","plainCitation":"(Pottinger 2017)","noteIndex":0},"citationItems":[{"id":7051,"uris":["http://zotero.org/users/8977980/items/GZZVXTGN"],"itemData":{"id":7051,"type":"article-journal","abstract":"While traditional academic accounts of activism emphasise vocal, antagonistic and demonstrative forms of protest, geographers have begun to expand the category of activism to include modest, quotidian acts of kindness, connection and creativity. This paper outlines ‘quiet activism’ as small, everyday, embodied acts, often of making and creating, that can be either implicitly or explicitly political in nature. This concept is explored with seed savers, gardeners who cultivate fruits and vegetables and then select and save seed to provide future generations of plants for themselves and others. It draws on ethnographic research with individuals involved in a national seed conservation network (The Heritage Seed Library) and a local seed swap event (Seedy Sunday, Brighton) in the UK. These organisations connect individual seed savers and frame their quiet acts of growing and sharing as part of a broad movement to conserve biodiversity and challenge the corporate control of food and seed systems. The paper unpicks the implications of embodied activisms performed at varying volumes, and it highlights the need for scholars to attend to the differing embodiments called for by various modes of activism in order to trace their particular impacts, emotions and affects. The experiences of seed savers elucidate the particular power of small and quiet acts of making and doing to critique, subvert and rework dominant modes of production and consumption.","container-title":"Area","DOI":"10.1111/area.12318","ISSN":"1475-4762","issue":"2","language":"en","license":"© 2016 Royal Geographical Society (with the Institute of British Geographers)","note":"_eprint: https://rgs-ibg.onlinelibrary.wiley.com/doi/pdf/10.1111/area.12318","page":"215-222","source":"Wiley Online Library","title":"Planting the seeds of a quiet activism","volume":"49","author":[{"family":"Pottinger","given":"Laura"}],"issued":{"date-parts":[["2017"]]}}}],"schema":"https://github.com/citation-style-language/schema/raw/master/csl-citation.json"} </w:instrText>
      </w:r>
      <w:r>
        <w:rPr>
          <w:szCs w:val="24"/>
        </w:rPr>
        <w:fldChar w:fldCharType="separate"/>
      </w:r>
      <w:r w:rsidRPr="00C2119D">
        <w:t>(Pottinger 2017)</w:t>
      </w:r>
      <w:r>
        <w:rPr>
          <w:szCs w:val="24"/>
        </w:rPr>
        <w:fldChar w:fldCharType="end"/>
      </w:r>
      <w:r>
        <w:rPr>
          <w:szCs w:val="24"/>
        </w:rPr>
        <w:t xml:space="preserve"> that is still able to meaningfully shift subject positions. Other approaches might look at the way accommodative acts of citizenship are received and understood by state or political actors (something my research initially considered), or how scholars can more holistically interpret citizenship acts.</w:t>
      </w:r>
    </w:p>
    <w:p w14:paraId="1B7A3249" w14:textId="1CF508F1" w:rsidR="000B25EF" w:rsidRPr="00662E51" w:rsidRDefault="000B25EF" w:rsidP="000B25EF">
      <w:pPr>
        <w:spacing w:line="360" w:lineRule="auto"/>
        <w:ind w:left="0" w:firstLine="576"/>
        <w:rPr>
          <w:szCs w:val="24"/>
        </w:rPr>
      </w:pPr>
      <w:r>
        <w:rPr>
          <w:szCs w:val="24"/>
        </w:rPr>
        <w:t>A separate</w:t>
      </w:r>
      <w:r w:rsidRPr="00662E51">
        <w:rPr>
          <w:szCs w:val="24"/>
        </w:rPr>
        <w:t xml:space="preserve"> angle concerns </w:t>
      </w:r>
      <w:r w:rsidRPr="00662E51">
        <w:rPr>
          <w:i/>
          <w:iCs/>
          <w:szCs w:val="24"/>
        </w:rPr>
        <w:t>urban</w:t>
      </w:r>
      <w:r w:rsidRPr="00662E51">
        <w:rPr>
          <w:szCs w:val="24"/>
        </w:rPr>
        <w:t xml:space="preserve"> neoliberal authoritarianism, which has already been utilised in a few works </w:t>
      </w:r>
      <w:r w:rsidRPr="00662E51">
        <w:rPr>
          <w:szCs w:val="24"/>
        </w:rPr>
        <w:fldChar w:fldCharType="begin"/>
      </w:r>
      <w:r w:rsidR="00213B80">
        <w:rPr>
          <w:szCs w:val="24"/>
        </w:rPr>
        <w:instrText xml:space="preserve"> ADDIN ZOTERO_ITEM CSL_CITATION {"citationID":"NUq7zfLf","properties":{"formattedCitation":"(e.g., Can et al. 2024; \\uc0\\u214{}zata\\uc0\\u287{}an et al. 2025)","plainCitation":"(e.g., Can et al. 2024; Özatağan et al. 2025)","noteIndex":0},"citationItems":[{"id":5762,"uris":["http://zotero.org/users/8977980/items/NKYRYKPW"],"itemData":{"id":5762,"type":"article-journal","abstract":"This collection of interventions unites academics hailing from Latin America, the Middle East, Europe and the United States, reintroducing discussions on authoritarian state tactics and coercion into urban renewal dialogues within urban studies. During our discussions, it became apparent that urban authoritarian tactics are crucial in contemporary state-led gentrification efforts. In this introduction to the series, we aim to merge research on authoritarian measures within neoliberalism with the literature concerning urban transformation and gentrification. By doing so, we bring urban studies into wider discussions regarding the overarching trend of authoritarianism on a global scale within sociology, political economy and international studies.","container-title":"International Journal of Urban and Regional Research","DOI":"10.1111/1468-2427.13236","ISSN":"1468-2427","issue":"n/a","language":"en","note":"_eprint: https://onlinelibrary.wiley.com/doi/pdf/10.1111/1468-2427.13236","source":"Wiley Online Library","title":"State-Led Gentrification Against the Backdrop of Urban Authoritarian Practices","URL":"https://onlinelibrary.wiley.com/doi/abs/10.1111/1468-2427.13236","volume":"n/a","author":[{"family":"Can","given":"Aysegul"},{"family":"Jenss","given":"Alke"},{"family":"Fanton","given":"Hugo"}],"accessed":{"date-parts":[["2024",6,18]]},"issued":{"date-parts":[["2024",6,4]]}},"prefix":"e.g., "},{"id":7104,"uris":["http://zotero.org/users/8977980/items/52EDWD4T","http://zotero.org/users/8977980/items/35SNJANE"],"itemData":{"id":7104,"type":"article-journal","abstract":"This Special Issue presents ‘authoritarian neoliberal urbanism’ as an empirical marker and a concept that signposts the ascendence of a new constellation in which authoritarianism becomes an ever-growing force in our cities in the neoliberal present, not only structuring how urban space is experienced but also repurposing it to reinforce authoritarian legitimacy and consolidate political power. This paper introduces six contributions that empirically or conceptually uncover some of the complexities of this new constellation which have remained untracked, unnarrated and misdiagnosed. We draw on the collective insights from these contributions to posit that authoritarian neoliberal urbanism is neither monolithic nor uniformly oppressive. It adapts to local contexts and conjunctural shifts, is (re)configured through both formal and informal, flexible and rigid, (il)legitimate and illegible governance tools and through complex engagements between the state, market actors and urban populations alike, often in tandem with the state’s continuous effort to (re)secure political legitimacy. Such paradoxes, we suggest, urge taking seriously the variegated, contested, and evolving nature of authoritarian neoliberal urbanism(s) as well as their context-specific and situated contradictions and ambiguities. It is within these contradictions and ambiguities that alternatives to neoliberal continuity may be found and the intensifying slide towards illiberal form(s) of capitalism can be transcended.","container-title":"Urban Studies","DOI":"10.1177/00420980251361667","ISSN":"0042-0980","issue":"15","language":"EN","page":"2917-2934","publisher":"SAGE Publications Ltd","source":"SAGE Journals","title":"Neoliberal crises and the city: Wrestling with authoritarian neoliberal urbanism(s)","title-short":"Neoliberal crises and the city","volume":"62","author":[{"family":"Özatağan","given":"Güldem"},{"family":"Fearn","given":"Gareth"},{"family":"Eraydin","given":"Ayda"}],"issued":{"date-parts":[["2025",11,1]]}}}],"schema":"https://github.com/citation-style-language/schema/raw/master/csl-citation.json"} </w:instrText>
      </w:r>
      <w:r w:rsidRPr="00662E51">
        <w:rPr>
          <w:szCs w:val="24"/>
        </w:rPr>
        <w:fldChar w:fldCharType="separate"/>
      </w:r>
      <w:r w:rsidRPr="00EF5E38">
        <w:rPr>
          <w:rFonts w:cs="Times New Roman"/>
          <w:kern w:val="0"/>
        </w:rPr>
        <w:t>(e.g., Can et al. 2024; Özatağan et al. 2025)</w:t>
      </w:r>
      <w:r w:rsidRPr="00662E51">
        <w:rPr>
          <w:szCs w:val="24"/>
        </w:rPr>
        <w:fldChar w:fldCharType="end"/>
      </w:r>
      <w:r w:rsidRPr="00662E51">
        <w:rPr>
          <w:szCs w:val="24"/>
        </w:rPr>
        <w:t>. However, further investigations are required to more holistically capture how varying scales of the state work together (and sometimes against each other) in relation to capitalist accumulation. For instance,</w:t>
      </w:r>
      <w:r w:rsidR="00B76E74">
        <w:rPr>
          <w:szCs w:val="24"/>
        </w:rPr>
        <w:t xml:space="preserve"> Bathla</w:t>
      </w:r>
      <w:r w:rsidR="000A1234">
        <w:rPr>
          <w:szCs w:val="24"/>
        </w:rPr>
        <w:t>’s</w:t>
      </w:r>
      <w:r w:rsidRPr="006F6D54">
        <w:rPr>
          <w:szCs w:val="24"/>
        </w:rPr>
        <w:t xml:space="preserve"> </w:t>
      </w:r>
      <w:r w:rsidRPr="006F6D54">
        <w:rPr>
          <w:szCs w:val="24"/>
        </w:rPr>
        <w:fldChar w:fldCharType="begin"/>
      </w:r>
      <w:r>
        <w:rPr>
          <w:szCs w:val="24"/>
        </w:rPr>
        <w:instrText xml:space="preserve"> ADDIN ZOTERO_ITEM CSL_CITATION {"citationID":"gM3OIFrA","properties":{"formattedCitation":"(2025)","plainCitation":"(2025)","noteIndex":0},"citationItems":[{"id":6499,"uris":["http://zotero.org/users/8977980/items/N2RJGHJS"],"itemData":{"id":6499,"type":"article-journal","abstract":"In the context of the prevailing global rightward and populist shift, there exists a largely unexplored yet profound nexus between authoritarian neoliberalism and infrastructure-led extended urbanisation beyond the city. Drawing on insights from extensive ethnographic fieldwork conducted along India’s highway corridors, this paper examines the authoritarianism and social fragmentation inherent in the state’s attempts to extend infrastructure-led urbanisation into economically bypassed regions. By exploring the intersections between the construction of recent highway corridors through previously bypassed regions inhabited by marginalised religious and caste groups and the outbreak of state-backed violence, this paper analyses authoritarian urbanism emerging amidst social struggles over enclosure and urbanisation of agrarian land. Specifically, the paper delves in depth into the planning of two recent highway corridors – the Delhi–Mumbai Expressway and the India–Myanmar–Thailand highway – and the escalation of state-sponsored religious conflicts and polarisation in the regions these corridors traverse. This research demonstrates how national-scale infrastructure projects, such as the Bharatmala highway programme, allow for the framing of a national-popular project that selectively incorporates hegemonic socio-religious groups such as certain Hindu caste groups who have reaped the primary benefits of economic liberalisation while disenfranchising marginalised communities. The paper defines authoritarian urbanism as a more-than-neoliberal configuration emerging from a toxic amalgamation of state power, bellicose militarism, infrastructure-led urbanisation and religious nationalism. It concludes that this emerging authoritarian urbanism obscures the neoliberal crises of jobless growth and fails to address the uneven development and social inequalities resulting from infrastructure-led urbanisation.","container-title":"Urban Studies","DOI":"10.1177/00420980241309737","ISSN":"0042-0980, 1360-063X","journalAbbreviation":"Urban Studies","language":"en","page":"00420980241309737","source":"DOI.org (Crossref)","title":"Authoritarian urbanism beyond the city: Infrastructure-led extended urbanisation and India’s more-than-neoliberal configurations","title-short":"Authoritarian urbanism beyond the city","author":[{"family":"Bathla","given":"Nitin"}],"issued":{"date-parts":[["2025",1,24]]}},"suppress-author":true}],"schema":"https://github.com/citation-style-language/schema/raw/master/csl-citation.json"} </w:instrText>
      </w:r>
      <w:r w:rsidRPr="006F6D54">
        <w:rPr>
          <w:szCs w:val="24"/>
        </w:rPr>
        <w:fldChar w:fldCharType="separate"/>
      </w:r>
      <w:r w:rsidR="00BB6947" w:rsidRPr="00BB6947">
        <w:t>(2025)</w:t>
      </w:r>
      <w:r w:rsidRPr="006F6D54">
        <w:rPr>
          <w:szCs w:val="24"/>
        </w:rPr>
        <w:fldChar w:fldCharType="end"/>
      </w:r>
      <w:r>
        <w:rPr>
          <w:szCs w:val="24"/>
        </w:rPr>
        <w:t xml:space="preserve"> interrogation of infrastructure projects in India considers infrastructure as national-populist projects but does not dig deep on how the various scales of the Indian state (and its parastatal organs) interact with each other. Given that Chapters 6 and 7 highlight the importance of scale to AN, additional research is necessary to interrogate how differing scales of the state fit together.</w:t>
      </w:r>
      <w:r w:rsidR="00711D9E">
        <w:rPr>
          <w:szCs w:val="24"/>
        </w:rPr>
        <w:t xml:space="preserve"> In addition, as I have reiterated throughout this document, more scholarship on the role of political parties is necessary to understand ‘actually existing’ neoliberalism and its related authoritarian practices.</w:t>
      </w:r>
      <w:r>
        <w:rPr>
          <w:szCs w:val="24"/>
        </w:rPr>
        <w:t xml:space="preserve"> Similarly, </w:t>
      </w:r>
      <w:r w:rsidRPr="00662E51">
        <w:rPr>
          <w:szCs w:val="24"/>
        </w:rPr>
        <w:t xml:space="preserve">neoliberal authoritarian reactions to uprisings </w:t>
      </w:r>
      <w:r w:rsidRPr="00662E51">
        <w:rPr>
          <w:szCs w:val="24"/>
        </w:rPr>
        <w:lastRenderedPageBreak/>
        <w:t>like Tottenham’s 1985 and 2011 so-called riots are under</w:t>
      </w:r>
      <w:r>
        <w:rPr>
          <w:szCs w:val="24"/>
        </w:rPr>
        <w:t>-researched</w:t>
      </w:r>
      <w:r w:rsidRPr="00662E51">
        <w:rPr>
          <w:szCs w:val="24"/>
        </w:rPr>
        <w:t xml:space="preserve">. Given that urban uprisings have been linked to major regeneration schemes </w:t>
      </w:r>
      <w:r w:rsidRPr="00662E51">
        <w:rPr>
          <w:szCs w:val="24"/>
        </w:rPr>
        <w:fldChar w:fldCharType="begin"/>
      </w:r>
      <w:r w:rsidRPr="00662E51">
        <w:rPr>
          <w:szCs w:val="24"/>
        </w:rPr>
        <w:instrText xml:space="preserve"> ADDIN ZOTERO_ITEM CSL_CITATION {"citationID":"flD0cdpE","properties":{"formattedCitation":"(Boykoff and Fussey 2014; Wetherell 2025)","plainCitation":"(Boykoff and Fussey 2014; Wetherell 2025)","noteIndex":0},"citationItems":[{"id":6961,"uris":["http://zotero.org/users/8977980/items/UELUQWNU"],"itemData":{"id":6961,"type":"article-journal","abstract":"When London organisers bid on the 2012 Summer Olympics, they promised an array of legacies, from economic and environmental to cultural and sport-related. In bid materials, Lord Sebastian Coe and his colleagues put forth a four-pronged vision for the Games: providing an unforgettable experience for athletes; forging a British sport legacy; regenerating East London economically and socially; and championing the Olympic Movement and the International Olympic Committee. But the 2012 London Olympics tendered a legacy not touted in bid materials: a revamped security state and riled-up activist communities. This article examines the dialectics of restriction and resistance: the ever-present dance between security forces and activists as they jockey for position and advantage in the public sphere. Drawing from government documents, media accounts, ethnographies and interviews with activists and security practitioners, we analyse these dialectics as played out in London in the run-up to, during and after the Olympics. First, we analyse literatures on repressive and coercive state policies and on the dissent and activism they inspire, giving special attention to specific Olympic processes. We then consider the urban setting that not only stages the Games, but also animates specific tensions on which security agencies and activists converge. This discussion is developed in the following section where we consider the measures adopted by state and private security forces for the London Games and examine the activist response to the Olympic juggernaut and how campaigners were replying to – sometimes tacitly and at other times explicitly – the state's actions. The paper concludes by considering how security practices, activism and their interrelationships contribute towards a range of less-visible legacies.","container-title":"Contemporary Social Science","DOI":"10.1080/21582041.2013.838292","ISSN":"2158-2041","issue":"2","note":"_eprint: https://doi.org/10.1080/21582041.2013.838292","page":"253-270","publisher":"RSA Website","source":"Taylor and Francis+NEJM","title":"London's shadow legacies: security and activism at the 2012 Olympics","title-short":"London's shadow legacies","volume":"9","author":[{"family":"Boykoff","given":"Jules"},{"family":"Fussey","given":"Pete"}],"issued":{"date-parts":[["2014",4,3]]}}},{"id":6494,"uris":["http://zotero.org/users/8977980/items/JDTFD4IU"],"itemData":{"id":6494,"type":"book","abstract":"The city is equally notorious for its poverty, its ethnic and racial divides and, above all, its decline. For Liverpool was once a major port, growing rich on slavery, on trade with the Americas and the British Empire's outposts in Africa and Asia. In the 1980s, it was described as 'obsolete'. Yet the city fights on. This is the epic history of Liverpool since the Second World War. It is a story of vast docklands shrinking and eventually vanishing when corporations discovered they could shift goods in containers and dispense with human workers, of industries like car manufacturing mushrooming and disappearing, of huge new suburbs being built and neglected. It is a moving and horrifying narrative of casual racism - Chinese sailors deported en masse in the aftermath of the war, systematic discrimination against the city's Black population - and of resistance, culminating in the Toxteth riots in 1981. It is the story of a city fighting against a descent into obsolescence. Liverpool also becomes a prism through which recent British history is brought into a new focus. It is the fascinating history of a single, iconic city. But it is also a warning of what the future may hold for many more communities","ISBN":"978-1-80110-888-1","language":"eng","number-of-pages":"438","publisher":"Apollo","publisher-place":"London","source":"K10plus ISBN","title":"Liverpool and the Unmaking of Britain","title-short":"Liverpool","author":[{"family":"Wetherell","given":"Sam"}],"issued":{"date-parts":[["2025"]]}}}],"schema":"https://github.com/citation-style-language/schema/raw/master/csl-citation.json"} </w:instrText>
      </w:r>
      <w:r w:rsidRPr="00662E51">
        <w:rPr>
          <w:szCs w:val="24"/>
        </w:rPr>
        <w:fldChar w:fldCharType="separate"/>
      </w:r>
      <w:r w:rsidRPr="00662E51">
        <w:t>(Boykoff and Fussey 2014; Wetherell 2025)</w:t>
      </w:r>
      <w:r w:rsidRPr="00662E51">
        <w:rPr>
          <w:szCs w:val="24"/>
        </w:rPr>
        <w:fldChar w:fldCharType="end"/>
      </w:r>
      <w:r w:rsidRPr="00662E51">
        <w:rPr>
          <w:szCs w:val="24"/>
        </w:rPr>
        <w:t>, further investigations</w:t>
      </w:r>
      <w:r w:rsidR="00F076FE">
        <w:rPr>
          <w:szCs w:val="24"/>
        </w:rPr>
        <w:t xml:space="preserve"> </w:t>
      </w:r>
      <w:r w:rsidRPr="00662E51">
        <w:rPr>
          <w:szCs w:val="24"/>
        </w:rPr>
        <w:t>must be carried out to examine the ways the state exercises its policing and insulating powers</w:t>
      </w:r>
      <w:r>
        <w:rPr>
          <w:szCs w:val="24"/>
        </w:rPr>
        <w:t xml:space="preserve"> </w:t>
      </w:r>
      <w:r>
        <w:rPr>
          <w:i/>
          <w:iCs/>
          <w:szCs w:val="24"/>
        </w:rPr>
        <w:t>through</w:t>
      </w:r>
      <w:r>
        <w:rPr>
          <w:szCs w:val="24"/>
        </w:rPr>
        <w:t xml:space="preserve"> urban development </w:t>
      </w:r>
      <w:r w:rsidRPr="00662E51">
        <w:rPr>
          <w:szCs w:val="24"/>
        </w:rPr>
        <w:t xml:space="preserve">to maintain capitalist accumulation. </w:t>
      </w:r>
    </w:p>
    <w:p w14:paraId="39E7EA2B" w14:textId="77777777" w:rsidR="000B25EF" w:rsidRPr="00662E51" w:rsidRDefault="000B25EF" w:rsidP="000B25EF">
      <w:pPr>
        <w:spacing w:line="360" w:lineRule="auto"/>
        <w:ind w:left="0"/>
        <w:rPr>
          <w:szCs w:val="24"/>
        </w:rPr>
      </w:pPr>
      <w:r w:rsidRPr="00662E51">
        <w:rPr>
          <w:szCs w:val="24"/>
        </w:rPr>
        <w:tab/>
        <w:t xml:space="preserve">Overall, my thesis furnishes a nuanced evaluation of the relationships between urban authoritarian neoliberalism, local political parties, and accompanying resistance. It challenges the methodological nationalism of AN literature, argues for the importance of the political party, and advocates for new frameworks for understanding activism during illiberal times. </w:t>
      </w:r>
    </w:p>
    <w:p w14:paraId="110F50AF" w14:textId="77777777" w:rsidR="000B25EF" w:rsidRPr="00063AE2" w:rsidRDefault="000B25EF" w:rsidP="000B25EF">
      <w:pPr>
        <w:rPr>
          <w:lang w:val="en-US"/>
        </w:rPr>
      </w:pPr>
    </w:p>
    <w:p w14:paraId="66EDAFAF" w14:textId="77777777" w:rsidR="00B2628A" w:rsidRPr="00662E51" w:rsidRDefault="00B2628A" w:rsidP="00F56305">
      <w:pPr>
        <w:pStyle w:val="Heading2"/>
      </w:pPr>
      <w:bookmarkStart w:id="538" w:name="_Toc213173999"/>
      <w:bookmarkStart w:id="539" w:name="_Toc216096191"/>
      <w:bookmarkStart w:id="540" w:name="_Toc221184387"/>
      <w:bookmarkStart w:id="541" w:name="_Toc231215303"/>
      <w:r w:rsidRPr="00662E51">
        <w:t>The Party is Dead—Long Live the Party?</w:t>
      </w:r>
      <w:bookmarkEnd w:id="538"/>
      <w:bookmarkEnd w:id="539"/>
      <w:bookmarkEnd w:id="540"/>
      <w:bookmarkEnd w:id="541"/>
    </w:p>
    <w:p w14:paraId="4779C4E9" w14:textId="22A3751F" w:rsidR="00B2628A" w:rsidRPr="00662E51" w:rsidRDefault="00B2628A" w:rsidP="00421807">
      <w:pPr>
        <w:spacing w:line="360" w:lineRule="auto"/>
        <w:ind w:left="0"/>
        <w:rPr>
          <w:szCs w:val="24"/>
        </w:rPr>
      </w:pPr>
      <w:r w:rsidRPr="00662E51">
        <w:rPr>
          <w:szCs w:val="24"/>
        </w:rPr>
        <w:t xml:space="preserve">Questions currently hang over the future of the United Kingdom’s two longest lasting political parties. The far-right Reform UK and the Green Party have both substantially sapped support from both the Conservative and Labour Party across the United Kingdom. Leadership in both centre-left and centre-right parties seem incapable of stemming the tide, especially as Starmer’s brand of centrism is critiqued as anti-democratic </w:t>
      </w:r>
      <w:r w:rsidRPr="00662E51">
        <w:rPr>
          <w:szCs w:val="24"/>
        </w:rPr>
        <w:fldChar w:fldCharType="begin"/>
      </w:r>
      <w:r w:rsidR="00F15CF8">
        <w:rPr>
          <w:szCs w:val="24"/>
        </w:rPr>
        <w:instrText xml:space="preserve"> ADDIN ZOTERO_ITEM CSL_CITATION {"citationID":"WSbpqHDf","properties":{"formattedCitation":"(Gilbert 2021a, 2023; Holden 2025)","plainCitation":"(Gilbert 2021a, 2023; Holden 2025)","noteIndex":0},"citationItems":[{"id":6824,"uris":["http://zotero.org/users/8977980/items/ZVTM8KFG"],"itemData":{"id":6824,"type":"post-weblog","abstract":"Why we shouldn't leave the Labour Party","container-title":"The Educator","language":"en-GB","title":"Why We Shouldn't Leave the Labour Party","title-short":"The Educator","URL":"https://peoplesmomentum.com/newsletters/the-educator/why-we-shouldnt-leave-the-labour-party/","author":[{"family":"Gilbert","given":"Jeremy"}],"accessed":{"date-parts":[["2025",8,8]]},"issued":{"date-parts":[["2021",12,15]]}}},{"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id":7179,"uris":["http://zotero.org/users/8977980/items/KXFN8SZS"],"itemData":{"id":7179,"type":"book","abstract":"Based on Labour Party files, including some never before publicly seen, this explosive investigation lays bare the intrigues, stratagems and deceits that helped deliver Sir Keir Starmer to Downing Street. Paul Holden shows how Starmer has been the frontman for a ruthless, right-wing political project headed by Morgan McSweeney, now chief of staff in Number 10 and arguably the most powerful man in Britain. Having conquered the party on false pretences, McSweeney and his allies set about purging opponents, marginalising the membership and dragging party policy to the right. These machinations were made possible by financial donations that McSweeney did not disclose - a violation of the law that arguably subverted Britain's democratic system","ISBN":"978-1-68219-598-7","language":"eng","note":"OCLC: 1547942173","publisher":"OR Books","publisher-place":"New York","source":"Open WorldCat","title":"The Fraud: Keir Starmer, Morgan McSweeney, and the crisis of British democracy","title-short":"The fraud","author":[{"family":"Holden","given":"Paul"}],"issued":{"date-parts":[["2025"]]}}}],"schema":"https://github.com/citation-style-language/schema/raw/master/csl-citation.json"} </w:instrText>
      </w:r>
      <w:r w:rsidRPr="00662E51">
        <w:rPr>
          <w:szCs w:val="24"/>
        </w:rPr>
        <w:fldChar w:fldCharType="separate"/>
      </w:r>
      <w:r w:rsidR="00F15CF8" w:rsidRPr="00F15CF8">
        <w:t>(Gilbert 2021a, 2023; Holden 2025)</w:t>
      </w:r>
      <w:r w:rsidRPr="00662E51">
        <w:rPr>
          <w:szCs w:val="24"/>
        </w:rPr>
        <w:fldChar w:fldCharType="end"/>
      </w:r>
      <w:r w:rsidRPr="00662E51">
        <w:rPr>
          <w:szCs w:val="24"/>
        </w:rPr>
        <w:t xml:space="preserve">. Concurrently, the local state has come back into focus as a key player in urban governance, as regeneration and housing remain salient in political discourse. However, too often, the state and the party are framed as distinct and separate entities. As has been argued here, this approach overlooks how the two are fundamentally related. Thus, this thesis argues that the inter-connections between state and party demand rigorous conceptual, empirical, and analytical inquiry. The same is true for interpretations of resistance against authoritarianism in modern neoliberal states, which often overlooks the quieter ways groups—working with or against political parties—resist illiberalism. </w:t>
      </w:r>
    </w:p>
    <w:p w14:paraId="0F68429C" w14:textId="77777777" w:rsidR="000C7365" w:rsidRPr="00662E51" w:rsidRDefault="00B2628A" w:rsidP="00F56305">
      <w:pPr>
        <w:spacing w:line="360" w:lineRule="auto"/>
        <w:ind w:left="0" w:firstLine="720"/>
        <w:rPr>
          <w:szCs w:val="24"/>
        </w:rPr>
      </w:pPr>
      <w:r w:rsidRPr="00662E51">
        <w:rPr>
          <w:szCs w:val="24"/>
        </w:rPr>
        <w:t xml:space="preserve">To respond, then, to contemporary crises of democracy in the UK and internationally, future scholarship must speak to the importance, complexity, and contingency of the local scale. Such research should not fall into the trap of treating the local scale as simply a territory for national dynamics—rather, my work is a call to rigorously interrogate how decision-making, politics, and </w:t>
      </w:r>
      <w:r w:rsidRPr="00662E51">
        <w:rPr>
          <w:szCs w:val="24"/>
        </w:rPr>
        <w:lastRenderedPageBreak/>
        <w:t>resistance intersect in different ways. It is also a call for greater democracy at all levels of the party, not only to reinvigorate it—but also as a bulwark against the feelings of alienation that have fed this crisis. Finally, subsequent investigations must highlight spaces for radical new ways of ensuring housing and local governance works for all.</w:t>
      </w:r>
    </w:p>
    <w:p w14:paraId="626D7373" w14:textId="0604E9F7" w:rsidR="0020003D" w:rsidRPr="00662E51" w:rsidRDefault="0020003D">
      <w:pPr>
        <w:rPr>
          <w:szCs w:val="24"/>
        </w:rPr>
      </w:pPr>
      <w:r w:rsidRPr="00662E51">
        <w:rPr>
          <w:szCs w:val="24"/>
        </w:rPr>
        <w:br w:type="page"/>
      </w:r>
    </w:p>
    <w:p w14:paraId="75B88E1C" w14:textId="4B78DF45" w:rsidR="007D238C" w:rsidRPr="00662E51" w:rsidRDefault="007D238C" w:rsidP="00836748">
      <w:pPr>
        <w:pStyle w:val="Style1"/>
      </w:pPr>
      <w:bookmarkStart w:id="542" w:name="_Toc216096193"/>
      <w:bookmarkStart w:id="543" w:name="_Toc221184388"/>
      <w:bookmarkStart w:id="544" w:name="_Toc231215304"/>
      <w:r w:rsidRPr="00662E51">
        <w:lastRenderedPageBreak/>
        <w:t>Appendices</w:t>
      </w:r>
      <w:bookmarkEnd w:id="542"/>
      <w:bookmarkEnd w:id="543"/>
      <w:bookmarkEnd w:id="544"/>
      <w:r w:rsidRPr="00662E51">
        <w:t xml:space="preserve"> </w:t>
      </w:r>
    </w:p>
    <w:p w14:paraId="11AB86FF" w14:textId="77777777" w:rsidR="00F30D10" w:rsidRPr="00662E51" w:rsidRDefault="00F30D10" w:rsidP="00F30D10">
      <w:pPr>
        <w:pStyle w:val="ListParagraph"/>
        <w:keepNext/>
        <w:keepLines/>
        <w:numPr>
          <w:ilvl w:val="0"/>
          <w:numId w:val="5"/>
        </w:numPr>
        <w:spacing w:line="360" w:lineRule="auto"/>
        <w:contextualSpacing w:val="0"/>
        <w:outlineLvl w:val="1"/>
        <w:rPr>
          <w:rFonts w:eastAsiaTheme="majorEastAsia" w:cstheme="majorBidi"/>
          <w:vanish/>
          <w:u w:val="single"/>
          <w:lang w:eastAsia="en-US"/>
        </w:rPr>
      </w:pPr>
      <w:bookmarkStart w:id="545" w:name="_Toc216096027"/>
      <w:bookmarkStart w:id="546" w:name="_Toc216096131"/>
      <w:bookmarkStart w:id="547" w:name="_Toc216096194"/>
      <w:bookmarkStart w:id="548" w:name="_Toc216875782"/>
      <w:bookmarkStart w:id="549" w:name="_Toc216875886"/>
      <w:bookmarkStart w:id="550" w:name="_Toc216876663"/>
      <w:bookmarkStart w:id="551" w:name="_Toc216877830"/>
      <w:bookmarkStart w:id="552" w:name="_Toc216878218"/>
      <w:bookmarkStart w:id="553" w:name="_Toc216878569"/>
      <w:bookmarkStart w:id="554" w:name="_Toc216959876"/>
      <w:bookmarkStart w:id="555" w:name="_Toc216960740"/>
      <w:bookmarkStart w:id="556" w:name="_Toc216968079"/>
      <w:bookmarkStart w:id="557" w:name="_Toc216968340"/>
      <w:bookmarkStart w:id="558" w:name="_Toc216968482"/>
      <w:bookmarkStart w:id="559" w:name="_Toc216970154"/>
      <w:bookmarkStart w:id="560" w:name="_Toc216985800"/>
      <w:bookmarkStart w:id="561" w:name="_Toc216985917"/>
      <w:bookmarkStart w:id="562" w:name="_Toc216986034"/>
      <w:bookmarkStart w:id="563" w:name="_Toc216986151"/>
      <w:bookmarkStart w:id="564" w:name="_Toc216986268"/>
      <w:bookmarkStart w:id="565" w:name="_Toc217295488"/>
      <w:bookmarkStart w:id="566" w:name="_Toc220791110"/>
      <w:bookmarkStart w:id="567" w:name="_Toc220922441"/>
      <w:bookmarkStart w:id="568" w:name="_Toc221112562"/>
      <w:bookmarkStart w:id="569" w:name="_Toc221184389"/>
      <w:bookmarkStart w:id="570" w:name="_Toc221195297"/>
      <w:bookmarkStart w:id="571" w:name="_Toc221786881"/>
      <w:bookmarkStart w:id="572" w:name="_Toc216096196"/>
      <w:bookmarkStart w:id="573" w:name="_Toc231215305"/>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3"/>
    </w:p>
    <w:p w14:paraId="7708C09C" w14:textId="7E1691F3" w:rsidR="00166943" w:rsidRPr="00662E51" w:rsidRDefault="0040489C" w:rsidP="00F30D10">
      <w:pPr>
        <w:pStyle w:val="Heading2"/>
      </w:pPr>
      <w:bookmarkStart w:id="574" w:name="_Toc221184390"/>
      <w:bookmarkStart w:id="575" w:name="_Toc231215306"/>
      <w:r w:rsidRPr="00662E51">
        <w:t>Appendix A</w:t>
      </w:r>
      <w:bookmarkEnd w:id="572"/>
      <w:r w:rsidR="003F3C98" w:rsidRPr="00662E51">
        <w:t xml:space="preserve"> – List of Council Documents</w:t>
      </w:r>
      <w:bookmarkEnd w:id="574"/>
      <w:r w:rsidR="00836748">
        <w:t>:</w:t>
      </w:r>
      <w:bookmarkEnd w:id="575"/>
    </w:p>
    <w:p w14:paraId="67FE6583" w14:textId="621BBE41" w:rsidR="00222468" w:rsidRPr="00662E51" w:rsidRDefault="006777BE" w:rsidP="00222468">
      <w:pPr>
        <w:spacing w:line="360" w:lineRule="auto"/>
        <w:ind w:left="0"/>
      </w:pPr>
      <w:r w:rsidRPr="00662E51">
        <w:t>Below is a list of</w:t>
      </w:r>
      <w:r w:rsidR="006E050B" w:rsidRPr="00662E51">
        <w:t xml:space="preserve"> documents produced or commissioned by Haringey Borough staff</w:t>
      </w:r>
      <w:r w:rsidR="00B36B56" w:rsidRPr="00662E51">
        <w:t xml:space="preserve"> that were read as part of data collection and analysis</w:t>
      </w:r>
      <w:r w:rsidR="00222468" w:rsidRPr="00662E51">
        <w:t xml:space="preserve">. I have separated them by </w:t>
      </w:r>
      <w:r w:rsidR="00F36296" w:rsidRPr="00662E51">
        <w:t>case study for convenience</w:t>
      </w:r>
      <w:r w:rsidR="00F47FDB" w:rsidRPr="00662E51">
        <w:t xml:space="preserve"> and hyperlinked instead of providing traditional citations </w:t>
      </w:r>
      <w:r w:rsidR="00C7646D" w:rsidRPr="00662E51">
        <w:t xml:space="preserve">where the document is not cited in the body of the thesis. </w:t>
      </w:r>
    </w:p>
    <w:p w14:paraId="6A383386" w14:textId="77777777" w:rsidR="00F47FDB" w:rsidRPr="00662E51" w:rsidRDefault="00F47FDB" w:rsidP="007F05C6">
      <w:pPr>
        <w:spacing w:line="360" w:lineRule="auto"/>
        <w:ind w:left="0"/>
      </w:pPr>
    </w:p>
    <w:p w14:paraId="078402CD" w14:textId="7A90B2F8" w:rsidR="006B765D" w:rsidRPr="00662E51" w:rsidRDefault="00A820B8" w:rsidP="007F05C6">
      <w:pPr>
        <w:spacing w:line="360" w:lineRule="auto"/>
        <w:ind w:left="0"/>
        <w:rPr>
          <w:b/>
          <w:bCs/>
        </w:rPr>
      </w:pPr>
      <w:r w:rsidRPr="00662E51">
        <w:rPr>
          <w:b/>
          <w:bCs/>
        </w:rPr>
        <w:t>Tottenham-related</w:t>
      </w:r>
      <w:r w:rsidR="0018467E" w:rsidRPr="00662E51">
        <w:rPr>
          <w:b/>
          <w:bCs/>
        </w:rPr>
        <w:t xml:space="preserve"> </w:t>
      </w:r>
      <w:r w:rsidR="006B765D" w:rsidRPr="00662E51">
        <w:rPr>
          <w:b/>
          <w:bCs/>
        </w:rPr>
        <w:t>Documents:</w:t>
      </w:r>
    </w:p>
    <w:p w14:paraId="68F4B69D" w14:textId="4D9F58BF" w:rsidR="00F47FDB" w:rsidRPr="00662E51" w:rsidRDefault="0018467E" w:rsidP="007F05C6">
      <w:pPr>
        <w:pStyle w:val="ListParagraph"/>
        <w:numPr>
          <w:ilvl w:val="0"/>
          <w:numId w:val="47"/>
        </w:numPr>
        <w:spacing w:line="360" w:lineRule="auto"/>
      </w:pPr>
      <w:hyperlink r:id="rId18" w:history="1">
        <w:r w:rsidRPr="00662E51">
          <w:rPr>
            <w:rStyle w:val="Hyperlink"/>
          </w:rPr>
          <w:t>A Plan for Tottenham</w:t>
        </w:r>
      </w:hyperlink>
      <w:r w:rsidR="00B12E94" w:rsidRPr="00662E51">
        <w:t xml:space="preserve"> (2012)</w:t>
      </w:r>
    </w:p>
    <w:p w14:paraId="2190089C" w14:textId="642AA8DE" w:rsidR="00A72128" w:rsidRPr="00662E51" w:rsidRDefault="00A72128" w:rsidP="007F05C6">
      <w:pPr>
        <w:pStyle w:val="ListParagraph"/>
        <w:numPr>
          <w:ilvl w:val="0"/>
          <w:numId w:val="47"/>
        </w:numPr>
        <w:spacing w:line="360" w:lineRule="auto"/>
      </w:pPr>
      <w:hyperlink r:id="rId19" w:history="1">
        <w:r w:rsidRPr="00662E51">
          <w:rPr>
            <w:rStyle w:val="Hyperlink"/>
          </w:rPr>
          <w:t>Funding and Investment Package for the Tottenham Regeneration Programme</w:t>
        </w:r>
      </w:hyperlink>
      <w:r w:rsidRPr="00662E51">
        <w:t xml:space="preserve"> (2012) </w:t>
      </w:r>
    </w:p>
    <w:p w14:paraId="1F9F68AD" w14:textId="77777777" w:rsidR="00B12E94" w:rsidRPr="00662E51" w:rsidRDefault="00B12E94" w:rsidP="007F05C6">
      <w:pPr>
        <w:pStyle w:val="ListParagraph"/>
        <w:numPr>
          <w:ilvl w:val="0"/>
          <w:numId w:val="47"/>
        </w:numPr>
        <w:spacing w:line="360" w:lineRule="auto"/>
      </w:pPr>
      <w:hyperlink r:id="rId20" w:history="1">
        <w:r w:rsidRPr="00662E51">
          <w:rPr>
            <w:rStyle w:val="Hyperlink"/>
          </w:rPr>
          <w:t>Tottenham Strategic Regeneration Framework</w:t>
        </w:r>
      </w:hyperlink>
      <w:r w:rsidRPr="00662E51">
        <w:t xml:space="preserve"> (2014)</w:t>
      </w:r>
    </w:p>
    <w:p w14:paraId="417F78E2" w14:textId="77777777" w:rsidR="00B12E94" w:rsidRPr="00662E51" w:rsidRDefault="00B12E94" w:rsidP="007F05C6">
      <w:pPr>
        <w:pStyle w:val="ListParagraph"/>
        <w:numPr>
          <w:ilvl w:val="0"/>
          <w:numId w:val="47"/>
        </w:numPr>
        <w:spacing w:line="360" w:lineRule="auto"/>
      </w:pPr>
      <w:hyperlink r:id="rId21" w:history="1">
        <w:r w:rsidRPr="00662E51">
          <w:rPr>
            <w:rStyle w:val="Hyperlink"/>
          </w:rPr>
          <w:t>Tottenham’s Future Consultation</w:t>
        </w:r>
      </w:hyperlink>
      <w:r w:rsidRPr="00662E51">
        <w:t xml:space="preserve"> (2014)</w:t>
      </w:r>
    </w:p>
    <w:p w14:paraId="0BA07D51" w14:textId="0C08A162" w:rsidR="006B765D" w:rsidRPr="00662E51" w:rsidRDefault="006B765D" w:rsidP="007F05C6">
      <w:pPr>
        <w:pStyle w:val="ListParagraph"/>
        <w:numPr>
          <w:ilvl w:val="0"/>
          <w:numId w:val="47"/>
        </w:numPr>
        <w:spacing w:line="360" w:lineRule="auto"/>
      </w:pPr>
      <w:hyperlink r:id="rId22" w:history="1">
        <w:r w:rsidRPr="00662E51">
          <w:rPr>
            <w:rStyle w:val="Hyperlink"/>
          </w:rPr>
          <w:t>Tottenham Area Action Plan Preferred Option Consul</w:t>
        </w:r>
        <w:r w:rsidR="0018467E" w:rsidRPr="00662E51">
          <w:rPr>
            <w:rStyle w:val="Hyperlink"/>
          </w:rPr>
          <w:t>t</w:t>
        </w:r>
        <w:r w:rsidRPr="00662E51">
          <w:rPr>
            <w:rStyle w:val="Hyperlink"/>
          </w:rPr>
          <w:t>ation</w:t>
        </w:r>
      </w:hyperlink>
      <w:r w:rsidR="00B12E94" w:rsidRPr="00662E51">
        <w:t xml:space="preserve"> (2015)</w:t>
      </w:r>
    </w:p>
    <w:p w14:paraId="23E7A40D" w14:textId="77777777" w:rsidR="00B12E94" w:rsidRPr="00662E51" w:rsidRDefault="00B12E94" w:rsidP="007F05C6">
      <w:pPr>
        <w:pStyle w:val="ListParagraph"/>
        <w:numPr>
          <w:ilvl w:val="0"/>
          <w:numId w:val="47"/>
        </w:numPr>
        <w:spacing w:line="360" w:lineRule="auto"/>
      </w:pPr>
      <w:hyperlink r:id="rId23" w:history="1">
        <w:r w:rsidRPr="00662E51">
          <w:rPr>
            <w:rStyle w:val="Hyperlink"/>
          </w:rPr>
          <w:t>Tottenham Area Action Plan</w:t>
        </w:r>
      </w:hyperlink>
      <w:r w:rsidRPr="00662E51">
        <w:t xml:space="preserve"> (2017)</w:t>
      </w:r>
    </w:p>
    <w:p w14:paraId="4CC6CB98" w14:textId="591E8667" w:rsidR="00A820B8" w:rsidRPr="00662E51" w:rsidRDefault="00A820B8" w:rsidP="007F05C6">
      <w:pPr>
        <w:pStyle w:val="ListParagraph"/>
        <w:numPr>
          <w:ilvl w:val="0"/>
          <w:numId w:val="47"/>
        </w:numPr>
        <w:spacing w:line="360" w:lineRule="auto"/>
      </w:pPr>
      <w:hyperlink r:id="rId24" w:history="1">
        <w:r w:rsidRPr="00662E51">
          <w:rPr>
            <w:rStyle w:val="Hyperlink"/>
          </w:rPr>
          <w:t>The social value of regeneration in Tottenham</w:t>
        </w:r>
      </w:hyperlink>
      <w:r w:rsidRPr="00662E51">
        <w:t xml:space="preserve"> (2018)</w:t>
      </w:r>
    </w:p>
    <w:p w14:paraId="46D602FE" w14:textId="77777777" w:rsidR="006B765D" w:rsidRPr="00662E51" w:rsidRDefault="006B765D" w:rsidP="007F05C6">
      <w:pPr>
        <w:spacing w:line="360" w:lineRule="auto"/>
        <w:ind w:left="0"/>
      </w:pPr>
    </w:p>
    <w:p w14:paraId="0171F842" w14:textId="7965A0AC" w:rsidR="00F36296" w:rsidRPr="00662E51" w:rsidRDefault="00F36296" w:rsidP="007F05C6">
      <w:pPr>
        <w:spacing w:line="360" w:lineRule="auto"/>
        <w:ind w:left="0"/>
        <w:rPr>
          <w:b/>
          <w:bCs/>
        </w:rPr>
      </w:pPr>
      <w:r w:rsidRPr="00662E51">
        <w:rPr>
          <w:b/>
          <w:bCs/>
        </w:rPr>
        <w:t>Haringey Development Vehicle:</w:t>
      </w:r>
    </w:p>
    <w:p w14:paraId="6E612427" w14:textId="2B87E6F5" w:rsidR="00F36296" w:rsidRPr="00662E51" w:rsidRDefault="006A7500" w:rsidP="007F05C6">
      <w:pPr>
        <w:pStyle w:val="ListParagraph"/>
        <w:numPr>
          <w:ilvl w:val="0"/>
          <w:numId w:val="46"/>
        </w:numPr>
        <w:spacing w:line="360" w:lineRule="auto"/>
      </w:pPr>
      <w:r w:rsidRPr="00662E51">
        <w:t xml:space="preserve">Haringey Development Vehicle </w:t>
      </w:r>
      <w:r w:rsidR="00F36296" w:rsidRPr="00662E51">
        <w:t xml:space="preserve">Business Case </w:t>
      </w:r>
      <w:r w:rsidR="0027380A" w:rsidRPr="00662E51">
        <w:fldChar w:fldCharType="begin"/>
      </w:r>
      <w:r w:rsidR="0027380A" w:rsidRPr="00662E51">
        <w:instrText xml:space="preserve"> ADDIN ZOTERO_ITEM CSL_CITATION {"citationID":"taRSvsJs","properties":{"formattedCitation":"(Turnberry Real Estate et al. 2015)","plainCitation":"(Turnberry Real Estate et al. 2015)","noteIndex":0},"citationItems":[{"id":1891,"uris":["http://zotero.org/groups/4816685/items/L3GSTLS3"],"itemData":{"id":1891,"type":"report","publisher":"Haringey Borough Council","title":"Haringey Development Vehicle Business Case","URL":"https://www.minutes.haringey.gov.uk/documents/s81584/151028%20HDV%20APPENDIX%20A1%20-%20Business%20Case%20public%20version.pdf","author":[{"literal":"Turnberry Real Estate"},{"literal":"Bilfinger GVA"},{"literal":"Pinsent Masons"}],"accessed":{"date-parts":[["2022",3,4]]},"issued":{"date-parts":[["2015",10]]}}}],"schema":"https://github.com/citation-style-language/schema/raw/master/csl-citation.json"} </w:instrText>
      </w:r>
      <w:r w:rsidR="0027380A" w:rsidRPr="00662E51">
        <w:fldChar w:fldCharType="separate"/>
      </w:r>
      <w:r w:rsidR="0027380A" w:rsidRPr="00662E51">
        <w:t>(Turnberry Real Estate et al. 2015)</w:t>
      </w:r>
      <w:r w:rsidR="0027380A" w:rsidRPr="00662E51">
        <w:fldChar w:fldCharType="end"/>
      </w:r>
      <w:r w:rsidR="00270F9E" w:rsidRPr="00662E51">
        <w:t xml:space="preserve"> and:</w:t>
      </w:r>
    </w:p>
    <w:p w14:paraId="0A162874" w14:textId="7ACC9280" w:rsidR="00FE5277" w:rsidRPr="00662E51" w:rsidRDefault="00FE5277" w:rsidP="004F6710">
      <w:pPr>
        <w:pStyle w:val="ListParagraph"/>
        <w:numPr>
          <w:ilvl w:val="1"/>
          <w:numId w:val="46"/>
        </w:numPr>
        <w:spacing w:line="360" w:lineRule="auto"/>
      </w:pPr>
      <w:hyperlink r:id="rId25" w:history="1">
        <w:r w:rsidRPr="00662E51">
          <w:rPr>
            <w:rStyle w:val="Hyperlink"/>
          </w:rPr>
          <w:t xml:space="preserve">Appendix 1 </w:t>
        </w:r>
        <w:r w:rsidR="005B682B" w:rsidRPr="00662E51">
          <w:rPr>
            <w:rStyle w:val="Hyperlink"/>
          </w:rPr>
          <w:t>–</w:t>
        </w:r>
        <w:r w:rsidRPr="00662E51">
          <w:rPr>
            <w:rStyle w:val="Hyperlink"/>
          </w:rPr>
          <w:t xml:space="preserve"> Economic</w:t>
        </w:r>
        <w:r w:rsidR="005B682B" w:rsidRPr="00662E51">
          <w:rPr>
            <w:rStyle w:val="Hyperlink"/>
          </w:rPr>
          <w:t xml:space="preserve"> </w:t>
        </w:r>
        <w:r w:rsidRPr="00662E51">
          <w:rPr>
            <w:rStyle w:val="Hyperlink"/>
          </w:rPr>
          <w:t>Context</w:t>
        </w:r>
      </w:hyperlink>
    </w:p>
    <w:p w14:paraId="0C5FB875" w14:textId="222AE082" w:rsidR="004F6710" w:rsidRPr="00662E51" w:rsidRDefault="004F6710" w:rsidP="004F6710">
      <w:pPr>
        <w:pStyle w:val="ListParagraph"/>
        <w:numPr>
          <w:ilvl w:val="1"/>
          <w:numId w:val="46"/>
        </w:numPr>
        <w:spacing w:line="360" w:lineRule="auto"/>
      </w:pPr>
      <w:hyperlink r:id="rId26" w:history="1">
        <w:r w:rsidRPr="00662E51">
          <w:rPr>
            <w:rStyle w:val="Hyperlink"/>
          </w:rPr>
          <w:t xml:space="preserve">Appendix </w:t>
        </w:r>
        <w:r w:rsidR="00FE5277" w:rsidRPr="00662E51">
          <w:rPr>
            <w:rStyle w:val="Hyperlink"/>
          </w:rPr>
          <w:t>3 - Qualitative Analysis</w:t>
        </w:r>
      </w:hyperlink>
    </w:p>
    <w:p w14:paraId="12F1D17B" w14:textId="32AE0EA2" w:rsidR="00FD5CEE" w:rsidRPr="00662E51" w:rsidRDefault="00FE5277" w:rsidP="00FD5CEE">
      <w:pPr>
        <w:pStyle w:val="ListParagraph"/>
        <w:numPr>
          <w:ilvl w:val="1"/>
          <w:numId w:val="46"/>
        </w:numPr>
        <w:spacing w:line="360" w:lineRule="auto"/>
      </w:pPr>
      <w:hyperlink r:id="rId27" w:history="1">
        <w:r w:rsidRPr="00662E51">
          <w:rPr>
            <w:rStyle w:val="Hyperlink"/>
          </w:rPr>
          <w:t>Appendix 4 - Case Studies</w:t>
        </w:r>
      </w:hyperlink>
    </w:p>
    <w:p w14:paraId="5415E806" w14:textId="5E356194" w:rsidR="00FE5277" w:rsidRPr="00662E51" w:rsidRDefault="00FD5CEE" w:rsidP="00FE5277">
      <w:pPr>
        <w:pStyle w:val="ListParagraph"/>
        <w:numPr>
          <w:ilvl w:val="0"/>
          <w:numId w:val="46"/>
        </w:numPr>
        <w:spacing w:line="360" w:lineRule="auto"/>
      </w:pPr>
      <w:hyperlink r:id="rId28" w:history="1">
        <w:r w:rsidRPr="00662E51">
          <w:rPr>
            <w:rStyle w:val="Hyperlink"/>
          </w:rPr>
          <w:t>Haringey Development Vehicle Cabinet Report</w:t>
        </w:r>
      </w:hyperlink>
      <w:r w:rsidRPr="00662E51">
        <w:t xml:space="preserve"> (2015)</w:t>
      </w:r>
    </w:p>
    <w:p w14:paraId="5DADD487" w14:textId="795521DD" w:rsidR="002275CA" w:rsidRPr="00662E51" w:rsidRDefault="002275CA" w:rsidP="002275CA">
      <w:pPr>
        <w:pStyle w:val="ListParagraph"/>
        <w:numPr>
          <w:ilvl w:val="0"/>
          <w:numId w:val="46"/>
        </w:numPr>
        <w:spacing w:line="360" w:lineRule="auto"/>
      </w:pPr>
      <w:hyperlink r:id="rId29" w:history="1">
        <w:r w:rsidRPr="00662E51">
          <w:rPr>
            <w:rStyle w:val="Hyperlink"/>
          </w:rPr>
          <w:t>Haringey Development Vehicle Business Plan: Socio-Economic Strategy</w:t>
        </w:r>
      </w:hyperlink>
      <w:r w:rsidRPr="00662E51">
        <w:t xml:space="preserve"> (2017)</w:t>
      </w:r>
    </w:p>
    <w:p w14:paraId="5401ABDB" w14:textId="54AF21BB" w:rsidR="00DA7393" w:rsidRPr="00662E51" w:rsidRDefault="000D1562" w:rsidP="002275CA">
      <w:pPr>
        <w:pStyle w:val="ListParagraph"/>
        <w:numPr>
          <w:ilvl w:val="0"/>
          <w:numId w:val="46"/>
        </w:numPr>
        <w:spacing w:line="360" w:lineRule="auto"/>
      </w:pPr>
      <w:hyperlink r:id="rId30" w:history="1">
        <w:r w:rsidRPr="00662E51">
          <w:rPr>
            <w:rStyle w:val="Hyperlink"/>
          </w:rPr>
          <w:t>Interim Report Governance Arrangements for Haringey Development Vehicle</w:t>
        </w:r>
      </w:hyperlink>
      <w:r w:rsidRPr="00662E51">
        <w:t xml:space="preserve"> (2017)</w:t>
      </w:r>
    </w:p>
    <w:p w14:paraId="57373FCC" w14:textId="0E9266E0" w:rsidR="008B2A5D" w:rsidRPr="00662E51" w:rsidRDefault="00DA7393" w:rsidP="00DA7393">
      <w:pPr>
        <w:pStyle w:val="ListParagraph"/>
        <w:numPr>
          <w:ilvl w:val="0"/>
          <w:numId w:val="46"/>
        </w:numPr>
        <w:spacing w:line="360" w:lineRule="auto"/>
      </w:pPr>
      <w:hyperlink r:id="rId31" w:history="1">
        <w:r w:rsidRPr="00662E51">
          <w:rPr>
            <w:rStyle w:val="Hyperlink"/>
          </w:rPr>
          <w:t>Governance Arrangements for the Haringey Development Vehicle Report by the Housing and Regeneration Scrutiny Panel and response to recommendations</w:t>
        </w:r>
      </w:hyperlink>
      <w:r w:rsidRPr="00662E51">
        <w:t xml:space="preserve"> (2017)</w:t>
      </w:r>
    </w:p>
    <w:p w14:paraId="06280DCD" w14:textId="77777777" w:rsidR="00DA7393" w:rsidRPr="00662E51" w:rsidRDefault="00DA7393" w:rsidP="007F05C6">
      <w:pPr>
        <w:spacing w:line="360" w:lineRule="auto"/>
        <w:ind w:left="0"/>
        <w:rPr>
          <w:b/>
          <w:bCs/>
        </w:rPr>
      </w:pPr>
    </w:p>
    <w:p w14:paraId="29C076BA" w14:textId="42EA0486" w:rsidR="008B2A5D" w:rsidRPr="00662E51" w:rsidRDefault="008B2A5D" w:rsidP="007F05C6">
      <w:pPr>
        <w:spacing w:line="360" w:lineRule="auto"/>
        <w:ind w:left="0"/>
        <w:rPr>
          <w:b/>
          <w:bCs/>
        </w:rPr>
      </w:pPr>
      <w:r w:rsidRPr="00662E51">
        <w:rPr>
          <w:b/>
          <w:bCs/>
        </w:rPr>
        <w:t>High Road West</w:t>
      </w:r>
      <w:r w:rsidR="00836748">
        <w:rPr>
          <w:b/>
          <w:bCs/>
        </w:rPr>
        <w:t>:</w:t>
      </w:r>
    </w:p>
    <w:p w14:paraId="0F3A0EA3" w14:textId="364F61BB" w:rsidR="007967F5" w:rsidRPr="00662E51" w:rsidRDefault="007967F5" w:rsidP="007F05C6">
      <w:pPr>
        <w:pStyle w:val="ListParagraph"/>
        <w:numPr>
          <w:ilvl w:val="0"/>
          <w:numId w:val="46"/>
        </w:numPr>
        <w:spacing w:line="360" w:lineRule="auto"/>
      </w:pPr>
      <w:r w:rsidRPr="00662E51">
        <w:t xml:space="preserve">High Road West: Consultation Feedback Report </w:t>
      </w:r>
      <w:r w:rsidR="0008613B" w:rsidRPr="00662E51">
        <w:t xml:space="preserve"> </w:t>
      </w:r>
      <w:r w:rsidR="0008613B" w:rsidRPr="00662E51">
        <w:fldChar w:fldCharType="begin"/>
      </w:r>
      <w:r w:rsidR="008835AB" w:rsidRPr="00662E51">
        <w:instrText xml:space="preserve"> ADDIN ZOTERO_ITEM CSL_CITATION {"citationID":"I4k2PLCQ","properties":{"formattedCitation":"(Haringey Borough Council 2013a)","plainCitation":"(Haringey Borough Council 2013a)","noteIndex":0},"citationItems":[{"id":5634,"uris":["http://zotero.org/users/8977980/items/RM3YG23V"],"itemData":{"id":5634,"type":"report","publisher":"Haringey Borough Council","publisher-place":"London, UK","title":"High Road West: Consultation Feedback Report","URL":"https://www.haringey.gov.uk/sites/haringeygovuk/files/2013_a_detailed_report_of_the_consultation_feedback_pdf_2mb.pdf","author":[{"literal":"Haringey Borough Council"}],"accessed":{"date-parts":[["2024",1,16]]},"issued":{"date-parts":[["2013",8]]}}}],"schema":"https://github.com/citation-style-language/schema/raw/master/csl-citation.json"} </w:instrText>
      </w:r>
      <w:r w:rsidR="0008613B" w:rsidRPr="00662E51">
        <w:fldChar w:fldCharType="separate"/>
      </w:r>
      <w:r w:rsidR="0008613B" w:rsidRPr="00662E51">
        <w:t>(Haringey Borough Council 2013a)</w:t>
      </w:r>
      <w:r w:rsidR="0008613B" w:rsidRPr="00662E51">
        <w:fldChar w:fldCharType="end"/>
      </w:r>
    </w:p>
    <w:p w14:paraId="2EFBCE6A" w14:textId="65A04F4B" w:rsidR="0008613B" w:rsidRPr="00662E51" w:rsidRDefault="0008613B" w:rsidP="0008613B">
      <w:pPr>
        <w:pStyle w:val="ListParagraph"/>
        <w:numPr>
          <w:ilvl w:val="0"/>
          <w:numId w:val="46"/>
        </w:numPr>
        <w:spacing w:line="360" w:lineRule="auto"/>
      </w:pPr>
      <w:r w:rsidRPr="00662E51">
        <w:t xml:space="preserve">High Road West: Creating a Plan for Change </w:t>
      </w:r>
      <w:r w:rsidRPr="00662E51">
        <w:fldChar w:fldCharType="begin"/>
      </w:r>
      <w:r w:rsidR="008835AB" w:rsidRPr="00662E51">
        <w:instrText xml:space="preserve"> ADDIN ZOTERO_ITEM CSL_CITATION {"citationID":"vmRFefge","properties":{"formattedCitation":"(Haringey Borough Council 2013b)","plainCitation":"(Haringey Borough Council 2013b)","noteIndex":0},"citationItems":[{"id":5723,"uris":["http://zotero.org/users/8977980/items/DXW563G2"],"itemData":{"id":5723,"type":"report","publisher":"Haringey Borough Council","publisher-place":"London (UK), United Kingdom","title":"High Road West: Creating a Plan for Change","URL":"https://www.haringey.gov.uk/sites/haringeygovuk/files/highroadwestmasterplan.pdf","author":[{"literal":"Haringey Borough Council"}],"accessed":{"date-parts":[["2024",3,12]]},"issued":{"date-parts":[["2013",5]]}}}],"schema":"https://github.com/citation-style-language/schema/raw/master/csl-citation.json"} </w:instrText>
      </w:r>
      <w:r w:rsidRPr="00662E51">
        <w:fldChar w:fldCharType="separate"/>
      </w:r>
      <w:r w:rsidR="009A3417" w:rsidRPr="00662E51">
        <w:t>(Haringey Borough Council 2013b)</w:t>
      </w:r>
      <w:r w:rsidRPr="00662E51">
        <w:fldChar w:fldCharType="end"/>
      </w:r>
    </w:p>
    <w:p w14:paraId="5218A5FB" w14:textId="1EAF89B5" w:rsidR="007F05C6" w:rsidRPr="00662E51" w:rsidRDefault="007967F5" w:rsidP="007F05C6">
      <w:pPr>
        <w:pStyle w:val="ListParagraph"/>
        <w:numPr>
          <w:ilvl w:val="0"/>
          <w:numId w:val="46"/>
        </w:numPr>
        <w:spacing w:line="360" w:lineRule="auto"/>
      </w:pPr>
      <w:hyperlink r:id="rId32" w:history="1">
        <w:r w:rsidRPr="00662E51">
          <w:rPr>
            <w:rStyle w:val="Hyperlink"/>
          </w:rPr>
          <w:t>H</w:t>
        </w:r>
        <w:r w:rsidR="00761407" w:rsidRPr="00662E51">
          <w:rPr>
            <w:rStyle w:val="Hyperlink"/>
          </w:rPr>
          <w:t xml:space="preserve">igh Road </w:t>
        </w:r>
        <w:r w:rsidR="00A72128" w:rsidRPr="00662E51">
          <w:rPr>
            <w:rStyle w:val="Hyperlink"/>
          </w:rPr>
          <w:t>W</w:t>
        </w:r>
        <w:r w:rsidR="00761407" w:rsidRPr="00662E51">
          <w:rPr>
            <w:rStyle w:val="Hyperlink"/>
          </w:rPr>
          <w:t>est</w:t>
        </w:r>
        <w:r w:rsidRPr="00662E51">
          <w:rPr>
            <w:rStyle w:val="Hyperlink"/>
          </w:rPr>
          <w:t xml:space="preserve"> Regeneration Proposals Consultation Feedback Report</w:t>
        </w:r>
      </w:hyperlink>
      <w:r w:rsidR="00A72128" w:rsidRPr="00662E51">
        <w:t xml:space="preserve"> (2014)</w:t>
      </w:r>
    </w:p>
    <w:p w14:paraId="5F3725B4" w14:textId="5FE74A2F" w:rsidR="00E40EDE" w:rsidRPr="00662E51" w:rsidRDefault="00E40EDE" w:rsidP="007F05C6">
      <w:pPr>
        <w:pStyle w:val="ListParagraph"/>
        <w:numPr>
          <w:ilvl w:val="0"/>
          <w:numId w:val="46"/>
        </w:numPr>
        <w:spacing w:line="360" w:lineRule="auto"/>
      </w:pPr>
      <w:hyperlink r:id="rId33" w:history="1">
        <w:r w:rsidRPr="00662E51">
          <w:rPr>
            <w:rStyle w:val="Hyperlink"/>
          </w:rPr>
          <w:t>Love Lane Residents Charter</w:t>
        </w:r>
      </w:hyperlink>
      <w:r w:rsidRPr="00662E51">
        <w:t xml:space="preserve"> (2014)</w:t>
      </w:r>
    </w:p>
    <w:p w14:paraId="4CB3B49E" w14:textId="6AA989D8" w:rsidR="00761407" w:rsidRPr="00662E51" w:rsidRDefault="001B727D" w:rsidP="007F05C6">
      <w:pPr>
        <w:pStyle w:val="ListParagraph"/>
        <w:numPr>
          <w:ilvl w:val="0"/>
          <w:numId w:val="46"/>
        </w:numPr>
        <w:spacing w:line="360" w:lineRule="auto"/>
      </w:pPr>
      <w:hyperlink r:id="rId34" w:history="1">
        <w:r w:rsidRPr="00662E51">
          <w:rPr>
            <w:rStyle w:val="Hyperlink"/>
          </w:rPr>
          <w:t>Tottenham High Road West Masterplan Framework</w:t>
        </w:r>
      </w:hyperlink>
      <w:r w:rsidR="00586CF4" w:rsidRPr="00662E51">
        <w:t xml:space="preserve"> </w:t>
      </w:r>
      <w:r w:rsidR="00B668CC" w:rsidRPr="00662E51">
        <w:t>(2014)</w:t>
      </w:r>
    </w:p>
    <w:p w14:paraId="1AC531B2" w14:textId="543E6C1E" w:rsidR="001B727D" w:rsidRPr="00662E51" w:rsidRDefault="00586CF4" w:rsidP="007F05C6">
      <w:pPr>
        <w:pStyle w:val="ListParagraph"/>
        <w:numPr>
          <w:ilvl w:val="0"/>
          <w:numId w:val="46"/>
        </w:numPr>
        <w:spacing w:line="360" w:lineRule="auto"/>
      </w:pPr>
      <w:r w:rsidRPr="00662E51">
        <w:t>High Road West Regeneration Proposals: Masterplan Information Pack</w:t>
      </w:r>
      <w:r w:rsidR="00B668CC" w:rsidRPr="00662E51">
        <w:t xml:space="preserve"> </w:t>
      </w:r>
      <w:r w:rsidR="00270834" w:rsidRPr="00662E51">
        <w:fldChar w:fldCharType="begin"/>
      </w:r>
      <w:r w:rsidR="008835AB" w:rsidRPr="00662E51">
        <w:instrText xml:space="preserve"> ADDIN ZOTERO_ITEM CSL_CITATION {"citationID":"ntXle2ZV","properties":{"formattedCitation":"(Arup 2014)","plainCitation":"(Arup 2014)","noteIndex":0},"citationItems":[{"id":5648,"uris":["http://zotero.org/users/8977980/items/QYPUBGC9"],"itemData":{"id":5648,"type":"report","publisher":"Haringey Borough Council","publisher-place":"London, UK","title":"High Road West Regeneration Proposals: Masterplan Information Pack","URL":"https://www.haringey.gov.uk/sites/haringeygovuk/files/view_the_summary_masterplan_pdf_3mb.pdf","author":[{"literal":"Arup"}],"accessed":{"date-parts":[["2024",1,16]]},"issued":{"date-parts":[["2014",9]]}}}],"schema":"https://github.com/citation-style-language/schema/raw/master/csl-citation.json"} </w:instrText>
      </w:r>
      <w:r w:rsidR="00270834" w:rsidRPr="00662E51">
        <w:fldChar w:fldCharType="separate"/>
      </w:r>
      <w:r w:rsidR="00270834" w:rsidRPr="00662E51">
        <w:t>(Arup 2014)</w:t>
      </w:r>
      <w:r w:rsidR="00270834" w:rsidRPr="00662E51">
        <w:fldChar w:fldCharType="end"/>
      </w:r>
    </w:p>
    <w:p w14:paraId="7CE97259" w14:textId="3AD05D94" w:rsidR="009A5C96" w:rsidRPr="00662E51" w:rsidRDefault="009A5C96" w:rsidP="007F05C6">
      <w:pPr>
        <w:pStyle w:val="ListParagraph"/>
        <w:numPr>
          <w:ilvl w:val="0"/>
          <w:numId w:val="46"/>
        </w:numPr>
        <w:spacing w:line="360" w:lineRule="auto"/>
      </w:pPr>
      <w:hyperlink r:id="rId35" w:history="1">
        <w:r w:rsidRPr="00662E51">
          <w:rPr>
            <w:rStyle w:val="Hyperlink"/>
          </w:rPr>
          <w:t>High Road West Business Case Report</w:t>
        </w:r>
      </w:hyperlink>
      <w:r w:rsidRPr="00662E51">
        <w:t xml:space="preserve"> (2015)</w:t>
      </w:r>
    </w:p>
    <w:p w14:paraId="1FE7B8CD" w14:textId="013E9D9C" w:rsidR="00D97C2E" w:rsidRPr="00662E51" w:rsidRDefault="00D97C2E" w:rsidP="007F05C6">
      <w:pPr>
        <w:pStyle w:val="ListParagraph"/>
        <w:numPr>
          <w:ilvl w:val="0"/>
          <w:numId w:val="46"/>
        </w:numPr>
        <w:spacing w:line="360" w:lineRule="auto"/>
      </w:pPr>
      <w:hyperlink r:id="rId36" w:history="1">
        <w:r w:rsidRPr="00662E51">
          <w:rPr>
            <w:rStyle w:val="Hyperlink"/>
          </w:rPr>
          <w:t>High Road West Regeneration Scheme – appointment of a preferred bidder and next steps</w:t>
        </w:r>
      </w:hyperlink>
      <w:r w:rsidRPr="00662E51">
        <w:t xml:space="preserve"> (2017)</w:t>
      </w:r>
    </w:p>
    <w:p w14:paraId="7E5D0EBF" w14:textId="1CE0F49F" w:rsidR="00417E0D" w:rsidRPr="00662E51" w:rsidRDefault="00417E0D" w:rsidP="007F05C6">
      <w:pPr>
        <w:pStyle w:val="ListParagraph"/>
        <w:numPr>
          <w:ilvl w:val="0"/>
          <w:numId w:val="46"/>
        </w:numPr>
        <w:spacing w:line="360" w:lineRule="auto"/>
      </w:pPr>
      <w:hyperlink r:id="rId37" w:history="1">
        <w:r w:rsidRPr="00662E51">
          <w:rPr>
            <w:rStyle w:val="Hyperlink"/>
          </w:rPr>
          <w:t>Peacock Industrial Estate, Master Plan Consultation process – a Freedom of Information request to Haringey Borough Council</w:t>
        </w:r>
      </w:hyperlink>
      <w:r w:rsidR="00FC41E5" w:rsidRPr="00662E51">
        <w:t xml:space="preserve"> (2018). Original FoI request and response by Haringey Council staff. </w:t>
      </w:r>
    </w:p>
    <w:p w14:paraId="20D0A6D3" w14:textId="039F747B" w:rsidR="007E3C41" w:rsidRPr="00662E51" w:rsidRDefault="007E3C41" w:rsidP="007F05C6">
      <w:pPr>
        <w:pStyle w:val="ListParagraph"/>
        <w:numPr>
          <w:ilvl w:val="0"/>
          <w:numId w:val="46"/>
        </w:numPr>
        <w:spacing w:line="360" w:lineRule="auto"/>
      </w:pPr>
      <w:hyperlink r:id="rId38" w:history="1">
        <w:r w:rsidRPr="00662E51">
          <w:rPr>
            <w:rStyle w:val="Hyperlink"/>
          </w:rPr>
          <w:t>High Road West Masterplan and Whitehall Mews Update – Information Booklet</w:t>
        </w:r>
      </w:hyperlink>
      <w:r w:rsidRPr="00662E51">
        <w:t xml:space="preserve"> (2021)</w:t>
      </w:r>
    </w:p>
    <w:p w14:paraId="312A85BB" w14:textId="2EC1AF7B" w:rsidR="007E3C41" w:rsidRPr="00662E51" w:rsidRDefault="00E40EDE" w:rsidP="007F05C6">
      <w:pPr>
        <w:pStyle w:val="ListParagraph"/>
        <w:numPr>
          <w:ilvl w:val="0"/>
          <w:numId w:val="46"/>
        </w:numPr>
        <w:spacing w:line="360" w:lineRule="auto"/>
      </w:pPr>
      <w:hyperlink r:id="rId39" w:history="1">
        <w:r w:rsidRPr="00662E51">
          <w:rPr>
            <w:rStyle w:val="Hyperlink"/>
          </w:rPr>
          <w:t>High Road West Planning Submission Exhibition</w:t>
        </w:r>
      </w:hyperlink>
      <w:r w:rsidRPr="00662E51">
        <w:t xml:space="preserve"> (2021)</w:t>
      </w:r>
    </w:p>
    <w:p w14:paraId="751DCA08" w14:textId="15502EE8" w:rsidR="00436D64" w:rsidRPr="00662E51" w:rsidRDefault="00CC14F0" w:rsidP="00436D64">
      <w:pPr>
        <w:pStyle w:val="ListParagraph"/>
        <w:numPr>
          <w:ilvl w:val="0"/>
          <w:numId w:val="46"/>
        </w:numPr>
        <w:spacing w:line="360" w:lineRule="auto"/>
      </w:pPr>
      <w:hyperlink r:id="rId40" w:history="1">
        <w:r w:rsidRPr="00662E51">
          <w:rPr>
            <w:rStyle w:val="Hyperlink"/>
          </w:rPr>
          <w:t>Agenda Item – Love Lane Ballot</w:t>
        </w:r>
      </w:hyperlink>
      <w:r w:rsidRPr="00662E51">
        <w:t xml:space="preserve"> (2021)</w:t>
      </w:r>
      <w:r w:rsidR="00645390" w:rsidRPr="00662E51">
        <w:t xml:space="preserve">. </w:t>
      </w:r>
      <w:r w:rsidR="00AD11B4" w:rsidRPr="00662E51">
        <w:t>Meeting of Housing, Planning and Development Scrutiny Panel</w:t>
      </w:r>
      <w:r w:rsidR="003E5C75" w:rsidRPr="00662E51">
        <w:t>, London Borough of Haringey.</w:t>
      </w:r>
    </w:p>
    <w:p w14:paraId="0714D522" w14:textId="77777777" w:rsidR="00D84DC1" w:rsidRPr="00662E51" w:rsidRDefault="00D84DC1" w:rsidP="00436D64">
      <w:pPr>
        <w:pStyle w:val="ListParagraph"/>
        <w:numPr>
          <w:ilvl w:val="0"/>
          <w:numId w:val="46"/>
        </w:numPr>
        <w:spacing w:line="360" w:lineRule="auto"/>
      </w:pPr>
      <w:hyperlink r:id="rId41" w:history="1">
        <w:r w:rsidRPr="00662E51">
          <w:rPr>
            <w:rStyle w:val="Hyperlink"/>
          </w:rPr>
          <w:t>Scrutiny</w:t>
        </w:r>
        <w:r w:rsidR="00436D64" w:rsidRPr="00662E51">
          <w:rPr>
            <w:rStyle w:val="Hyperlink"/>
          </w:rPr>
          <w:t xml:space="preserve"> Review – High Road West</w:t>
        </w:r>
      </w:hyperlink>
      <w:r w:rsidRPr="00662E51">
        <w:t xml:space="preserve"> (2021)</w:t>
      </w:r>
    </w:p>
    <w:p w14:paraId="31FACBAC" w14:textId="77777777" w:rsidR="005B0911" w:rsidRPr="00662E51" w:rsidRDefault="00D84DC1" w:rsidP="007E6B20">
      <w:pPr>
        <w:pStyle w:val="ListParagraph"/>
        <w:numPr>
          <w:ilvl w:val="0"/>
          <w:numId w:val="46"/>
        </w:numPr>
        <w:spacing w:line="360" w:lineRule="auto"/>
      </w:pPr>
      <w:hyperlink r:id="rId42" w:history="1">
        <w:r w:rsidRPr="00662E51">
          <w:rPr>
            <w:rStyle w:val="Hyperlink"/>
          </w:rPr>
          <w:t>The London Borough of Haringey (High Road West Phase A) CPO 2023 – Peter O’Brien Evidence</w:t>
        </w:r>
      </w:hyperlink>
      <w:r w:rsidRPr="00662E51">
        <w:t xml:space="preserve"> (2023)</w:t>
      </w:r>
    </w:p>
    <w:p w14:paraId="0F67587B" w14:textId="77777777" w:rsidR="007E6B20" w:rsidRPr="00662E51" w:rsidRDefault="007E6B20" w:rsidP="007E6B20">
      <w:pPr>
        <w:pStyle w:val="ListParagraph"/>
        <w:spacing w:line="360" w:lineRule="auto"/>
        <w:ind w:left="720"/>
      </w:pPr>
    </w:p>
    <w:p w14:paraId="6C1B6B3A" w14:textId="26BC5C3A" w:rsidR="007E6B20" w:rsidRPr="00662E51" w:rsidRDefault="007E6B20" w:rsidP="007E6B20">
      <w:pPr>
        <w:spacing w:line="360" w:lineRule="auto"/>
        <w:ind w:left="0"/>
        <w:rPr>
          <w:b/>
          <w:bCs/>
        </w:rPr>
      </w:pPr>
      <w:r w:rsidRPr="00662E51">
        <w:rPr>
          <w:b/>
          <w:bCs/>
        </w:rPr>
        <w:t>Miscellaneous</w:t>
      </w:r>
      <w:r w:rsidR="00836748">
        <w:rPr>
          <w:b/>
          <w:bCs/>
        </w:rPr>
        <w:t>:</w:t>
      </w:r>
    </w:p>
    <w:p w14:paraId="3EF304CF" w14:textId="64D14D76" w:rsidR="005E37D8" w:rsidRPr="00662E51" w:rsidRDefault="005E37D8" w:rsidP="005E37D8">
      <w:pPr>
        <w:pStyle w:val="ListParagraph"/>
        <w:numPr>
          <w:ilvl w:val="0"/>
          <w:numId w:val="46"/>
        </w:numPr>
        <w:spacing w:line="360" w:lineRule="auto"/>
      </w:pPr>
      <w:hyperlink r:id="rId43" w:history="1">
        <w:r w:rsidRPr="00662E51">
          <w:rPr>
            <w:rStyle w:val="Hyperlink"/>
          </w:rPr>
          <w:t>London Borough of Haringey Strategic Housing Market Assessment</w:t>
        </w:r>
      </w:hyperlink>
      <w:r w:rsidRPr="00662E51">
        <w:t xml:space="preserve"> (2014)</w:t>
      </w:r>
    </w:p>
    <w:p w14:paraId="54EA07BB" w14:textId="77777777" w:rsidR="007E6B20" w:rsidRPr="00662E51" w:rsidRDefault="00030884" w:rsidP="00030884">
      <w:pPr>
        <w:pStyle w:val="ListParagraph"/>
        <w:numPr>
          <w:ilvl w:val="0"/>
          <w:numId w:val="46"/>
        </w:numPr>
        <w:spacing w:line="360" w:lineRule="auto"/>
      </w:pPr>
      <w:hyperlink r:id="rId44" w:history="1">
        <w:r w:rsidRPr="00662E51">
          <w:rPr>
            <w:rStyle w:val="Hyperlink"/>
          </w:rPr>
          <w:t>Haringey Strategic Housing Market Assessment: Report of Findings</w:t>
        </w:r>
      </w:hyperlink>
      <w:r w:rsidRPr="00662E51">
        <w:t xml:space="preserve"> (2021)</w:t>
      </w:r>
    </w:p>
    <w:p w14:paraId="6D312C99" w14:textId="10985905" w:rsidR="00030884" w:rsidRPr="00662E51" w:rsidRDefault="00030884" w:rsidP="00030884">
      <w:pPr>
        <w:pStyle w:val="ListParagraph"/>
        <w:numPr>
          <w:ilvl w:val="0"/>
          <w:numId w:val="46"/>
        </w:numPr>
        <w:spacing w:line="360" w:lineRule="auto"/>
        <w:sectPr w:rsidR="00030884" w:rsidRPr="00662E51" w:rsidSect="00135E3C">
          <w:footerReference w:type="default" r:id="rId45"/>
          <w:pgSz w:w="11906" w:h="16838"/>
          <w:pgMar w:top="1440" w:right="1440" w:bottom="1440" w:left="1440" w:header="709" w:footer="709" w:gutter="0"/>
          <w:cols w:space="708"/>
          <w:docGrid w:linePitch="360"/>
        </w:sectPr>
      </w:pPr>
    </w:p>
    <w:p w14:paraId="6785D662" w14:textId="232AE4DB" w:rsidR="0040489C" w:rsidRPr="00662E51" w:rsidRDefault="00166943" w:rsidP="0040489C">
      <w:pPr>
        <w:pStyle w:val="Heading2"/>
      </w:pPr>
      <w:bookmarkStart w:id="576" w:name="_Toc216096197"/>
      <w:bookmarkStart w:id="577" w:name="_Toc221184391"/>
      <w:bookmarkStart w:id="578" w:name="_Toc231215307"/>
      <w:r w:rsidRPr="00662E51">
        <w:rPr>
          <w:noProof/>
          <w:sz w:val="17"/>
        </w:rPr>
        <w:lastRenderedPageBreak/>
        <w:drawing>
          <wp:anchor distT="0" distB="0" distL="0" distR="0" simplePos="0" relativeHeight="251655180" behindDoc="0" locked="0" layoutInCell="1" allowOverlap="1" wp14:anchorId="0231C61E" wp14:editId="47E010F8">
            <wp:simplePos x="0" y="0"/>
            <wp:positionH relativeFrom="page">
              <wp:posOffset>800100</wp:posOffset>
            </wp:positionH>
            <wp:positionV relativeFrom="page">
              <wp:posOffset>1104900</wp:posOffset>
            </wp:positionV>
            <wp:extent cx="8773160" cy="6290945"/>
            <wp:effectExtent l="0" t="0" r="8890" b="0"/>
            <wp:wrapNone/>
            <wp:docPr id="1" name="Image 1" descr="A map of a city&#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map of a city&#10;&#10;AI-generated content may be incorrect."/>
                    <pic:cNvPicPr/>
                  </pic:nvPicPr>
                  <pic:blipFill>
                    <a:blip r:embed="rId46" cstate="print"/>
                    <a:stretch>
                      <a:fillRect/>
                    </a:stretch>
                  </pic:blipFill>
                  <pic:spPr>
                    <a:xfrm>
                      <a:off x="0" y="0"/>
                      <a:ext cx="8773160" cy="6290945"/>
                    </a:xfrm>
                    <a:prstGeom prst="rect">
                      <a:avLst/>
                    </a:prstGeom>
                  </pic:spPr>
                </pic:pic>
              </a:graphicData>
            </a:graphic>
            <wp14:sizeRelH relativeFrom="margin">
              <wp14:pctWidth>0</wp14:pctWidth>
            </wp14:sizeRelH>
            <wp14:sizeRelV relativeFrom="margin">
              <wp14:pctHeight>0</wp14:pctHeight>
            </wp14:sizeRelV>
          </wp:anchor>
        </w:drawing>
      </w:r>
      <w:r w:rsidR="0040489C" w:rsidRPr="00662E51">
        <w:t>Appendix B</w:t>
      </w:r>
      <w:r w:rsidR="009A0DA1" w:rsidRPr="00662E51">
        <w:t xml:space="preserve"> – High Road West ‘Order Lands’</w:t>
      </w:r>
      <w:bookmarkEnd w:id="576"/>
      <w:bookmarkEnd w:id="577"/>
      <w:r w:rsidR="00836748">
        <w:t>:</w:t>
      </w:r>
      <w:bookmarkEnd w:id="578"/>
    </w:p>
    <w:p w14:paraId="64A5DBC3" w14:textId="4A157124" w:rsidR="00BB3E42" w:rsidRPr="00662E51" w:rsidRDefault="00BB3E42" w:rsidP="00BB3E42"/>
    <w:p w14:paraId="16230077" w14:textId="7FFBC500" w:rsidR="00BB3E42" w:rsidRPr="00662E51" w:rsidRDefault="00BB3E42" w:rsidP="00BB3E42"/>
    <w:p w14:paraId="624813F0" w14:textId="0B063A3E" w:rsidR="00B16BC4" w:rsidRPr="00662E51" w:rsidRDefault="00B16BC4" w:rsidP="00B16BC4">
      <w:pPr>
        <w:pStyle w:val="Title"/>
        <w:rPr>
          <w:sz w:val="17"/>
        </w:rPr>
      </w:pPr>
    </w:p>
    <w:p w14:paraId="34CDC63B" w14:textId="21D63283" w:rsidR="00B16BC4" w:rsidRPr="00662E51" w:rsidRDefault="00B16BC4">
      <w:r w:rsidRPr="00662E51">
        <w:br w:type="page"/>
      </w:r>
    </w:p>
    <w:p w14:paraId="72830C2F" w14:textId="77777777" w:rsidR="00166943" w:rsidRPr="00662E51" w:rsidRDefault="00166943" w:rsidP="00BB3E42">
      <w:pPr>
        <w:sectPr w:rsidR="00166943" w:rsidRPr="00662E51" w:rsidSect="00166943">
          <w:footerReference w:type="default" r:id="rId47"/>
          <w:pgSz w:w="16838" w:h="11906" w:orient="landscape"/>
          <w:pgMar w:top="1440" w:right="1440" w:bottom="1440" w:left="1440" w:header="708" w:footer="708" w:gutter="0"/>
          <w:cols w:space="708"/>
          <w:docGrid w:linePitch="360"/>
        </w:sectPr>
      </w:pPr>
    </w:p>
    <w:p w14:paraId="2296E485" w14:textId="3F9A597C" w:rsidR="006F4E69" w:rsidRPr="00662E51" w:rsidRDefault="0040489C" w:rsidP="006F4E69">
      <w:pPr>
        <w:pStyle w:val="Heading2"/>
      </w:pPr>
      <w:bookmarkStart w:id="579" w:name="_Toc216096198"/>
      <w:bookmarkStart w:id="580" w:name="_Toc221184392"/>
      <w:bookmarkStart w:id="581" w:name="_Toc231215308"/>
      <w:r w:rsidRPr="00662E51">
        <w:lastRenderedPageBreak/>
        <w:t xml:space="preserve">Appendix </w:t>
      </w:r>
      <w:r w:rsidR="00670135" w:rsidRPr="00662E51">
        <w:t>C</w:t>
      </w:r>
      <w:r w:rsidR="009A0DA1" w:rsidRPr="00662E51">
        <w:t xml:space="preserve"> – Composite Character Table</w:t>
      </w:r>
      <w:bookmarkEnd w:id="579"/>
      <w:bookmarkEnd w:id="580"/>
      <w:r w:rsidR="00836748">
        <w:t>:</w:t>
      </w:r>
      <w:bookmarkEnd w:id="581"/>
    </w:p>
    <w:tbl>
      <w:tblPr>
        <w:tblStyle w:val="TableGrid"/>
        <w:tblW w:w="11365" w:type="dxa"/>
        <w:jc w:val="center"/>
        <w:tblLook w:val="04A0" w:firstRow="1" w:lastRow="0" w:firstColumn="1" w:lastColumn="0" w:noHBand="0" w:noVBand="1"/>
      </w:tblPr>
      <w:tblGrid>
        <w:gridCol w:w="1531"/>
        <w:gridCol w:w="3564"/>
        <w:gridCol w:w="1541"/>
        <w:gridCol w:w="4729"/>
      </w:tblGrid>
      <w:tr w:rsidR="00F27AB7" w:rsidRPr="00662E51" w14:paraId="2405D904" w14:textId="77777777" w:rsidTr="00C5245B">
        <w:trPr>
          <w:jc w:val="center"/>
        </w:trPr>
        <w:tc>
          <w:tcPr>
            <w:tcW w:w="1536" w:type="dxa"/>
          </w:tcPr>
          <w:p w14:paraId="179AAA97" w14:textId="77777777" w:rsidR="006F4E69" w:rsidRPr="00662E51" w:rsidRDefault="006F4E69" w:rsidP="006F4E69">
            <w:pPr>
              <w:spacing w:line="360" w:lineRule="auto"/>
              <w:ind w:left="0"/>
              <w:jc w:val="left"/>
              <w:rPr>
                <w:b/>
                <w:bCs/>
                <w:sz w:val="22"/>
                <w:szCs w:val="20"/>
              </w:rPr>
            </w:pPr>
            <w:r w:rsidRPr="00662E51">
              <w:rPr>
                <w:b/>
                <w:bCs/>
                <w:sz w:val="22"/>
                <w:szCs w:val="20"/>
              </w:rPr>
              <w:t>Composite Name</w:t>
            </w:r>
          </w:p>
        </w:tc>
        <w:tc>
          <w:tcPr>
            <w:tcW w:w="3648" w:type="dxa"/>
          </w:tcPr>
          <w:p w14:paraId="238F301C" w14:textId="77777777" w:rsidR="006F4E69" w:rsidRPr="00662E51" w:rsidRDefault="006F4E69" w:rsidP="006F4E69">
            <w:pPr>
              <w:spacing w:line="360" w:lineRule="auto"/>
              <w:ind w:left="0"/>
              <w:jc w:val="left"/>
              <w:rPr>
                <w:b/>
                <w:bCs/>
                <w:sz w:val="22"/>
                <w:szCs w:val="20"/>
              </w:rPr>
            </w:pPr>
            <w:r w:rsidRPr="00662E51">
              <w:rPr>
                <w:b/>
                <w:bCs/>
                <w:sz w:val="22"/>
                <w:szCs w:val="20"/>
              </w:rPr>
              <w:t xml:space="preserve">Summary </w:t>
            </w:r>
          </w:p>
        </w:tc>
        <w:tc>
          <w:tcPr>
            <w:tcW w:w="1332" w:type="dxa"/>
          </w:tcPr>
          <w:p w14:paraId="47356010" w14:textId="77777777" w:rsidR="006F4E69" w:rsidRPr="00662E51" w:rsidRDefault="006F4E69" w:rsidP="006F4E69">
            <w:pPr>
              <w:spacing w:line="360" w:lineRule="auto"/>
              <w:ind w:left="0"/>
              <w:jc w:val="left"/>
              <w:rPr>
                <w:b/>
                <w:bCs/>
                <w:sz w:val="22"/>
                <w:szCs w:val="20"/>
              </w:rPr>
            </w:pPr>
            <w:r w:rsidRPr="00662E51">
              <w:rPr>
                <w:b/>
                <w:bCs/>
                <w:sz w:val="22"/>
                <w:szCs w:val="20"/>
              </w:rPr>
              <w:t>Number of Councillors</w:t>
            </w:r>
          </w:p>
        </w:tc>
        <w:tc>
          <w:tcPr>
            <w:tcW w:w="4849" w:type="dxa"/>
          </w:tcPr>
          <w:p w14:paraId="65B32100" w14:textId="77777777" w:rsidR="006F4E69" w:rsidRPr="00662E51" w:rsidRDefault="006F4E69" w:rsidP="006F4E69">
            <w:pPr>
              <w:spacing w:line="360" w:lineRule="auto"/>
              <w:ind w:left="0"/>
              <w:jc w:val="left"/>
              <w:rPr>
                <w:b/>
                <w:bCs/>
                <w:sz w:val="22"/>
                <w:szCs w:val="20"/>
              </w:rPr>
            </w:pPr>
            <w:r w:rsidRPr="00662E51">
              <w:rPr>
                <w:b/>
                <w:bCs/>
                <w:sz w:val="22"/>
                <w:szCs w:val="20"/>
              </w:rPr>
              <w:t>Assumptions</w:t>
            </w:r>
          </w:p>
        </w:tc>
      </w:tr>
      <w:tr w:rsidR="00F27AB7" w:rsidRPr="00662E51" w14:paraId="51415255" w14:textId="77777777" w:rsidTr="00C5245B">
        <w:trPr>
          <w:jc w:val="center"/>
        </w:trPr>
        <w:tc>
          <w:tcPr>
            <w:tcW w:w="1536" w:type="dxa"/>
          </w:tcPr>
          <w:p w14:paraId="0F632408" w14:textId="77777777" w:rsidR="006F4E69" w:rsidRPr="00662E51" w:rsidRDefault="006F4E69" w:rsidP="006F4E69">
            <w:pPr>
              <w:spacing w:line="360" w:lineRule="auto"/>
              <w:ind w:left="0"/>
              <w:jc w:val="left"/>
              <w:rPr>
                <w:sz w:val="22"/>
                <w:szCs w:val="20"/>
              </w:rPr>
            </w:pPr>
            <w:r w:rsidRPr="00662E51">
              <w:rPr>
                <w:sz w:val="22"/>
                <w:szCs w:val="20"/>
              </w:rPr>
              <w:t>Melissa</w:t>
            </w:r>
          </w:p>
        </w:tc>
        <w:tc>
          <w:tcPr>
            <w:tcW w:w="3648" w:type="dxa"/>
          </w:tcPr>
          <w:p w14:paraId="6969F582" w14:textId="77777777" w:rsidR="006F4E69" w:rsidRPr="00662E51" w:rsidRDefault="006F4E69" w:rsidP="006F4E69">
            <w:pPr>
              <w:spacing w:line="360" w:lineRule="auto"/>
              <w:ind w:left="0"/>
              <w:jc w:val="left"/>
              <w:rPr>
                <w:sz w:val="22"/>
                <w:szCs w:val="20"/>
              </w:rPr>
            </w:pPr>
            <w:r w:rsidRPr="00662E51">
              <w:rPr>
                <w:sz w:val="22"/>
                <w:szCs w:val="20"/>
              </w:rPr>
              <w:t xml:space="preserve">Melissa is a leftist/liberal councillor (Labour). She has some reservations with the direction of the Labour party under Keir Starmer’s leadership but is still in the system. She was recently elected so is coming to grips with it. </w:t>
            </w:r>
          </w:p>
        </w:tc>
        <w:tc>
          <w:tcPr>
            <w:tcW w:w="1332" w:type="dxa"/>
          </w:tcPr>
          <w:p w14:paraId="20FC7BAF" w14:textId="77777777" w:rsidR="006F4E69" w:rsidRPr="00662E51" w:rsidRDefault="006F4E69" w:rsidP="006F4E69">
            <w:pPr>
              <w:spacing w:line="360" w:lineRule="auto"/>
              <w:ind w:left="0"/>
              <w:jc w:val="left"/>
              <w:rPr>
                <w:sz w:val="22"/>
                <w:szCs w:val="20"/>
              </w:rPr>
            </w:pPr>
            <w:r w:rsidRPr="00662E51">
              <w:rPr>
                <w:sz w:val="22"/>
                <w:szCs w:val="20"/>
              </w:rPr>
              <w:t>3</w:t>
            </w:r>
          </w:p>
        </w:tc>
        <w:tc>
          <w:tcPr>
            <w:tcW w:w="4849" w:type="dxa"/>
          </w:tcPr>
          <w:p w14:paraId="11219AEE" w14:textId="77777777" w:rsidR="006F4E69" w:rsidRPr="00662E51" w:rsidRDefault="006F4E69" w:rsidP="006F4E69">
            <w:pPr>
              <w:spacing w:line="360" w:lineRule="auto"/>
              <w:ind w:left="0"/>
              <w:jc w:val="left"/>
              <w:rPr>
                <w:sz w:val="22"/>
                <w:szCs w:val="20"/>
              </w:rPr>
            </w:pPr>
            <w:r w:rsidRPr="00662E51">
              <w:rPr>
                <w:sz w:val="22"/>
                <w:szCs w:val="20"/>
              </w:rPr>
              <w:t xml:space="preserve">These interviewees are mostly recently elected (within the past 6 years) and mostly remain involved with the Labour party. Only 1 has a leadership position. They have self-identified as being ‘soft left’ </w:t>
            </w:r>
            <w:r w:rsidRPr="00662E51">
              <w:rPr>
                <w:sz w:val="22"/>
                <w:szCs w:val="20"/>
              </w:rPr>
              <w:fldChar w:fldCharType="begin"/>
            </w:r>
            <w:r w:rsidRPr="00662E51">
              <w:rPr>
                <w:sz w:val="22"/>
                <w:szCs w:val="20"/>
              </w:rPr>
              <w:instrText xml:space="preserve"> ADDIN ZOTERO_ITEM CSL_CITATION {"citationID":"SKz3usQG","properties":{"formattedCitation":"(Gilbert 2023)","plainCitation":"(Gilbert 2023)","noteIndex":0},"citationItems":[{"id":5842,"uris":["http://zotero.org/users/8977980/items/QZRKMUSZ"],"itemData":{"id":5842,"type":"article-newspaper","abstract":"In the face of Starmer’s attacks, we can either slink off into political isolation or work together to reclaim our party.","container-title":"New Statesman","language":"en-US","title":"Does Labour’s soft left have a future?","URL":"https://www.newstatesman.com/comment/2023/07/labour-soft-left-have-future","author":[{"family":"Gilbert","given":"Jeremy"}],"accessed":{"date-parts":[["2024",9,19]]},"issued":{"date-parts":[["2023",7,14]]}}}],"schema":"https://github.com/citation-style-language/schema/raw/master/csl-citation.json"} </w:instrText>
            </w:r>
            <w:r w:rsidRPr="00662E51">
              <w:rPr>
                <w:sz w:val="22"/>
                <w:szCs w:val="20"/>
              </w:rPr>
              <w:fldChar w:fldCharType="separate"/>
            </w:r>
            <w:r w:rsidRPr="00662E51">
              <w:rPr>
                <w:sz w:val="22"/>
                <w:szCs w:val="20"/>
              </w:rPr>
              <w:t>(Gilbert 2023)</w:t>
            </w:r>
            <w:r w:rsidRPr="00662E51">
              <w:rPr>
                <w:sz w:val="22"/>
                <w:szCs w:val="20"/>
              </w:rPr>
              <w:fldChar w:fldCharType="end"/>
            </w:r>
          </w:p>
        </w:tc>
      </w:tr>
      <w:tr w:rsidR="00F27AB7" w:rsidRPr="00662E51" w14:paraId="5F6F9346" w14:textId="77777777" w:rsidTr="00C5245B">
        <w:trPr>
          <w:jc w:val="center"/>
        </w:trPr>
        <w:tc>
          <w:tcPr>
            <w:tcW w:w="1536" w:type="dxa"/>
          </w:tcPr>
          <w:p w14:paraId="520077B8" w14:textId="77777777" w:rsidR="006F4E69" w:rsidRPr="00662E51" w:rsidRDefault="006F4E69" w:rsidP="006F4E69">
            <w:pPr>
              <w:spacing w:line="360" w:lineRule="auto"/>
              <w:ind w:left="0"/>
              <w:jc w:val="left"/>
              <w:rPr>
                <w:sz w:val="22"/>
                <w:szCs w:val="20"/>
              </w:rPr>
            </w:pPr>
            <w:r w:rsidRPr="00662E51">
              <w:rPr>
                <w:sz w:val="22"/>
                <w:szCs w:val="20"/>
              </w:rPr>
              <w:t>John</w:t>
            </w:r>
          </w:p>
        </w:tc>
        <w:tc>
          <w:tcPr>
            <w:tcW w:w="3648" w:type="dxa"/>
          </w:tcPr>
          <w:p w14:paraId="76FDBCCF" w14:textId="77777777" w:rsidR="006F4E69" w:rsidRPr="00662E51" w:rsidRDefault="006F4E69" w:rsidP="006F4E69">
            <w:pPr>
              <w:spacing w:line="360" w:lineRule="auto"/>
              <w:ind w:left="0"/>
              <w:jc w:val="left"/>
              <w:rPr>
                <w:sz w:val="22"/>
                <w:szCs w:val="20"/>
              </w:rPr>
            </w:pPr>
            <w:r w:rsidRPr="00662E51">
              <w:rPr>
                <w:sz w:val="22"/>
                <w:szCs w:val="20"/>
              </w:rPr>
              <w:t xml:space="preserve">John is a staunch leftist councillor (Labour) who spent some time in a position of power (e.g., chair of a committee). </w:t>
            </w:r>
          </w:p>
        </w:tc>
        <w:tc>
          <w:tcPr>
            <w:tcW w:w="1332" w:type="dxa"/>
          </w:tcPr>
          <w:p w14:paraId="7F4151C6" w14:textId="77777777" w:rsidR="006F4E69" w:rsidRPr="00662E51" w:rsidRDefault="006F4E69" w:rsidP="006F4E69">
            <w:pPr>
              <w:spacing w:line="360" w:lineRule="auto"/>
              <w:ind w:left="0"/>
              <w:jc w:val="left"/>
              <w:rPr>
                <w:sz w:val="22"/>
                <w:szCs w:val="20"/>
              </w:rPr>
            </w:pPr>
            <w:r w:rsidRPr="00662E51">
              <w:rPr>
                <w:sz w:val="22"/>
                <w:szCs w:val="20"/>
              </w:rPr>
              <w:t>4</w:t>
            </w:r>
          </w:p>
        </w:tc>
        <w:tc>
          <w:tcPr>
            <w:tcW w:w="4849" w:type="dxa"/>
          </w:tcPr>
          <w:p w14:paraId="07EB0D72" w14:textId="77777777" w:rsidR="006F4E69" w:rsidRPr="00662E51" w:rsidRDefault="006F4E69" w:rsidP="006F4E69">
            <w:pPr>
              <w:spacing w:line="360" w:lineRule="auto"/>
              <w:ind w:left="0"/>
              <w:jc w:val="left"/>
              <w:rPr>
                <w:sz w:val="22"/>
                <w:szCs w:val="20"/>
              </w:rPr>
            </w:pPr>
            <w:r w:rsidRPr="00662E51">
              <w:rPr>
                <w:sz w:val="22"/>
                <w:szCs w:val="20"/>
              </w:rPr>
              <w:t>These interviewees have a wide range of time served but are bound together by their explicitly leftist or socialist politics. Some have left the Labour party while some are no longer councillors. All have had leadership roles. They were mostly elected as part of the anti-HDV campaign.</w:t>
            </w:r>
          </w:p>
        </w:tc>
      </w:tr>
      <w:tr w:rsidR="00F27AB7" w:rsidRPr="00662E51" w14:paraId="649F4760" w14:textId="77777777" w:rsidTr="00C5245B">
        <w:trPr>
          <w:trHeight w:val="127"/>
          <w:jc w:val="center"/>
        </w:trPr>
        <w:tc>
          <w:tcPr>
            <w:tcW w:w="1536" w:type="dxa"/>
          </w:tcPr>
          <w:p w14:paraId="5671BB7F" w14:textId="77777777" w:rsidR="006F4E69" w:rsidRPr="00662E51" w:rsidRDefault="006F4E69" w:rsidP="006F4E69">
            <w:pPr>
              <w:spacing w:line="360" w:lineRule="auto"/>
              <w:ind w:left="0"/>
              <w:jc w:val="left"/>
              <w:rPr>
                <w:sz w:val="22"/>
                <w:szCs w:val="20"/>
              </w:rPr>
            </w:pPr>
            <w:r w:rsidRPr="00662E51">
              <w:rPr>
                <w:sz w:val="22"/>
                <w:szCs w:val="20"/>
              </w:rPr>
              <w:t>Asif</w:t>
            </w:r>
          </w:p>
        </w:tc>
        <w:tc>
          <w:tcPr>
            <w:tcW w:w="3648" w:type="dxa"/>
          </w:tcPr>
          <w:p w14:paraId="6432D385" w14:textId="77777777" w:rsidR="006F4E69" w:rsidRPr="00662E51" w:rsidRDefault="006F4E69" w:rsidP="006F4E69">
            <w:pPr>
              <w:spacing w:line="360" w:lineRule="auto"/>
              <w:ind w:left="0"/>
              <w:jc w:val="left"/>
              <w:rPr>
                <w:sz w:val="22"/>
                <w:szCs w:val="20"/>
              </w:rPr>
            </w:pPr>
            <w:r w:rsidRPr="00662E51">
              <w:rPr>
                <w:sz w:val="22"/>
                <w:szCs w:val="20"/>
              </w:rPr>
              <w:t>Asif is a leftist councillor (Labour) who does not have a position of power. He remains involved with the wider debates in the Labour Party but is less involved these days.</w:t>
            </w:r>
          </w:p>
        </w:tc>
        <w:tc>
          <w:tcPr>
            <w:tcW w:w="1332" w:type="dxa"/>
          </w:tcPr>
          <w:p w14:paraId="0CE99419" w14:textId="77777777" w:rsidR="006F4E69" w:rsidRPr="00662E51" w:rsidRDefault="006F4E69" w:rsidP="006F4E69">
            <w:pPr>
              <w:spacing w:line="360" w:lineRule="auto"/>
              <w:ind w:left="0"/>
              <w:jc w:val="left"/>
              <w:rPr>
                <w:sz w:val="22"/>
                <w:szCs w:val="20"/>
              </w:rPr>
            </w:pPr>
            <w:r w:rsidRPr="00662E51">
              <w:rPr>
                <w:sz w:val="22"/>
                <w:szCs w:val="20"/>
              </w:rPr>
              <w:t>3</w:t>
            </w:r>
          </w:p>
        </w:tc>
        <w:tc>
          <w:tcPr>
            <w:tcW w:w="4849" w:type="dxa"/>
          </w:tcPr>
          <w:p w14:paraId="77E34371" w14:textId="77777777" w:rsidR="006F4E69" w:rsidRPr="00662E51" w:rsidRDefault="006F4E69" w:rsidP="006F4E69">
            <w:pPr>
              <w:spacing w:line="360" w:lineRule="auto"/>
              <w:ind w:left="0"/>
              <w:jc w:val="left"/>
              <w:rPr>
                <w:sz w:val="22"/>
                <w:szCs w:val="20"/>
              </w:rPr>
            </w:pPr>
            <w:r w:rsidRPr="00662E51">
              <w:rPr>
                <w:sz w:val="22"/>
                <w:szCs w:val="20"/>
              </w:rPr>
              <w:t>These interviewees are solidly leftist but, like Melissa, have mostly remained involved with the Labour party—if from the fringes. None of them have sat as a committee chair or had a position of power. They have a range of time served.</w:t>
            </w:r>
          </w:p>
        </w:tc>
      </w:tr>
      <w:tr w:rsidR="006F4E69" w:rsidRPr="00662E51" w14:paraId="08D55585" w14:textId="77777777" w:rsidTr="00C5245B">
        <w:trPr>
          <w:jc w:val="center"/>
        </w:trPr>
        <w:tc>
          <w:tcPr>
            <w:tcW w:w="1536" w:type="dxa"/>
          </w:tcPr>
          <w:p w14:paraId="4D821B7F" w14:textId="77777777" w:rsidR="006F4E69" w:rsidRPr="00662E51" w:rsidRDefault="006F4E69" w:rsidP="006F4E69">
            <w:pPr>
              <w:spacing w:line="360" w:lineRule="auto"/>
              <w:ind w:left="0"/>
              <w:jc w:val="left"/>
              <w:rPr>
                <w:sz w:val="22"/>
                <w:szCs w:val="20"/>
              </w:rPr>
            </w:pPr>
            <w:r w:rsidRPr="00662E51">
              <w:rPr>
                <w:sz w:val="22"/>
                <w:szCs w:val="20"/>
              </w:rPr>
              <w:t>Liliana</w:t>
            </w:r>
          </w:p>
        </w:tc>
        <w:tc>
          <w:tcPr>
            <w:tcW w:w="3648" w:type="dxa"/>
          </w:tcPr>
          <w:p w14:paraId="1365A703" w14:textId="77777777" w:rsidR="006F4E69" w:rsidRPr="00662E51" w:rsidRDefault="006F4E69" w:rsidP="006F4E69">
            <w:pPr>
              <w:spacing w:line="360" w:lineRule="auto"/>
              <w:ind w:left="0"/>
              <w:jc w:val="left"/>
              <w:rPr>
                <w:sz w:val="22"/>
                <w:szCs w:val="20"/>
              </w:rPr>
            </w:pPr>
            <w:r w:rsidRPr="00662E51">
              <w:rPr>
                <w:sz w:val="22"/>
                <w:szCs w:val="20"/>
              </w:rPr>
              <w:t>Liliana is a liberal councillor (Liberal Democrat) who sits on the outside of the proceedings. Yet, she still has valuable insights.</w:t>
            </w:r>
          </w:p>
        </w:tc>
        <w:tc>
          <w:tcPr>
            <w:tcW w:w="1332" w:type="dxa"/>
          </w:tcPr>
          <w:p w14:paraId="3DC4E9B1" w14:textId="77777777" w:rsidR="006F4E69" w:rsidRPr="00662E51" w:rsidRDefault="006F4E69" w:rsidP="006F4E69">
            <w:pPr>
              <w:spacing w:line="360" w:lineRule="auto"/>
              <w:ind w:left="0"/>
              <w:jc w:val="left"/>
              <w:rPr>
                <w:sz w:val="22"/>
                <w:szCs w:val="20"/>
              </w:rPr>
            </w:pPr>
            <w:r w:rsidRPr="00662E51">
              <w:rPr>
                <w:sz w:val="22"/>
                <w:szCs w:val="20"/>
              </w:rPr>
              <w:t>4</w:t>
            </w:r>
          </w:p>
        </w:tc>
        <w:tc>
          <w:tcPr>
            <w:tcW w:w="4849" w:type="dxa"/>
          </w:tcPr>
          <w:p w14:paraId="46460FB4" w14:textId="77777777" w:rsidR="006F4E69" w:rsidRPr="00662E51" w:rsidRDefault="006F4E69" w:rsidP="006F4E69">
            <w:pPr>
              <w:spacing w:line="360" w:lineRule="auto"/>
              <w:ind w:left="0"/>
              <w:jc w:val="left"/>
              <w:rPr>
                <w:sz w:val="22"/>
                <w:szCs w:val="20"/>
              </w:rPr>
            </w:pPr>
            <w:r w:rsidRPr="00662E51">
              <w:rPr>
                <w:sz w:val="22"/>
                <w:szCs w:val="20"/>
              </w:rPr>
              <w:t>These interviewees overwhelmingly sit on the outside of the internal conflicts with the state and the Labour party. Very wide range of time served.</w:t>
            </w:r>
          </w:p>
        </w:tc>
      </w:tr>
    </w:tbl>
    <w:p w14:paraId="78B01ECE" w14:textId="4A3E0544" w:rsidR="00D63D7B" w:rsidRPr="00662E51" w:rsidRDefault="00D63D7B" w:rsidP="006F4E69">
      <w:pPr>
        <w:rPr>
          <w:sz w:val="22"/>
          <w:szCs w:val="20"/>
        </w:rPr>
      </w:pPr>
    </w:p>
    <w:p w14:paraId="485CD446" w14:textId="77777777" w:rsidR="00D63D7B" w:rsidRPr="00662E51" w:rsidRDefault="00D63D7B" w:rsidP="009B1C14">
      <w:pPr>
        <w:spacing w:line="480" w:lineRule="auto"/>
        <w:rPr>
          <w:sz w:val="22"/>
        </w:rPr>
      </w:pPr>
      <w:r w:rsidRPr="00662E51">
        <w:rPr>
          <w:sz w:val="22"/>
        </w:rPr>
        <w:br w:type="page"/>
      </w:r>
    </w:p>
    <w:p w14:paraId="444FF385" w14:textId="77777777" w:rsidR="006F4E69" w:rsidRPr="00662E51" w:rsidRDefault="006F4E69" w:rsidP="009B1C14">
      <w:pPr>
        <w:spacing w:line="480" w:lineRule="auto"/>
        <w:rPr>
          <w:szCs w:val="24"/>
        </w:rPr>
      </w:pPr>
    </w:p>
    <w:p w14:paraId="52BBF03F" w14:textId="1F67BF2B" w:rsidR="0040489C" w:rsidRPr="00662E51" w:rsidRDefault="0040489C" w:rsidP="009B1C14">
      <w:pPr>
        <w:pStyle w:val="Heading2"/>
        <w:spacing w:line="480" w:lineRule="auto"/>
      </w:pPr>
      <w:bookmarkStart w:id="582" w:name="_Toc216096199"/>
      <w:bookmarkStart w:id="583" w:name="_Toc221184393"/>
      <w:bookmarkStart w:id="584" w:name="_Toc231215309"/>
      <w:r w:rsidRPr="00662E51">
        <w:t xml:space="preserve">Appendix </w:t>
      </w:r>
      <w:r w:rsidR="00670135" w:rsidRPr="00662E51">
        <w:t>D</w:t>
      </w:r>
      <w:r w:rsidR="009A0DA1" w:rsidRPr="00662E51">
        <w:t xml:space="preserve"> – Email Conversations with Borough Staff</w:t>
      </w:r>
      <w:bookmarkEnd w:id="582"/>
      <w:bookmarkEnd w:id="583"/>
      <w:r w:rsidR="00836748">
        <w:t>:</w:t>
      </w:r>
      <w:bookmarkEnd w:id="584"/>
    </w:p>
    <w:p w14:paraId="71001365" w14:textId="63C42A6F" w:rsidR="009B1C14" w:rsidRPr="00662E51" w:rsidRDefault="009B1C14" w:rsidP="00090B95">
      <w:pPr>
        <w:spacing w:line="480" w:lineRule="auto"/>
        <w:ind w:left="0"/>
        <w:rPr>
          <w:szCs w:val="24"/>
        </w:rPr>
      </w:pPr>
      <w:r w:rsidRPr="00662E51">
        <w:rPr>
          <w:szCs w:val="24"/>
        </w:rPr>
        <w:t xml:space="preserve">Below are two email conversations I had with </w:t>
      </w:r>
      <w:r w:rsidR="00A35F61" w:rsidRPr="00662E51">
        <w:rPr>
          <w:szCs w:val="24"/>
        </w:rPr>
        <w:t>Haringey Borough staff.</w:t>
      </w:r>
    </w:p>
    <w:p w14:paraId="6060D2C8" w14:textId="4DBA42FC" w:rsidR="00D63D7B" w:rsidRPr="00662E51" w:rsidRDefault="009B1C14" w:rsidP="00D63D7B">
      <w:pPr>
        <w:rPr>
          <w:szCs w:val="24"/>
        </w:rPr>
      </w:pPr>
      <w:r w:rsidRPr="00662E51">
        <w:rPr>
          <w:noProof/>
          <w:szCs w:val="24"/>
        </w:rPr>
        <w:drawing>
          <wp:inline distT="0" distB="0" distL="0" distR="0" wp14:anchorId="7DA88F11" wp14:editId="1F5DA703">
            <wp:extent cx="5731510" cy="6330315"/>
            <wp:effectExtent l="0" t="0" r="2540" b="0"/>
            <wp:docPr id="1301348798" name="Picture 1" descr="A screenshot of a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48798" name="Picture 1" descr="A screenshot of a email&#10;&#10;AI-generated content may be incorrect."/>
                    <pic:cNvPicPr/>
                  </pic:nvPicPr>
                  <pic:blipFill>
                    <a:blip r:embed="rId48"/>
                    <a:stretch>
                      <a:fillRect/>
                    </a:stretch>
                  </pic:blipFill>
                  <pic:spPr>
                    <a:xfrm>
                      <a:off x="0" y="0"/>
                      <a:ext cx="5731510" cy="6330315"/>
                    </a:xfrm>
                    <a:prstGeom prst="rect">
                      <a:avLst/>
                    </a:prstGeom>
                  </pic:spPr>
                </pic:pic>
              </a:graphicData>
            </a:graphic>
          </wp:inline>
        </w:drawing>
      </w:r>
    </w:p>
    <w:p w14:paraId="69FC8307" w14:textId="77777777" w:rsidR="0040489C" w:rsidRPr="00662E51" w:rsidRDefault="0040489C" w:rsidP="0040489C">
      <w:pPr>
        <w:rPr>
          <w:szCs w:val="24"/>
        </w:rPr>
      </w:pPr>
    </w:p>
    <w:p w14:paraId="2C2D19C8" w14:textId="13ABDACD" w:rsidR="003303CC" w:rsidRPr="00662E51" w:rsidRDefault="00845A94" w:rsidP="00453B1B">
      <w:pPr>
        <w:ind w:left="0"/>
        <w:rPr>
          <w:szCs w:val="24"/>
        </w:rPr>
      </w:pPr>
      <w:r w:rsidRPr="00662E51">
        <w:rPr>
          <w:noProof/>
          <w:szCs w:val="24"/>
        </w:rPr>
        <w:lastRenderedPageBreak/>
        <w:drawing>
          <wp:inline distT="0" distB="0" distL="0" distR="0" wp14:anchorId="75B56B8F" wp14:editId="14868362">
            <wp:extent cx="5731510" cy="4841240"/>
            <wp:effectExtent l="0" t="0" r="2540" b="0"/>
            <wp:docPr id="808943575" name="Picture 1" descr="A screenshot of a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43575" name="Picture 1" descr="A screenshot of a email&#10;&#10;AI-generated content may be incorrect."/>
                    <pic:cNvPicPr/>
                  </pic:nvPicPr>
                  <pic:blipFill>
                    <a:blip r:embed="rId49"/>
                    <a:stretch>
                      <a:fillRect/>
                    </a:stretch>
                  </pic:blipFill>
                  <pic:spPr>
                    <a:xfrm>
                      <a:off x="0" y="0"/>
                      <a:ext cx="5731510" cy="4841240"/>
                    </a:xfrm>
                    <a:prstGeom prst="rect">
                      <a:avLst/>
                    </a:prstGeom>
                  </pic:spPr>
                </pic:pic>
              </a:graphicData>
            </a:graphic>
          </wp:inline>
        </w:drawing>
      </w:r>
    </w:p>
    <w:p w14:paraId="3F4F63AB" w14:textId="031EE0A8" w:rsidR="003303CC" w:rsidRPr="00662E51" w:rsidRDefault="003303CC">
      <w:pPr>
        <w:rPr>
          <w:szCs w:val="24"/>
        </w:rPr>
      </w:pPr>
      <w:r w:rsidRPr="00662E51">
        <w:rPr>
          <w:szCs w:val="24"/>
        </w:rPr>
        <w:br w:type="page"/>
      </w:r>
    </w:p>
    <w:p w14:paraId="7419FFE9" w14:textId="6A1D9548" w:rsidR="003303CC" w:rsidRPr="00662E51" w:rsidRDefault="003303CC" w:rsidP="00836748">
      <w:pPr>
        <w:pStyle w:val="Style1"/>
      </w:pPr>
      <w:bookmarkStart w:id="585" w:name="_Toc213174000"/>
      <w:bookmarkStart w:id="586" w:name="_Toc216096192"/>
      <w:bookmarkStart w:id="587" w:name="_Toc221184394"/>
      <w:bookmarkStart w:id="588" w:name="_Toc231215310"/>
      <w:r w:rsidRPr="00662E51">
        <w:lastRenderedPageBreak/>
        <w:t>Works Cited</w:t>
      </w:r>
      <w:bookmarkEnd w:id="585"/>
      <w:bookmarkEnd w:id="586"/>
      <w:bookmarkEnd w:id="587"/>
      <w:r w:rsidR="00836748">
        <w:t>:</w:t>
      </w:r>
      <w:bookmarkEnd w:id="588"/>
    </w:p>
    <w:p w14:paraId="501708F8" w14:textId="77777777" w:rsidR="008E0B7B" w:rsidRDefault="003303CC" w:rsidP="008E0B7B">
      <w:pPr>
        <w:pStyle w:val="Bibliography"/>
      </w:pPr>
      <w:r w:rsidRPr="00662E51">
        <w:rPr>
          <w:szCs w:val="24"/>
        </w:rPr>
        <w:fldChar w:fldCharType="begin"/>
      </w:r>
      <w:r w:rsidR="008E2F28">
        <w:rPr>
          <w:szCs w:val="24"/>
        </w:rPr>
        <w:instrText xml:space="preserve"> ADDIN ZOTERO_BIBL {"uncited":[],"omitted":[],"custom":[]} CSL_BIBLIOGRAPHY </w:instrText>
      </w:r>
      <w:r w:rsidRPr="00662E51">
        <w:rPr>
          <w:szCs w:val="24"/>
        </w:rPr>
        <w:fldChar w:fldCharType="separate"/>
      </w:r>
      <w:r w:rsidR="008E0B7B">
        <w:t xml:space="preserve">Adams, Matthew, and Jayne Raisborough. 2011. ‘The Self-Control Ethos and the “Chav”: Unpacking Cultural Representations of the White Working Class’. </w:t>
      </w:r>
      <w:r w:rsidR="008E0B7B">
        <w:rPr>
          <w:i/>
          <w:iCs/>
        </w:rPr>
        <w:t>Culture &amp; Psychology</w:t>
      </w:r>
      <w:r w:rsidR="008E0B7B">
        <w:t xml:space="preserve"> 17 (1): 81–97. https://doi.org/10.1177/1354067X10388852.</w:t>
      </w:r>
    </w:p>
    <w:p w14:paraId="1EC00483" w14:textId="77777777" w:rsidR="008E0B7B" w:rsidRDefault="008E0B7B" w:rsidP="008E0B7B">
      <w:pPr>
        <w:pStyle w:val="Bibliography"/>
      </w:pPr>
      <w:r>
        <w:t xml:space="preserve">Aitken, Stuart C. 2008. ‘Textual Analysis: Reading Culture and Context’. In </w:t>
      </w:r>
      <w:r>
        <w:rPr>
          <w:i/>
          <w:iCs/>
        </w:rPr>
        <w:t>Methods in Human Geography: A Guide for Students Doing a Research Project</w:t>
      </w:r>
      <w:r>
        <w:t>, by David Martin and Robin Flowerdew. Taylor &amp; Francis Group. http://ebookcentral.proquest.com/lib/durham/detail.action?docID=5268500.</w:t>
      </w:r>
    </w:p>
    <w:p w14:paraId="4779D714" w14:textId="77777777" w:rsidR="008E0B7B" w:rsidRDefault="008E0B7B" w:rsidP="008E0B7B">
      <w:pPr>
        <w:pStyle w:val="Bibliography"/>
      </w:pPr>
      <w:r>
        <w:t xml:space="preserve">Aitkenhead, Decca. 2018. ‘Haringey Boss Claire Kober: “The Argument That I’m Incompetent Would Not Have Been Used If I Were a Man”’. Politics. </w:t>
      </w:r>
      <w:r>
        <w:rPr>
          <w:i/>
          <w:iCs/>
        </w:rPr>
        <w:t>The Guardian</w:t>
      </w:r>
      <w:r>
        <w:t>, February 2. https://www.theguardian.com/politics/2018/feb/02/haringey-boss-claire-kober-the-argument-that-im-incompetent-would-not-have-been-used-if-i-were-a-man.</w:t>
      </w:r>
    </w:p>
    <w:p w14:paraId="283CEAAA" w14:textId="77777777" w:rsidR="008E0B7B" w:rsidRDefault="008E0B7B" w:rsidP="008E0B7B">
      <w:pPr>
        <w:pStyle w:val="Bibliography"/>
      </w:pPr>
      <w:r>
        <w:t xml:space="preserve">Allin, Simon. 2021. ‘Councillors Demand Inquiry into Love Lane Estate Ballot’. News. </w:t>
      </w:r>
      <w:r>
        <w:rPr>
          <w:i/>
          <w:iCs/>
        </w:rPr>
        <w:t>Haringey Community Press</w:t>
      </w:r>
      <w:r>
        <w:t xml:space="preserve"> (London, UK), November 30. https://haringeycommunitypress.co.uk/2021/11/30/councillors-demand-inquiry-into-love-lane-estate-ballot/.</w:t>
      </w:r>
    </w:p>
    <w:p w14:paraId="440351C7" w14:textId="77777777" w:rsidR="008E0B7B" w:rsidRDefault="008E0B7B" w:rsidP="008E0B7B">
      <w:pPr>
        <w:pStyle w:val="Bibliography"/>
      </w:pPr>
      <w:r>
        <w:t xml:space="preserve">Allin, Simon. 2022. ‘Almost 3,000 New Homes Get Go-Ahead in Haringey High-Rise Redevelopment’. Local Government. </w:t>
      </w:r>
      <w:r>
        <w:rPr>
          <w:i/>
          <w:iCs/>
        </w:rPr>
        <w:t>Enfield Independent</w:t>
      </w:r>
      <w:r>
        <w:t>, July 25. https://www.enfieldindependent.co.uk/news/20513843.haringey-council-approves-high-road-west-redevelopment/.</w:t>
      </w:r>
    </w:p>
    <w:p w14:paraId="4E6506D9" w14:textId="77777777" w:rsidR="008E0B7B" w:rsidRDefault="008E0B7B" w:rsidP="008E0B7B">
      <w:pPr>
        <w:pStyle w:val="Bibliography"/>
      </w:pPr>
      <w:r>
        <w:t xml:space="preserve">Allin, Simon. 2023a. ‘Spurs Legal Challenge against High Road West Scheme Fails’. </w:t>
      </w:r>
      <w:r>
        <w:rPr>
          <w:i/>
          <w:iCs/>
        </w:rPr>
        <w:t>Haringey Community Press</w:t>
      </w:r>
      <w:r>
        <w:t>, March 29. https://haringeycommunitypress.co.uk/2023/03/29/spurs-legal-challenge-against-high-road-west-scheme-fails/.</w:t>
      </w:r>
    </w:p>
    <w:p w14:paraId="14C49E95" w14:textId="77777777" w:rsidR="008E0B7B" w:rsidRDefault="008E0B7B" w:rsidP="008E0B7B">
      <w:pPr>
        <w:pStyle w:val="Bibliography"/>
      </w:pPr>
      <w:r>
        <w:t xml:space="preserve">Allin, Simon. 2023b. ‘Tottenham: Council Accused of “social Cleansing” over Development’. London. </w:t>
      </w:r>
      <w:r>
        <w:rPr>
          <w:i/>
          <w:iCs/>
        </w:rPr>
        <w:t>BBC News</w:t>
      </w:r>
      <w:r>
        <w:t xml:space="preserve"> (London (UK), United Kingdom), November 18. https://www.bbc.com/news/uk-england-london-67462190.</w:t>
      </w:r>
    </w:p>
    <w:p w14:paraId="5604753F" w14:textId="77777777" w:rsidR="008E0B7B" w:rsidRDefault="008E0B7B" w:rsidP="008E0B7B">
      <w:pPr>
        <w:pStyle w:val="Bibliography"/>
      </w:pPr>
      <w:r>
        <w:t xml:space="preserve">Altınörs, Görkem, and Ümit Akçay. 2022. ‘Authoritarian Neoliberalism, Crisis, and Consolidation: The Political Economy of Regime Change in Turkey’. </w:t>
      </w:r>
      <w:r>
        <w:rPr>
          <w:i/>
          <w:iCs/>
        </w:rPr>
        <w:t>Globalizations</w:t>
      </w:r>
      <w:r>
        <w:t xml:space="preserve"> 19 (7): 1029–53. https://doi.org/10.1080/14747731.2021.2025290.</w:t>
      </w:r>
    </w:p>
    <w:p w14:paraId="0412D7CB" w14:textId="77777777" w:rsidR="008E0B7B" w:rsidRDefault="008E0B7B" w:rsidP="008E0B7B">
      <w:pPr>
        <w:pStyle w:val="Bibliography"/>
      </w:pPr>
      <w:r>
        <w:t xml:space="preserve">Anderson, Ben, and Anna J. Secor. 2025. </w:t>
      </w:r>
      <w:r>
        <w:rPr>
          <w:i/>
          <w:iCs/>
        </w:rPr>
        <w:t>The Politics of Feeling: Populism, Progressivism, Liberalism</w:t>
      </w:r>
      <w:r>
        <w:t>. Goldsmiths Press / PERC Papers. Goldsmiths Press.</w:t>
      </w:r>
    </w:p>
    <w:p w14:paraId="61ED3B6B" w14:textId="77777777" w:rsidR="008E0B7B" w:rsidRDefault="008E0B7B" w:rsidP="008E0B7B">
      <w:pPr>
        <w:pStyle w:val="Bibliography"/>
      </w:pPr>
      <w:r>
        <w:t xml:space="preserve">Andreouli, Eleni, and Emma Brice. 2022. ‘Citizenship under COVID-19: An Analysis of UK Political Rhetoric during the First Wave of the 2020 Pandemic’. </w:t>
      </w:r>
      <w:r>
        <w:rPr>
          <w:i/>
          <w:iCs/>
        </w:rPr>
        <w:t>Journal of Community &amp; Applied Social Psychology</w:t>
      </w:r>
      <w:r>
        <w:t xml:space="preserve"> 32 (3): 555–72. https://doi.org/10.1002/casp.2526.</w:t>
      </w:r>
    </w:p>
    <w:p w14:paraId="650D6C4F" w14:textId="77777777" w:rsidR="008E0B7B" w:rsidRDefault="008E0B7B" w:rsidP="008E0B7B">
      <w:pPr>
        <w:pStyle w:val="Bibliography"/>
      </w:pPr>
      <w:r>
        <w:lastRenderedPageBreak/>
        <w:t xml:space="preserve">Andreouli, Eleni, and Parisa Dashtipour. 2014. ‘British Citizenship and the “Other”: An Analysis of the Earned Citizenship Discourse’. </w:t>
      </w:r>
      <w:r>
        <w:rPr>
          <w:i/>
          <w:iCs/>
        </w:rPr>
        <w:t>Journal of Community &amp; Applied Social Psychology</w:t>
      </w:r>
      <w:r>
        <w:t xml:space="preserve"> 24 (2): 100–110. https://doi.org/10.1002/casp.2154.</w:t>
      </w:r>
    </w:p>
    <w:p w14:paraId="4F00F6E1" w14:textId="77777777" w:rsidR="008E0B7B" w:rsidRDefault="008E0B7B" w:rsidP="008E0B7B">
      <w:pPr>
        <w:pStyle w:val="Bibliography"/>
      </w:pPr>
      <w:r>
        <w:t xml:space="preserve">Andrijasevic, Rutvica. 2013. ‘Acts of Citizenship as Methodology’. In </w:t>
      </w:r>
      <w:r>
        <w:rPr>
          <w:i/>
          <w:iCs/>
        </w:rPr>
        <w:t>Enacting European Citizenship</w:t>
      </w:r>
      <w:r>
        <w:t>, edited by Engin Isin and Michael Saward. Cambridge University Press. https://doi.org/10.1017/CBO9781139524025.008.</w:t>
      </w:r>
    </w:p>
    <w:p w14:paraId="730BE9F4" w14:textId="77777777" w:rsidR="008E0B7B" w:rsidRDefault="008E0B7B" w:rsidP="008E0B7B">
      <w:pPr>
        <w:pStyle w:val="Bibliography"/>
      </w:pPr>
      <w:r>
        <w:t xml:space="preserve">Aradau, Claudia, Jef Huysmans, P. G. Macioti, and Vicki Squire. 2013. ‘Mobility Interrogating Free Movement: Roma Acts of European Citizenship’. In </w:t>
      </w:r>
      <w:r>
        <w:rPr>
          <w:i/>
          <w:iCs/>
        </w:rPr>
        <w:t>Enacting European Citizenship</w:t>
      </w:r>
      <w:r>
        <w:t>, edited by Engin Isin and Michael Saward. Cambridge University Press. https://doi.org/10.1017/CBO9781139524025.008.</w:t>
      </w:r>
    </w:p>
    <w:p w14:paraId="2B1B3C23" w14:textId="77777777" w:rsidR="008E0B7B" w:rsidRDefault="008E0B7B" w:rsidP="008E0B7B">
      <w:pPr>
        <w:pStyle w:val="Bibliography"/>
      </w:pPr>
      <w:r>
        <w:t xml:space="preserve">Arjomand, Noah Amir. 2022. ‘Empirical Fiction: Composite Character Narratives in Analytical Sociology’. </w:t>
      </w:r>
      <w:r>
        <w:rPr>
          <w:i/>
          <w:iCs/>
        </w:rPr>
        <w:t>The American Sociologist</w:t>
      </w:r>
      <w:r>
        <w:t>, ahead of print, September 23. https://doi.org/10.1007/s12108-022-09546-z.</w:t>
      </w:r>
    </w:p>
    <w:p w14:paraId="4EDEE65A" w14:textId="77777777" w:rsidR="008E0B7B" w:rsidRDefault="008E0B7B" w:rsidP="008E0B7B">
      <w:pPr>
        <w:pStyle w:val="Bibliography"/>
      </w:pPr>
      <w:r>
        <w:t xml:space="preserve">Artero, Maurizio, and Maurizio Ambrosini. 2022. ‘Citizenship beyond the Normative Script: Young Immigrants’ Volunteering as a Practice of “Citizenship from Below”’. </w:t>
      </w:r>
      <w:r>
        <w:rPr>
          <w:i/>
          <w:iCs/>
        </w:rPr>
        <w:t>Citizenship Studies</w:t>
      </w:r>
      <w:r>
        <w:t xml:space="preserve"> 26 (2): 203–20. https://doi.org/10.1080/13621025.2022.2053504.</w:t>
      </w:r>
    </w:p>
    <w:p w14:paraId="5837EA27" w14:textId="77777777" w:rsidR="008E0B7B" w:rsidRDefault="008E0B7B" w:rsidP="008E0B7B">
      <w:pPr>
        <w:pStyle w:val="Bibliography"/>
      </w:pPr>
      <w:r>
        <w:t xml:space="preserve">Arup. 2014. </w:t>
      </w:r>
      <w:r>
        <w:rPr>
          <w:i/>
          <w:iCs/>
        </w:rPr>
        <w:t>High Road West Regeneration Proposals: Masterplan Information Pack</w:t>
      </w:r>
      <w:r>
        <w:t>. Haringey Borough Council. https://www.haringey.gov.uk/sites/haringeygovuk/files/view_the_summary_masterplan_pdf_3mb.pdf.</w:t>
      </w:r>
    </w:p>
    <w:p w14:paraId="741EC3BD" w14:textId="77777777" w:rsidR="008E0B7B" w:rsidRDefault="008E0B7B" w:rsidP="008E0B7B">
      <w:pPr>
        <w:pStyle w:val="Bibliography"/>
      </w:pPr>
      <w:r>
        <w:t xml:space="preserve">Ashmore, Paul, Ruth Craggs, and Hannah Neate. 2012. ‘Working-with: Talking and Sorting in Personal Archives’. </w:t>
      </w:r>
      <w:r>
        <w:rPr>
          <w:i/>
          <w:iCs/>
        </w:rPr>
        <w:t>Journal of Historical Geography</w:t>
      </w:r>
      <w:r>
        <w:t xml:space="preserve"> 38 (1): 81–89. https://doi.org/10.1016/j.jhg.2011.06.002.</w:t>
      </w:r>
    </w:p>
    <w:p w14:paraId="5B48273D" w14:textId="77777777" w:rsidR="008E0B7B" w:rsidRDefault="008E0B7B" w:rsidP="008E0B7B">
      <w:pPr>
        <w:pStyle w:val="Bibliography"/>
      </w:pPr>
      <w:r>
        <w:t xml:space="preserve">Askins, Kye. 2014. ‘A Quiet Politics of Being Together: Miriam and Rose’. </w:t>
      </w:r>
      <w:r>
        <w:rPr>
          <w:i/>
          <w:iCs/>
        </w:rPr>
        <w:t>Area</w:t>
      </w:r>
      <w:r>
        <w:t xml:space="preserve"> 46 (4): 353–54. https://doi.org/10.1111/area.12138_5.</w:t>
      </w:r>
    </w:p>
    <w:p w14:paraId="7A16397B" w14:textId="77777777" w:rsidR="008E0B7B" w:rsidRDefault="008E0B7B" w:rsidP="008E0B7B">
      <w:pPr>
        <w:pStyle w:val="Bibliography"/>
      </w:pPr>
      <w:r>
        <w:t xml:space="preserve">Atkinson, Rowland. 2006. ‘Spaces of Discipline and Control: The Compounded Citizenship of Social Renting’. In </w:t>
      </w:r>
      <w:r>
        <w:rPr>
          <w:i/>
          <w:iCs/>
        </w:rPr>
        <w:t>Housing, Urban Governance and Anti-Social Behaviour: Perspectives, Policy and Practice</w:t>
      </w:r>
      <w:r>
        <w:t>, edited by John Flint. Policy Press.</w:t>
      </w:r>
    </w:p>
    <w:p w14:paraId="41A81A38" w14:textId="77777777" w:rsidR="008E0B7B" w:rsidRDefault="008E0B7B" w:rsidP="008E0B7B">
      <w:pPr>
        <w:pStyle w:val="Bibliography"/>
      </w:pPr>
      <w:r>
        <w:t xml:space="preserve">Attride-Stirling, Jennifer. 2001. ‘Thematic Networks: An Analytic Tool for Qualitative Research’. </w:t>
      </w:r>
      <w:r>
        <w:rPr>
          <w:i/>
          <w:iCs/>
        </w:rPr>
        <w:t>Qualitative Research</w:t>
      </w:r>
      <w:r>
        <w:t xml:space="preserve"> 1 (3): 385–405. https://doi.org/10.1177/146879410100100307.</w:t>
      </w:r>
    </w:p>
    <w:p w14:paraId="6902BDF8" w14:textId="77777777" w:rsidR="008E0B7B" w:rsidRDefault="008E0B7B" w:rsidP="008E0B7B">
      <w:pPr>
        <w:pStyle w:val="Bibliography"/>
      </w:pPr>
      <w:r>
        <w:t xml:space="preserve">Bader, Max. 2011. ‘Hegemonic Political Parties in Post-Soviet Eurasia: Towards Party-Based Authoritarianism?’ </w:t>
      </w:r>
      <w:r>
        <w:rPr>
          <w:i/>
          <w:iCs/>
        </w:rPr>
        <w:t>Communist and Post-Communist Studies</w:t>
      </w:r>
      <w:r>
        <w:t xml:space="preserve"> 44 (3): 189–97. https://doi.org/10.1016/j.postcomstud.2011.07.002.</w:t>
      </w:r>
    </w:p>
    <w:p w14:paraId="293EB4F4" w14:textId="77777777" w:rsidR="008E0B7B" w:rsidRDefault="008E0B7B" w:rsidP="008E0B7B">
      <w:pPr>
        <w:pStyle w:val="Bibliography"/>
      </w:pPr>
      <w:r>
        <w:t xml:space="preserve">Badiou, Alain. 2018. </w:t>
      </w:r>
      <w:r>
        <w:rPr>
          <w:i/>
          <w:iCs/>
        </w:rPr>
        <w:t>Logics of Worlds</w:t>
      </w:r>
      <w:r>
        <w:rPr>
          <w:rFonts w:ascii="Times New Roman" w:hAnsi="Times New Roman" w:cs="Times New Roman"/>
          <w:i/>
          <w:iCs/>
        </w:rPr>
        <w:t> </w:t>
      </w:r>
      <w:r>
        <w:rPr>
          <w:i/>
          <w:iCs/>
        </w:rPr>
        <w:t>: Being and Event II</w:t>
      </w:r>
      <w:r>
        <w:t>. Being and Event, no. II. Bloomsbury Academic.</w:t>
      </w:r>
    </w:p>
    <w:p w14:paraId="65B0B0A8" w14:textId="77777777" w:rsidR="008E0B7B" w:rsidRDefault="008E0B7B" w:rsidP="008E0B7B">
      <w:pPr>
        <w:pStyle w:val="Bibliography"/>
      </w:pPr>
      <w:r>
        <w:lastRenderedPageBreak/>
        <w:t xml:space="preserve">Baker, Alex. 2020. ‘Eviction as Infrastructure’. </w:t>
      </w:r>
      <w:r>
        <w:rPr>
          <w:i/>
          <w:iCs/>
        </w:rPr>
        <w:t>City</w:t>
      </w:r>
      <w:r>
        <w:t xml:space="preserve"> 24 (1–2): 143–50. https://doi.org/10.1080/13604813.2020.1739417.</w:t>
      </w:r>
    </w:p>
    <w:p w14:paraId="467609D4" w14:textId="77777777" w:rsidR="008E0B7B" w:rsidRDefault="008E0B7B" w:rsidP="008E0B7B">
      <w:pPr>
        <w:pStyle w:val="Bibliography"/>
      </w:pPr>
      <w:r>
        <w:t>Ball, Michael. 2004. ‘Co</w:t>
      </w:r>
      <w:r>
        <w:rPr>
          <w:rFonts w:ascii="Cambria Math" w:hAnsi="Cambria Math" w:cs="Cambria Math"/>
        </w:rPr>
        <w:t>‐</w:t>
      </w:r>
      <w:r>
        <w:t>operation with the Community in Property</w:t>
      </w:r>
      <w:r>
        <w:rPr>
          <w:rFonts w:ascii="Cambria Math" w:hAnsi="Cambria Math" w:cs="Cambria Math"/>
        </w:rPr>
        <w:t>‐</w:t>
      </w:r>
      <w:r>
        <w:t xml:space="preserve">led Urban Regeneration’. </w:t>
      </w:r>
      <w:r>
        <w:rPr>
          <w:i/>
          <w:iCs/>
        </w:rPr>
        <w:t>Journal of Property Research</w:t>
      </w:r>
      <w:r>
        <w:t xml:space="preserve"> 21 (2): 119–42. https://doi.org/10.1080/0959991042000328810.</w:t>
      </w:r>
    </w:p>
    <w:p w14:paraId="3963D9F7" w14:textId="77777777" w:rsidR="008E0B7B" w:rsidRDefault="008E0B7B" w:rsidP="008E0B7B">
      <w:pPr>
        <w:pStyle w:val="Bibliography"/>
      </w:pPr>
      <w:r>
        <w:t xml:space="preserve">Barbero, Iker. 2012. ‘Expanding Acts of Citizenship: The Struggles of Sinpapeles Migrants’. </w:t>
      </w:r>
      <w:r>
        <w:rPr>
          <w:i/>
          <w:iCs/>
        </w:rPr>
        <w:t>Social &amp; Legal Studies</w:t>
      </w:r>
      <w:r>
        <w:t xml:space="preserve"> 21 (4): 529–47. https://doi.org/10.1177/0964663912455944.</w:t>
      </w:r>
    </w:p>
    <w:p w14:paraId="46ADAB4D" w14:textId="77777777" w:rsidR="008E0B7B" w:rsidRDefault="008E0B7B" w:rsidP="008E0B7B">
      <w:pPr>
        <w:pStyle w:val="Bibliography"/>
      </w:pPr>
      <w:r>
        <w:t xml:space="preserve">Barratt, Luke. 2018a. ‘Haringey Cabinet Member Resigns over Development Vehicle’. News. </w:t>
      </w:r>
      <w:r>
        <w:rPr>
          <w:i/>
          <w:iCs/>
        </w:rPr>
        <w:t>Inside Housing</w:t>
      </w:r>
      <w:r>
        <w:t xml:space="preserve"> (London (UK), United Kingdom), January 3. https://www.insidehousing.co.uk/news/haringey-cabinet-member-resigns-over-development-vehicle-53720.</w:t>
      </w:r>
    </w:p>
    <w:p w14:paraId="0F918942" w14:textId="77777777" w:rsidR="008E0B7B" w:rsidRDefault="008E0B7B" w:rsidP="008E0B7B">
      <w:pPr>
        <w:pStyle w:val="Bibliography"/>
      </w:pPr>
      <w:r>
        <w:t xml:space="preserve">Barratt, Luke. 2018b. ‘Haringey Councillors Vote to Continue with Development Vehicle’. News. </w:t>
      </w:r>
      <w:r>
        <w:rPr>
          <w:i/>
          <w:iCs/>
        </w:rPr>
        <w:t>Inside Housing</w:t>
      </w:r>
      <w:r>
        <w:t xml:space="preserve"> (London (UK), United Kingdom), January 16. https://www.insidehousing.co.uk/news/haringey-councillors-vote-to-continue-with-development-vehicle-54032.</w:t>
      </w:r>
    </w:p>
    <w:p w14:paraId="5D4B6C1C" w14:textId="77777777" w:rsidR="008E0B7B" w:rsidRDefault="008E0B7B" w:rsidP="008E0B7B">
      <w:pPr>
        <w:pStyle w:val="Bibliography"/>
      </w:pPr>
      <w:r>
        <w:t xml:space="preserve">Bassett, Keith. 2008. ‘Thinking the Event: Badiou’s Philosophy of the Event and the Example of the Paris Commune’. </w:t>
      </w:r>
      <w:r>
        <w:rPr>
          <w:i/>
          <w:iCs/>
        </w:rPr>
        <w:t>Environment and Planning D: Society and Space</w:t>
      </w:r>
      <w:r>
        <w:t xml:space="preserve"> 26 (5): 895–910. https://doi.org/10.1068/d5707.</w:t>
      </w:r>
    </w:p>
    <w:p w14:paraId="317F64C9" w14:textId="77777777" w:rsidR="008E0B7B" w:rsidRDefault="008E0B7B" w:rsidP="008E0B7B">
      <w:pPr>
        <w:pStyle w:val="Bibliography"/>
      </w:pPr>
      <w:r>
        <w:t xml:space="preserve">Bates, David. 2017. ‘The “Red Door” Controversy—Middlesbrough’s Asylum Seekers and the Discursive Politics of Racism’. </w:t>
      </w:r>
      <w:r>
        <w:rPr>
          <w:i/>
          <w:iCs/>
        </w:rPr>
        <w:t>Journal of Community &amp; Applied Social Psychology</w:t>
      </w:r>
      <w:r>
        <w:t xml:space="preserve"> 27 (2): 126–36. https://doi.org/10.1002/casp.2300.</w:t>
      </w:r>
    </w:p>
    <w:p w14:paraId="7F4A3B19" w14:textId="77777777" w:rsidR="008E0B7B" w:rsidRDefault="008E0B7B" w:rsidP="008E0B7B">
      <w:pPr>
        <w:pStyle w:val="Bibliography"/>
      </w:pPr>
      <w:r>
        <w:t xml:space="preserve">Bathla, Nitin. 2025. ‘Authoritarian Urbanism beyond the City: Infrastructure-Led Extended Urbanisation and India’s More-than-Neoliberal Configurations’. </w:t>
      </w:r>
      <w:r>
        <w:rPr>
          <w:i/>
          <w:iCs/>
        </w:rPr>
        <w:t>Urban Studies</w:t>
      </w:r>
      <w:r>
        <w:t>, January 24, 00420980241309737. https://doi.org/10.1177/00420980241309737.</w:t>
      </w:r>
    </w:p>
    <w:p w14:paraId="5DCA243E" w14:textId="77777777" w:rsidR="008E0B7B" w:rsidRDefault="008E0B7B" w:rsidP="008E0B7B">
      <w:pPr>
        <w:pStyle w:val="Bibliography"/>
      </w:pPr>
      <w:r>
        <w:t>Bauman, Zygmunt. 2011. ‘Interview: Zygmunt Bauman on the UK Riots’. August 15. http://www.social-europe.eu/2011/08/interview-zygmunt-bauman-on-the-uk-riots/.</w:t>
      </w:r>
    </w:p>
    <w:p w14:paraId="2EDD4999" w14:textId="77777777" w:rsidR="008E0B7B" w:rsidRDefault="008E0B7B" w:rsidP="008E0B7B">
      <w:pPr>
        <w:pStyle w:val="Bibliography"/>
      </w:pPr>
      <w:r>
        <w:t xml:space="preserve">Bayliss, Kate, Ben Fine, Mary Robertson, and Alfredo Saad-Filho. 2024. ‘Reports of My Death Are Greatly Exaggerated: The Persistence of Neoliberalism in Britain’. </w:t>
      </w:r>
      <w:r>
        <w:rPr>
          <w:i/>
          <w:iCs/>
        </w:rPr>
        <w:t>European Journal of Social Theory</w:t>
      </w:r>
      <w:r>
        <w:t xml:space="preserve"> 27 (4): 540–60. https://doi.org/10.1177/13684310241241800.</w:t>
      </w:r>
    </w:p>
    <w:p w14:paraId="7A5D3BB5" w14:textId="77777777" w:rsidR="008E0B7B" w:rsidRDefault="008E0B7B" w:rsidP="008E0B7B">
      <w:pPr>
        <w:pStyle w:val="Bibliography"/>
      </w:pPr>
      <w:r>
        <w:rPr>
          <w:i/>
          <w:iCs/>
        </w:rPr>
        <w:t>BBC News</w:t>
      </w:r>
      <w:r>
        <w:t>. 2013. ‘Haringey Council Failed to Prevent Another Child Being Abused’. London. October 11. https://www.bbc.com/news/uk-england-london-24484148.</w:t>
      </w:r>
    </w:p>
    <w:p w14:paraId="65C899BE" w14:textId="77777777" w:rsidR="008E0B7B" w:rsidRDefault="008E0B7B" w:rsidP="008E0B7B">
      <w:pPr>
        <w:pStyle w:val="Bibliography"/>
      </w:pPr>
      <w:r>
        <w:rPr>
          <w:i/>
          <w:iCs/>
        </w:rPr>
        <w:lastRenderedPageBreak/>
        <w:t>BBC News</w:t>
      </w:r>
      <w:r>
        <w:t>. 2015. ‘Broadwater Farm Riots: PC Keith Blakelock’s 1985 Murder Recalled’. London. October 5. https://www.bbc.com/news/uk-england-london-34433752.</w:t>
      </w:r>
    </w:p>
    <w:p w14:paraId="5BBF0C20" w14:textId="77777777" w:rsidR="008E0B7B" w:rsidRDefault="008E0B7B" w:rsidP="008E0B7B">
      <w:pPr>
        <w:pStyle w:val="Bibliography"/>
      </w:pPr>
      <w:r>
        <w:rPr>
          <w:i/>
          <w:iCs/>
        </w:rPr>
        <w:t>BBC News</w:t>
      </w:r>
      <w:r>
        <w:t>. 2021. ‘West Midlands Councils Stop Resettling Refugees amid Court Bid’. England. September 16. https://www.bbc.co.uk/news/uk-england-58582874.</w:t>
      </w:r>
    </w:p>
    <w:p w14:paraId="4B411C5D" w14:textId="77777777" w:rsidR="008E0B7B" w:rsidRDefault="008E0B7B" w:rsidP="008E0B7B">
      <w:pPr>
        <w:pStyle w:val="Bibliography"/>
      </w:pPr>
      <w:r>
        <w:t xml:space="preserve">Beck, Ulrich. 2007. ‘The Cosmopolitan Condition: Why Methodological Nationalism Fails’. </w:t>
      </w:r>
      <w:r>
        <w:rPr>
          <w:i/>
          <w:iCs/>
        </w:rPr>
        <w:t>Theory, Culture &amp; Society</w:t>
      </w:r>
      <w:r>
        <w:t xml:space="preserve"> 24 (7–8): 286–90. https://doi.org/10.1177/02632764070240072505.</w:t>
      </w:r>
    </w:p>
    <w:p w14:paraId="1BE9F57A" w14:textId="77777777" w:rsidR="008E0B7B" w:rsidRDefault="008E0B7B" w:rsidP="008E0B7B">
      <w:pPr>
        <w:pStyle w:val="Bibliography"/>
      </w:pPr>
      <w:r>
        <w:t xml:space="preserve">Beck, Ulrich, and Elisabeth Beck-Gernsheim. 2009. ‘Global Generations and the Trap of Methodological Nationalism For a Cosmopolitan Turn in the Sociology of Youth and Generation’. </w:t>
      </w:r>
      <w:r>
        <w:rPr>
          <w:i/>
          <w:iCs/>
        </w:rPr>
        <w:t>European Sociological Review</w:t>
      </w:r>
      <w:r>
        <w:t xml:space="preserve"> 25 (1): 25–36. https://doi.org/10.1093/esr/jcn032.</w:t>
      </w:r>
    </w:p>
    <w:p w14:paraId="797B0D0D" w14:textId="77777777" w:rsidR="008E0B7B" w:rsidRDefault="008E0B7B" w:rsidP="008E0B7B">
      <w:pPr>
        <w:pStyle w:val="Bibliography"/>
      </w:pPr>
      <w:r>
        <w:t xml:space="preserve">Beckingham, David, and Jake Hodder. 2022. ‘Historical Geographies: Geographical Antagonism and Archives’. In </w:t>
      </w:r>
      <w:r>
        <w:rPr>
          <w:i/>
          <w:iCs/>
        </w:rPr>
        <w:t>The Routledge Handbook of Methodologies in Human Geography</w:t>
      </w:r>
      <w:r>
        <w:t>. Routledge.</w:t>
      </w:r>
    </w:p>
    <w:p w14:paraId="00B0B3B9" w14:textId="77777777" w:rsidR="008E0B7B" w:rsidRDefault="008E0B7B" w:rsidP="008E0B7B">
      <w:pPr>
        <w:pStyle w:val="Bibliography"/>
      </w:pPr>
      <w:r>
        <w:t xml:space="preserve">Bee, Cristiano. 2017. ‘Active Citizenship in the UK’. In </w:t>
      </w:r>
      <w:r>
        <w:rPr>
          <w:i/>
          <w:iCs/>
        </w:rPr>
        <w:t>Active Citizenship in Europe: Practices and Demands in the EU, Italy, Turkey and the UK</w:t>
      </w:r>
      <w:r>
        <w:t>, edited by Cristiano Bee. Palgrave Macmillan UK. https://doi.org/10.1057/978-1-137-45317-4_9.</w:t>
      </w:r>
    </w:p>
    <w:p w14:paraId="15EB6766" w14:textId="77777777" w:rsidR="008E0B7B" w:rsidRDefault="008E0B7B" w:rsidP="008E0B7B">
      <w:pPr>
        <w:pStyle w:val="Bibliography"/>
      </w:pPr>
      <w:r>
        <w:t xml:space="preserve">Bee, Cristiano, and Roberta Guerrina. 2014. ‘Framing Civic Engagement, Political Participation and Active Citizenship in Europe’. </w:t>
      </w:r>
      <w:r>
        <w:rPr>
          <w:i/>
          <w:iCs/>
        </w:rPr>
        <w:t>Journal of Civil Society</w:t>
      </w:r>
      <w:r>
        <w:t xml:space="preserve"> 10 (1): 1–4. https://doi.org/10.1080/17448689.2014.897021.</w:t>
      </w:r>
    </w:p>
    <w:p w14:paraId="02EA6776" w14:textId="77777777" w:rsidR="008E0B7B" w:rsidRDefault="008E0B7B" w:rsidP="008E0B7B">
      <w:pPr>
        <w:pStyle w:val="Bibliography"/>
      </w:pPr>
      <w:r>
        <w:t xml:space="preserve">Bee, Cristiano, and Dimitra Pachi. 2014. ‘Active Citizenship in the UK: Assessing Institutional Political Strategies and Mechanisms of Civic Engagement’. </w:t>
      </w:r>
      <w:r>
        <w:rPr>
          <w:i/>
          <w:iCs/>
        </w:rPr>
        <w:t>Journal of Civil Society</w:t>
      </w:r>
      <w:r>
        <w:t xml:space="preserve"> 10 (1): 100–117. https://doi.org/10.1080/17448689.2014.895604.</w:t>
      </w:r>
    </w:p>
    <w:p w14:paraId="758FC9B5" w14:textId="77777777" w:rsidR="008E0B7B" w:rsidRDefault="008E0B7B" w:rsidP="008E0B7B">
      <w:pPr>
        <w:pStyle w:val="Bibliography"/>
      </w:pPr>
      <w:r>
        <w:t>Bennett, Joe. 2013. ‘</w:t>
      </w:r>
      <w:r>
        <w:rPr>
          <w:i/>
          <w:iCs/>
        </w:rPr>
        <w:t>Chav-Spotting</w:t>
      </w:r>
      <w:r>
        <w:t xml:space="preserve"> in Britain: The Representation of Social Class as Private Choice’. </w:t>
      </w:r>
      <w:r>
        <w:rPr>
          <w:i/>
          <w:iCs/>
        </w:rPr>
        <w:t>Social Semiotics</w:t>
      </w:r>
      <w:r>
        <w:t xml:space="preserve"> 23 (1): 146–62. https://doi.org/10.1080/10350330.2012.708158.</w:t>
      </w:r>
    </w:p>
    <w:p w14:paraId="283A10EB" w14:textId="77777777" w:rsidR="008E0B7B" w:rsidRDefault="008E0B7B" w:rsidP="008E0B7B">
      <w:pPr>
        <w:pStyle w:val="Bibliography"/>
      </w:pPr>
      <w:r>
        <w:t xml:space="preserve">Bernhardt, Franz, and Helge Schwiertz. 2025. ‘Enacting Tenant Citizenship and Struggles for the Right to Home: Linking Activist, Active and Community Citizenship’. </w:t>
      </w:r>
      <w:r>
        <w:rPr>
          <w:i/>
          <w:iCs/>
        </w:rPr>
        <w:t>Citizenship Studies</w:t>
      </w:r>
      <w:r>
        <w:t>, February 17. World. https://www.tandfonline.com/doi/abs/10.1080/13621025.2025.2470742.</w:t>
      </w:r>
    </w:p>
    <w:p w14:paraId="56A7C662" w14:textId="77777777" w:rsidR="008E0B7B" w:rsidRDefault="008E0B7B" w:rsidP="008E0B7B">
      <w:pPr>
        <w:pStyle w:val="Bibliography"/>
      </w:pPr>
      <w:r>
        <w:t xml:space="preserve">Beswick, Joe, and Joe Penny. 2018. ‘Demolishing the Present to Sell off the Future? The Emergence of “Financialized Municipal Entrepreneurialism” in London’. </w:t>
      </w:r>
      <w:r>
        <w:rPr>
          <w:i/>
          <w:iCs/>
        </w:rPr>
        <w:t>International Journal of Urban and Regional Research</w:t>
      </w:r>
      <w:r>
        <w:t xml:space="preserve"> 42 (4): 612–32. https://doi.org/10.1111/1468-2427.12612.</w:t>
      </w:r>
    </w:p>
    <w:p w14:paraId="7D729496" w14:textId="77777777" w:rsidR="008E0B7B" w:rsidRDefault="008E0B7B" w:rsidP="008E0B7B">
      <w:pPr>
        <w:pStyle w:val="Bibliography"/>
      </w:pPr>
      <w:r>
        <w:t xml:space="preserve">Beswick, Katie. 2011. ‘The Council Estate: Representation, Space and the Potential for Performance’. </w:t>
      </w:r>
      <w:r>
        <w:rPr>
          <w:i/>
          <w:iCs/>
        </w:rPr>
        <w:t xml:space="preserve">Research in Drama Education: The Journal of Applied </w:t>
      </w:r>
      <w:r>
        <w:rPr>
          <w:i/>
          <w:iCs/>
        </w:rPr>
        <w:lastRenderedPageBreak/>
        <w:t>Theatre and Performance</w:t>
      </w:r>
      <w:r>
        <w:t xml:space="preserve"> 16 (3): 421–35. https://doi.org/10.1080/13569783.2011.589999.</w:t>
      </w:r>
    </w:p>
    <w:p w14:paraId="2FBB296B" w14:textId="77777777" w:rsidR="008E0B7B" w:rsidRDefault="008E0B7B" w:rsidP="008E0B7B">
      <w:pPr>
        <w:pStyle w:val="Bibliography"/>
      </w:pPr>
      <w:r>
        <w:t xml:space="preserve">Beswick, Katie. 2019. </w:t>
      </w:r>
      <w:r>
        <w:rPr>
          <w:i/>
          <w:iCs/>
        </w:rPr>
        <w:t>Social Housing in Performance: The English Council Estate on and off Stage</w:t>
      </w:r>
      <w:r>
        <w:t>. Bloomsbury Publishing.</w:t>
      </w:r>
    </w:p>
    <w:p w14:paraId="3A30A924" w14:textId="77777777" w:rsidR="008E0B7B" w:rsidRDefault="008E0B7B" w:rsidP="008E0B7B">
      <w:pPr>
        <w:pStyle w:val="Bibliography"/>
      </w:pPr>
      <w:r>
        <w:t>BFYA. 1983. ‘Broadwater Review: Community News’. BPM/7/1/6/2. George Padmore Institute.</w:t>
      </w:r>
    </w:p>
    <w:p w14:paraId="77D5978D" w14:textId="77777777" w:rsidR="008E0B7B" w:rsidRDefault="008E0B7B" w:rsidP="008E0B7B">
      <w:pPr>
        <w:pStyle w:val="Bibliography"/>
      </w:pPr>
      <w:r>
        <w:t>BFYA. 1987. ‘Racism in Britain: Time for Change Conference Agenda’. July 19. BPM/7/1/6/4. George Padmore Institute.</w:t>
      </w:r>
    </w:p>
    <w:p w14:paraId="5823F561" w14:textId="77777777" w:rsidR="008E0B7B" w:rsidRDefault="008E0B7B" w:rsidP="008E0B7B">
      <w:pPr>
        <w:pStyle w:val="Bibliography"/>
      </w:pPr>
      <w:r>
        <w:t xml:space="preserve">BFYA. 1988. </w:t>
      </w:r>
      <w:r>
        <w:rPr>
          <w:i/>
          <w:iCs/>
        </w:rPr>
        <w:t>Cultivating the Farm: Environmental Work Carried out by the Community to Improve Conditions of Living on the Broadwater Farm Estate</w:t>
      </w:r>
      <w:r>
        <w:t>. London, UK. 925.3 BRO. Haringey Borough Archives.</w:t>
      </w:r>
    </w:p>
    <w:p w14:paraId="76897F80" w14:textId="77777777" w:rsidR="008E0B7B" w:rsidRDefault="008E0B7B" w:rsidP="008E0B7B">
      <w:pPr>
        <w:pStyle w:val="Bibliography"/>
      </w:pPr>
      <w:r>
        <w:t xml:space="preserve">BFYA, BFRA, and Broadwater Farm Defense Campaign. 1987. </w:t>
      </w:r>
      <w:r>
        <w:rPr>
          <w:i/>
          <w:iCs/>
        </w:rPr>
        <w:t>Manifesto of the Movement for Civil Rights and Justice</w:t>
      </w:r>
      <w:r>
        <w:t>. London, UK. OSAMOR/1. Black Cultural Archives. https://artsandculture.google.com/asset/mQEmWM-2CpXsvA?childAssetId=AAEa9FAPh91JGw&amp;hl=en.</w:t>
      </w:r>
    </w:p>
    <w:p w14:paraId="13ED359B" w14:textId="77777777" w:rsidR="008E0B7B" w:rsidRDefault="008E0B7B" w:rsidP="008E0B7B">
      <w:pPr>
        <w:pStyle w:val="Bibliography"/>
      </w:pPr>
      <w:r>
        <w:t xml:space="preserve">Bloomfield, Ruth. 2017. ‘First Look: The £1bn Regeneration Planned for Tottenham High Road’. Property News. </w:t>
      </w:r>
      <w:r>
        <w:rPr>
          <w:i/>
          <w:iCs/>
        </w:rPr>
        <w:t>The Standard</w:t>
      </w:r>
      <w:r>
        <w:t>, September 20. https://www.standard.co.uk/homesandproperty/property-news/first-look-at-tottenhams-ps1-billion-transformation-a113691.html.</w:t>
      </w:r>
    </w:p>
    <w:p w14:paraId="0E2E4890" w14:textId="77777777" w:rsidR="008E0B7B" w:rsidRDefault="008E0B7B" w:rsidP="008E0B7B">
      <w:pPr>
        <w:pStyle w:val="Bibliography"/>
      </w:pPr>
      <w:r>
        <w:t xml:space="preserve">Bond, Lyndal, Ade Kearns, Phil Mason, Carol Tannahill, Matt Egan, and Elise Whitely. 2012. ‘Exploring the Relationships between Housing, Neighbourhoods and Mental Wellbeing for Residents of Deprived Areas’. </w:t>
      </w:r>
      <w:r>
        <w:rPr>
          <w:i/>
          <w:iCs/>
        </w:rPr>
        <w:t>BMC Public Health</w:t>
      </w:r>
      <w:r>
        <w:t xml:space="preserve"> 12 (1): 48. https://doi.org/10.1186/1471-2458-12-48.</w:t>
      </w:r>
    </w:p>
    <w:p w14:paraId="20A27A35" w14:textId="77777777" w:rsidR="008E0B7B" w:rsidRDefault="008E0B7B" w:rsidP="008E0B7B">
      <w:pPr>
        <w:pStyle w:val="Bibliography"/>
      </w:pPr>
      <w:r>
        <w:t xml:space="preserve">Bonnett, Alastair, and Peter Hopkins. 2025. ‘Understanding the 2024 UK Riots’. </w:t>
      </w:r>
      <w:r>
        <w:rPr>
          <w:i/>
          <w:iCs/>
        </w:rPr>
        <w:t>The Geographical Journal</w:t>
      </w:r>
      <w:r>
        <w:t xml:space="preserve"> n/a (n/a): e70047. https://doi.org/10.1111/geoj.70047.</w:t>
      </w:r>
    </w:p>
    <w:p w14:paraId="1436F815" w14:textId="77777777" w:rsidR="008E0B7B" w:rsidRDefault="008E0B7B" w:rsidP="008E0B7B">
      <w:pPr>
        <w:pStyle w:val="Bibliography"/>
      </w:pPr>
      <w:r>
        <w:t xml:space="preserve">Bonnett, Kevin, Simon Bromley, Bob Jessop, and Tom Ling. 1984. ‘Authoritarian Populism, Two Nations, and Thatcherism’. </w:t>
      </w:r>
      <w:r>
        <w:rPr>
          <w:i/>
          <w:iCs/>
        </w:rPr>
        <w:t>New Left Review</w:t>
      </w:r>
      <w:r>
        <w:t>, no. I/147 (October): 32–60.</w:t>
      </w:r>
    </w:p>
    <w:p w14:paraId="1BD7F348" w14:textId="77777777" w:rsidR="008E0B7B" w:rsidRDefault="008E0B7B" w:rsidP="008E0B7B">
      <w:pPr>
        <w:pStyle w:val="Bibliography"/>
      </w:pPr>
      <w:r>
        <w:t xml:space="preserve">Bornat, Joanna, and Bill Bytheway. 2012. ‘Working with Different Temporalities: Archived Life History Interviews and Diaries’. </w:t>
      </w:r>
      <w:r>
        <w:rPr>
          <w:i/>
          <w:iCs/>
        </w:rPr>
        <w:t>International Journal of Social Research Methodology</w:t>
      </w:r>
      <w:r>
        <w:t xml:space="preserve"> 15 (4): 291–99. https://doi.org/10.1080/13645579.2012.688312.</w:t>
      </w:r>
    </w:p>
    <w:p w14:paraId="469CC6BB" w14:textId="77777777" w:rsidR="008E0B7B" w:rsidRDefault="008E0B7B" w:rsidP="008E0B7B">
      <w:pPr>
        <w:pStyle w:val="Bibliography"/>
      </w:pPr>
      <w:r>
        <w:t xml:space="preserve">Boughton, John. 2019. </w:t>
      </w:r>
      <w:r>
        <w:rPr>
          <w:i/>
          <w:iCs/>
        </w:rPr>
        <w:t>Municipal Dreams: The Rise and Fall of Council Housing</w:t>
      </w:r>
      <w:r>
        <w:t>. Paperback edition. Verso.</w:t>
      </w:r>
    </w:p>
    <w:p w14:paraId="0780C8E8" w14:textId="77777777" w:rsidR="008E0B7B" w:rsidRDefault="008E0B7B" w:rsidP="008E0B7B">
      <w:pPr>
        <w:pStyle w:val="Bibliography"/>
      </w:pPr>
      <w:r>
        <w:t xml:space="preserve">Boumelha, Jim. 1998. ‘From Sink to Swim’. </w:t>
      </w:r>
      <w:r>
        <w:rPr>
          <w:i/>
          <w:iCs/>
        </w:rPr>
        <w:t>Haringey People</w:t>
      </w:r>
      <w:r>
        <w:t>, September. Haringey Borough Archives.</w:t>
      </w:r>
    </w:p>
    <w:p w14:paraId="72A81F01" w14:textId="77777777" w:rsidR="008E0B7B" w:rsidRDefault="008E0B7B" w:rsidP="008E0B7B">
      <w:pPr>
        <w:pStyle w:val="Bibliography"/>
      </w:pPr>
      <w:r>
        <w:lastRenderedPageBreak/>
        <w:t xml:space="preserve">Boykoff, Jules, and Pete Fussey. 2014. ‘London’s Shadow Legacies: Security and Activism at the 2012 Olympics’. </w:t>
      </w:r>
      <w:r>
        <w:rPr>
          <w:i/>
          <w:iCs/>
        </w:rPr>
        <w:t>Contemporary Social Science</w:t>
      </w:r>
      <w:r>
        <w:t xml:space="preserve"> 9 (2): 253–70. https://doi.org/10.1080/21582041.2013.838292.</w:t>
      </w:r>
    </w:p>
    <w:p w14:paraId="36BA6871" w14:textId="77777777" w:rsidR="008E0B7B" w:rsidRDefault="008E0B7B" w:rsidP="008E0B7B">
      <w:pPr>
        <w:pStyle w:val="Bibliography"/>
      </w:pPr>
      <w:r>
        <w:t xml:space="preserve">Brady, Dominic. 2020. ‘London Regeneration Ballot Rejected by Residents for the First Time over Social Rent Concerns’. </w:t>
      </w:r>
      <w:r>
        <w:rPr>
          <w:i/>
          <w:iCs/>
        </w:rPr>
        <w:t>Inside Housing</w:t>
      </w:r>
      <w:r>
        <w:t xml:space="preserve"> (London), September 11. https://www.insidehousing.co.uk/news/london-regeneration-ballot-rejected-by-residents-for-the-first-time-over-social-rent-concerns-67849.</w:t>
      </w:r>
    </w:p>
    <w:p w14:paraId="2845934A" w14:textId="77777777" w:rsidR="008E0B7B" w:rsidRDefault="008E0B7B" w:rsidP="008E0B7B">
      <w:pPr>
        <w:pStyle w:val="Bibliography"/>
      </w:pPr>
      <w:r>
        <w:t xml:space="preserve">Brandzel, Amy L. 2016. </w:t>
      </w:r>
      <w:r>
        <w:rPr>
          <w:i/>
          <w:iCs/>
        </w:rPr>
        <w:t>Against Citizenship: The Violence of the Normative</w:t>
      </w:r>
      <w:r>
        <w:t>. University of Illinois Press.</w:t>
      </w:r>
    </w:p>
    <w:p w14:paraId="1030485D" w14:textId="77777777" w:rsidR="008E0B7B" w:rsidRDefault="008E0B7B" w:rsidP="008E0B7B">
      <w:pPr>
        <w:pStyle w:val="Bibliography"/>
      </w:pPr>
      <w:r>
        <w:t xml:space="preserve">Brandzel, Amy L. 2022. ‘Act up against Citizenship: A Plea to Citizenship Studies’. </w:t>
      </w:r>
      <w:r>
        <w:rPr>
          <w:i/>
          <w:iCs/>
        </w:rPr>
        <w:t>Citizenship Studies</w:t>
      </w:r>
      <w:r>
        <w:t xml:space="preserve"> 26 (4–5): 393–400. https://doi.org/10.1080/13621025.2022.2091219.</w:t>
      </w:r>
    </w:p>
    <w:p w14:paraId="2754E064" w14:textId="77777777" w:rsidR="008E0B7B" w:rsidRDefault="008E0B7B" w:rsidP="008E0B7B">
      <w:pPr>
        <w:pStyle w:val="Bibliography"/>
      </w:pPr>
      <w:r>
        <w:t xml:space="preserve">Braun, Virginia, and Victoria Clarke. 2021. ‘To Saturate or Not to Saturate? Questioning Data Saturation as a Useful Concept for Thematic Analysis and Sample-Size Rationales’. </w:t>
      </w:r>
      <w:r>
        <w:rPr>
          <w:i/>
          <w:iCs/>
        </w:rPr>
        <w:t>Qualitative Research in Sport, Exercise and Health</w:t>
      </w:r>
      <w:r>
        <w:t xml:space="preserve"> 13 (2): 201–16. https://doi.org/10.1080/2159676X.2019.1704846.</w:t>
      </w:r>
    </w:p>
    <w:p w14:paraId="7E31368A" w14:textId="77777777" w:rsidR="008E0B7B" w:rsidRDefault="008E0B7B" w:rsidP="008E0B7B">
      <w:pPr>
        <w:pStyle w:val="Bibliography"/>
      </w:pPr>
      <w:r>
        <w:t xml:space="preserve">Brehony, Kevin J. 1992. ‘“Active Citizens”: The Case of School Governors’. </w:t>
      </w:r>
      <w:r>
        <w:rPr>
          <w:i/>
          <w:iCs/>
        </w:rPr>
        <w:t>International Studies in Sociology of Education</w:t>
      </w:r>
      <w:r>
        <w:t xml:space="preserve"> 2 (2): 199–217. https://doi.org/10.1080/0962021920020206.</w:t>
      </w:r>
    </w:p>
    <w:p w14:paraId="410640A6" w14:textId="77777777" w:rsidR="008E0B7B" w:rsidRDefault="008E0B7B" w:rsidP="008E0B7B">
      <w:pPr>
        <w:pStyle w:val="Bibliography"/>
      </w:pPr>
      <w:r>
        <w:t xml:space="preserve">Brenner, Neil. 2009. ‘Open Questions on State Rescaling’. </w:t>
      </w:r>
      <w:r>
        <w:rPr>
          <w:i/>
          <w:iCs/>
        </w:rPr>
        <w:t>Cambridge Journal of Regions, Economy and Society</w:t>
      </w:r>
      <w:r>
        <w:t xml:space="preserve"> 2 (1): 123–39. https://doi.org/10.1093/cjres/rsp002.</w:t>
      </w:r>
    </w:p>
    <w:p w14:paraId="27EAE52A" w14:textId="77777777" w:rsidR="008E0B7B" w:rsidRDefault="008E0B7B" w:rsidP="008E0B7B">
      <w:pPr>
        <w:pStyle w:val="Bibliography"/>
      </w:pPr>
      <w:r>
        <w:t xml:space="preserve">Brenner, Neil. 2019. </w:t>
      </w:r>
      <w:r>
        <w:rPr>
          <w:i/>
          <w:iCs/>
        </w:rPr>
        <w:t>New Urban Spaces: Urban Theory and the Scale Question</w:t>
      </w:r>
      <w:r>
        <w:t>. Oxford University Press.</w:t>
      </w:r>
    </w:p>
    <w:p w14:paraId="79665352" w14:textId="77777777" w:rsidR="008E0B7B" w:rsidRDefault="008E0B7B" w:rsidP="008E0B7B">
      <w:pPr>
        <w:pStyle w:val="Bibliography"/>
      </w:pPr>
      <w:r>
        <w:t xml:space="preserve">Brenner, Robert, and Mark Glick. 1991. ‘The Regulation Approach: Theory and History’. </w:t>
      </w:r>
      <w:r>
        <w:rPr>
          <w:i/>
          <w:iCs/>
        </w:rPr>
        <w:t>New Left Review</w:t>
      </w:r>
      <w:r>
        <w:t>, no. I/188 (August): 45–119.</w:t>
      </w:r>
    </w:p>
    <w:p w14:paraId="65977389" w14:textId="77777777" w:rsidR="008E0B7B" w:rsidRDefault="008E0B7B" w:rsidP="008E0B7B">
      <w:pPr>
        <w:pStyle w:val="Bibliography"/>
      </w:pPr>
      <w:r>
        <w:t xml:space="preserve">Brown, Philip, Santokh Gill, and Jamie P. Halsall. 2024. ‘The Impact of Housing on Refugees: An Evidence Synthesis’. </w:t>
      </w:r>
      <w:r>
        <w:rPr>
          <w:i/>
          <w:iCs/>
        </w:rPr>
        <w:t>Housing Studies</w:t>
      </w:r>
      <w:r>
        <w:t xml:space="preserve"> 39 (1): 227–71. https://doi.org/10.1080/02673037.2022.2045007.</w:t>
      </w:r>
    </w:p>
    <w:p w14:paraId="7E384D9F" w14:textId="77777777" w:rsidR="008E0B7B" w:rsidRDefault="008E0B7B" w:rsidP="008E0B7B">
      <w:pPr>
        <w:pStyle w:val="Bibliography"/>
      </w:pPr>
      <w:r>
        <w:t xml:space="preserve">Brownill, Sue. 1999. ‘Turning the East End into the West End: The Lessons and Legacies of the London Docklands Development Corporation’. In </w:t>
      </w:r>
      <w:r>
        <w:rPr>
          <w:i/>
          <w:iCs/>
        </w:rPr>
        <w:t>British Urban Policy: An Evaluation of the Urban Development Corporations</w:t>
      </w:r>
      <w:r>
        <w:t>, edited by Rob Imrie and Huw Thomas. SAGE Publications Ltd. https://doi.org/10.4135/9781446218907.n2.</w:t>
      </w:r>
    </w:p>
    <w:p w14:paraId="5106BA75" w14:textId="77777777" w:rsidR="008E0B7B" w:rsidRDefault="008E0B7B" w:rsidP="008E0B7B">
      <w:pPr>
        <w:pStyle w:val="Bibliography"/>
      </w:pPr>
      <w:r>
        <w:t xml:space="preserve">Brubaker, Rogers. 2002. </w:t>
      </w:r>
      <w:r>
        <w:rPr>
          <w:i/>
          <w:iCs/>
        </w:rPr>
        <w:t>Citizenship and Nationhood in France and Germany</w:t>
      </w:r>
      <w:r>
        <w:t>. 6. print. Harvard Univ. Press.</w:t>
      </w:r>
    </w:p>
    <w:p w14:paraId="0A2BF159" w14:textId="77777777" w:rsidR="008E0B7B" w:rsidRDefault="008E0B7B" w:rsidP="008E0B7B">
      <w:pPr>
        <w:pStyle w:val="Bibliography"/>
      </w:pPr>
      <w:r>
        <w:t xml:space="preserve">Bruff, Ian. 2014. ‘The Rise of Authoritarian Neoliberalism’. </w:t>
      </w:r>
      <w:r>
        <w:rPr>
          <w:i/>
          <w:iCs/>
        </w:rPr>
        <w:t>Rethinking Marxism</w:t>
      </w:r>
      <w:r>
        <w:t xml:space="preserve"> 26 (1): 113–29. https://doi.org/10.1080/08935696.2013.843250.</w:t>
      </w:r>
    </w:p>
    <w:p w14:paraId="52D6AAD0" w14:textId="77777777" w:rsidR="008E0B7B" w:rsidRDefault="008E0B7B" w:rsidP="008E0B7B">
      <w:pPr>
        <w:pStyle w:val="Bibliography"/>
      </w:pPr>
      <w:r>
        <w:lastRenderedPageBreak/>
        <w:t xml:space="preserve">Bruff, Ian, and Cemal Burak Tansel, eds. 2021. </w:t>
      </w:r>
      <w:r>
        <w:rPr>
          <w:i/>
          <w:iCs/>
        </w:rPr>
        <w:t>Authoritarian Neoliberalism: Philosophies, Practices, Contestations</w:t>
      </w:r>
      <w:r>
        <w:t>. Rethinking Globalizations. Routledge, Taylor &amp; Francis Group.</w:t>
      </w:r>
    </w:p>
    <w:p w14:paraId="1063D258" w14:textId="77777777" w:rsidR="008E0B7B" w:rsidRDefault="008E0B7B" w:rsidP="008E0B7B">
      <w:pPr>
        <w:pStyle w:val="Bibliography"/>
      </w:pPr>
      <w:r>
        <w:t xml:space="preserve">Burnham, Peter. 2001. ‘New Labour and the Politics of Depoliticisation’. </w:t>
      </w:r>
      <w:r>
        <w:rPr>
          <w:i/>
          <w:iCs/>
        </w:rPr>
        <w:t>The British Journal of Politics &amp; International Relations</w:t>
      </w:r>
      <w:r>
        <w:t xml:space="preserve"> 3 (2): 127–49. https://doi.org/10.1111/1467-856X.00054.</w:t>
      </w:r>
    </w:p>
    <w:p w14:paraId="60893935" w14:textId="77777777" w:rsidR="008E0B7B" w:rsidRDefault="008E0B7B" w:rsidP="008E0B7B">
      <w:pPr>
        <w:pStyle w:val="Bibliography"/>
      </w:pPr>
      <w:r>
        <w:t xml:space="preserve">Burnham, Peter. 2014. </w:t>
      </w:r>
      <w:r>
        <w:rPr>
          <w:i/>
          <w:iCs/>
        </w:rPr>
        <w:t>Depoliticisation: Economic Crisis and Political Management</w:t>
      </w:r>
      <w:r>
        <w:t>. Policy &amp; Politics. April 1. https://doi.org/10.1332/030557312X655954.</w:t>
      </w:r>
    </w:p>
    <w:p w14:paraId="0B648BC9" w14:textId="77777777" w:rsidR="008E0B7B" w:rsidRDefault="008E0B7B" w:rsidP="008E0B7B">
      <w:pPr>
        <w:pStyle w:val="Bibliography"/>
      </w:pPr>
      <w:r>
        <w:t xml:space="preserve">Byrne, David. 2018. ‘The Problem That Is Labour Local Government: It Is Time to Move Away from Labour Pragmatism in Local Government’. </w:t>
      </w:r>
      <w:r>
        <w:rPr>
          <w:i/>
          <w:iCs/>
        </w:rPr>
        <w:t>Soundings</w:t>
      </w:r>
      <w:r>
        <w:t>, no. 69 (June): 50–64. https://doi.org/10.3898/SOUN:69.03.2018.</w:t>
      </w:r>
    </w:p>
    <w:p w14:paraId="2B535638" w14:textId="77777777" w:rsidR="008E0B7B" w:rsidRDefault="008E0B7B" w:rsidP="008E0B7B">
      <w:pPr>
        <w:pStyle w:val="Bibliography"/>
      </w:pPr>
      <w:r>
        <w:t xml:space="preserve">Calcagno, Antonio. 2008. ‘Alain Badiou: The Event of Becoming a Political Subject’. </w:t>
      </w:r>
      <w:r>
        <w:rPr>
          <w:i/>
          <w:iCs/>
        </w:rPr>
        <w:t>Philosophy &amp; Social Criticism</w:t>
      </w:r>
      <w:r>
        <w:t xml:space="preserve"> 34 (9): 1051–70. https://doi.org/10.1177/0191453708098537.</w:t>
      </w:r>
    </w:p>
    <w:p w14:paraId="371F5EA9" w14:textId="77777777" w:rsidR="008E0B7B" w:rsidRDefault="008E0B7B" w:rsidP="008E0B7B">
      <w:pPr>
        <w:pStyle w:val="Bibliography"/>
      </w:pPr>
      <w:r>
        <w:t xml:space="preserve">Cameron, David. 2011. ‘Riots: David Cameron’s Commons Statement in Full’. UK Politics. </w:t>
      </w:r>
      <w:r>
        <w:rPr>
          <w:i/>
          <w:iCs/>
        </w:rPr>
        <w:t>BBC News</w:t>
      </w:r>
      <w:r>
        <w:t>, August 11. https://www.bbc.com/news/uk-politics-14492789.</w:t>
      </w:r>
    </w:p>
    <w:p w14:paraId="497F5BB3" w14:textId="77777777" w:rsidR="008E0B7B" w:rsidRDefault="008E0B7B" w:rsidP="008E0B7B">
      <w:pPr>
        <w:pStyle w:val="Bibliography"/>
      </w:pPr>
      <w:r>
        <w:t xml:space="preserve">Can, Aysegul, and Hugo Fanton. 2024. ‘Neo-Liberal Authoritarian Urbanism: The Dominant Contemporary Patterns of Urban Spatial Production in Istanbul and São Paulo’. </w:t>
      </w:r>
      <w:r>
        <w:rPr>
          <w:i/>
          <w:iCs/>
        </w:rPr>
        <w:t>Globalizations</w:t>
      </w:r>
      <w:r>
        <w:t xml:space="preserve"> 21 (6): 1108–24. https://doi.org/10.1080/14747731.2022.2156237.</w:t>
      </w:r>
    </w:p>
    <w:p w14:paraId="35EDC7DB" w14:textId="77777777" w:rsidR="008E0B7B" w:rsidRDefault="008E0B7B" w:rsidP="008E0B7B">
      <w:pPr>
        <w:pStyle w:val="Bibliography"/>
      </w:pPr>
      <w:r>
        <w:t xml:space="preserve">Can, Aysegul, Alke Jenss, and Hugo Fanton. 2024. ‘State-Led Gentrification Against the Backdrop of Urban Authoritarian Practices’. </w:t>
      </w:r>
      <w:r>
        <w:rPr>
          <w:i/>
          <w:iCs/>
        </w:rPr>
        <w:t>International Journal of Urban and Regional Research</w:t>
      </w:r>
      <w:r>
        <w:t xml:space="preserve"> n/a (n/a). https://doi.org/10.1111/1468-2427.13236.</w:t>
      </w:r>
    </w:p>
    <w:p w14:paraId="7E18F0A0" w14:textId="77777777" w:rsidR="008E0B7B" w:rsidRDefault="008E0B7B" w:rsidP="008E0B7B">
      <w:pPr>
        <w:pStyle w:val="Bibliography"/>
      </w:pPr>
      <w:r>
        <w:t xml:space="preserve">Castañeda, Heide. 2013. ‘Medical Aid as Protest: Acts of Citizenship for Unauthorized Im/Migrants and Refugees’. </w:t>
      </w:r>
      <w:r>
        <w:rPr>
          <w:i/>
          <w:iCs/>
        </w:rPr>
        <w:t>Citizenship Studies</w:t>
      </w:r>
      <w:r>
        <w:t xml:space="preserve"> 17 (2): 227–40. https://doi.org/10.1080/13621025.2013.780744.</w:t>
      </w:r>
    </w:p>
    <w:p w14:paraId="1DD422B0" w14:textId="77777777" w:rsidR="008E0B7B" w:rsidRDefault="008E0B7B" w:rsidP="008E0B7B">
      <w:pPr>
        <w:pStyle w:val="Bibliography"/>
      </w:pPr>
      <w:r>
        <w:t>Centre for London. 2023. ‘Haringey Social Housing Wait Times’. https://centreforlondon.org/haringey-social-housing-wait-times/.</w:t>
      </w:r>
    </w:p>
    <w:p w14:paraId="6E437773" w14:textId="77777777" w:rsidR="008E0B7B" w:rsidRDefault="008E0B7B" w:rsidP="008E0B7B">
      <w:pPr>
        <w:pStyle w:val="Bibliography"/>
      </w:pPr>
      <w:r>
        <w:t xml:space="preserve">Chakelian, Anoosh. 2019. ‘Why Is the First Corbyn Council Siding with Developers against Local Market Traders?’ </w:t>
      </w:r>
      <w:r>
        <w:rPr>
          <w:i/>
          <w:iCs/>
        </w:rPr>
        <w:t>New Statesman</w:t>
      </w:r>
      <w:r>
        <w:t>, October 11. https://www.newstatesman.com/politics/business-and-finance/2019/10/why-corbyn-council-haringey-seven-sisters-latin-village-property-developers-local-market-traders.</w:t>
      </w:r>
    </w:p>
    <w:p w14:paraId="2D4A7BDA" w14:textId="77777777" w:rsidR="008E0B7B" w:rsidRDefault="008E0B7B" w:rsidP="008E0B7B">
      <w:pPr>
        <w:pStyle w:val="Bibliography"/>
      </w:pPr>
      <w:r>
        <w:t xml:space="preserve">Chakrabortty, Aditya. 2017. ‘A Labour Council Attacking Its Own People? This Is Regeneration Gone Bad’. Opinion. </w:t>
      </w:r>
      <w:r>
        <w:rPr>
          <w:i/>
          <w:iCs/>
        </w:rPr>
        <w:t>The Guardian</w:t>
      </w:r>
      <w:r>
        <w:t>, October 25. https://www.theguardian.com/commentisfree/2017/oct/25/labour-council-regeneration-housing-crisis-high-court-judge.</w:t>
      </w:r>
    </w:p>
    <w:p w14:paraId="1D7E2474" w14:textId="77777777" w:rsidR="008E0B7B" w:rsidRDefault="008E0B7B" w:rsidP="008E0B7B">
      <w:pPr>
        <w:pStyle w:val="Bibliography"/>
      </w:pPr>
      <w:r>
        <w:lastRenderedPageBreak/>
        <w:t xml:space="preserve">Chakrabortty, Aditya. 2018. ‘In Haringey the People Have Taken over, Not the Hard Left’. Opinion. </w:t>
      </w:r>
      <w:r>
        <w:rPr>
          <w:i/>
          <w:iCs/>
        </w:rPr>
        <w:t>The Guardian</w:t>
      </w:r>
      <w:r>
        <w:t>, February 1. https://www.theguardian.com/commentisfree/2018/feb/01/haringey-council-claire-kober-momentum-residents.</w:t>
      </w:r>
    </w:p>
    <w:p w14:paraId="0B4929D8" w14:textId="77777777" w:rsidR="008E0B7B" w:rsidRDefault="008E0B7B" w:rsidP="008E0B7B">
      <w:pPr>
        <w:pStyle w:val="Bibliography"/>
      </w:pPr>
      <w:r>
        <w:t xml:space="preserve">Chappell, Elliot. 2022. ‘Councillor and Ex-Leader Ejiofor Blocked from Standing as Labour Candidate’. </w:t>
      </w:r>
      <w:r>
        <w:rPr>
          <w:i/>
          <w:iCs/>
        </w:rPr>
        <w:t>LabourList</w:t>
      </w:r>
      <w:r>
        <w:t>, February 21. https://labourlist.org/2022/02/councillor-and-ex-council-leader-blocked-from-standing-as-labour-candidate/.</w:t>
      </w:r>
    </w:p>
    <w:p w14:paraId="10D703AF" w14:textId="77777777" w:rsidR="008E0B7B" w:rsidRDefault="008E0B7B" w:rsidP="008E0B7B">
      <w:pPr>
        <w:pStyle w:val="Bibliography"/>
      </w:pPr>
      <w:r>
        <w:t xml:space="preserve">Chiles, Prue. 2021. ‘Site Time’. In </w:t>
      </w:r>
      <w:r>
        <w:rPr>
          <w:i/>
          <w:iCs/>
        </w:rPr>
        <w:t>Working with Time in Qualitative Research</w:t>
      </w:r>
      <w:r>
        <w:t>, 1st edn, by Keri Facer, Johan Siebers, and Bradon Smith. Routledge. https://doi.org/10.4324/9781003152255-6.</w:t>
      </w:r>
    </w:p>
    <w:p w14:paraId="23B51D9A" w14:textId="77777777" w:rsidR="008E0B7B" w:rsidRDefault="008E0B7B" w:rsidP="008E0B7B">
      <w:pPr>
        <w:pStyle w:val="Bibliography"/>
      </w:pPr>
      <w:r>
        <w:t xml:space="preserve">Christophers, Brett. 2018. </w:t>
      </w:r>
      <w:r>
        <w:rPr>
          <w:i/>
          <w:iCs/>
        </w:rPr>
        <w:t>The New Enclosure: The Appropriation of Public Land in Neoliberal Britain</w:t>
      </w:r>
      <w:r>
        <w:t>. Verso.</w:t>
      </w:r>
    </w:p>
    <w:p w14:paraId="763D6C4B" w14:textId="77777777" w:rsidR="008E0B7B" w:rsidRDefault="008E0B7B" w:rsidP="008E0B7B">
      <w:pPr>
        <w:pStyle w:val="Bibliography"/>
      </w:pPr>
      <w:r>
        <w:t xml:space="preserve">Christophers, Brett. 2019a. ‘Putting Financialisation in Its Financial Context: Transformations in Local Government-Led Urban Development in Post-Financial Crisis England’. </w:t>
      </w:r>
      <w:r>
        <w:rPr>
          <w:i/>
          <w:iCs/>
        </w:rPr>
        <w:t>Transactions of the Institute of British Geographers</w:t>
      </w:r>
      <w:r>
        <w:t xml:space="preserve"> 44 (3): 571–86. https://doi.org/10.1111/tran.12305.</w:t>
      </w:r>
    </w:p>
    <w:p w14:paraId="2D7060CC" w14:textId="77777777" w:rsidR="008E0B7B" w:rsidRDefault="008E0B7B" w:rsidP="008E0B7B">
      <w:pPr>
        <w:pStyle w:val="Bibliography"/>
      </w:pPr>
      <w:r>
        <w:t xml:space="preserve">Christophers, Brett. 2019b. ‘The Rentierization of the United Kingdom Economy’. </w:t>
      </w:r>
      <w:r>
        <w:rPr>
          <w:i/>
          <w:iCs/>
        </w:rPr>
        <w:t>Environment and Planning A: Economy and Space</w:t>
      </w:r>
      <w:r>
        <w:t>, September 11, 0308518X19873007. https://doi.org/10.1177/0308518X19873007.</w:t>
      </w:r>
    </w:p>
    <w:p w14:paraId="4B3E4D26" w14:textId="77777777" w:rsidR="008E0B7B" w:rsidRDefault="008E0B7B" w:rsidP="008E0B7B">
      <w:pPr>
        <w:pStyle w:val="Bibliography"/>
      </w:pPr>
      <w:r>
        <w:t xml:space="preserve">Chu, Cecilia L., and Shenjing He, eds. 2022. </w:t>
      </w:r>
      <w:r>
        <w:rPr>
          <w:i/>
          <w:iCs/>
        </w:rPr>
        <w:t>The Speculative City: Emergent Forms and Norms of the Built Environment</w:t>
      </w:r>
      <w:r>
        <w:t>. University of Toronto Press.</w:t>
      </w:r>
    </w:p>
    <w:p w14:paraId="302278E2" w14:textId="77777777" w:rsidR="008E0B7B" w:rsidRDefault="008E0B7B" w:rsidP="008E0B7B">
      <w:pPr>
        <w:pStyle w:val="Bibliography"/>
      </w:pPr>
      <w:r>
        <w:t xml:space="preserve">Clare, Nick, Nigel de Noronha, Shaun French, and Richard Goulding. 2022. ‘Actually Existing Racial Capitalism: Financialisation and Bordering in UK Housing Associations’. </w:t>
      </w:r>
      <w:r>
        <w:rPr>
          <w:i/>
          <w:iCs/>
        </w:rPr>
        <w:t>Geography Compass</w:t>
      </w:r>
      <w:r>
        <w:t xml:space="preserve"> 16 (11): e12665. https://doi.org/10.1111/gec3.12665.</w:t>
      </w:r>
    </w:p>
    <w:p w14:paraId="358433EB" w14:textId="77777777" w:rsidR="008E0B7B" w:rsidRDefault="008E0B7B" w:rsidP="008E0B7B">
      <w:pPr>
        <w:pStyle w:val="Bibliography"/>
      </w:pPr>
      <w:r>
        <w:t xml:space="preserve">Clarke, Victoria, and Virginia Braun. 2017. ‘Thematic Analysis’. </w:t>
      </w:r>
      <w:r>
        <w:rPr>
          <w:i/>
          <w:iCs/>
        </w:rPr>
        <w:t>The Journal of Positive Psychology</w:t>
      </w:r>
      <w:r>
        <w:t xml:space="preserve"> 12 (3): 297–98. https://doi.org/10.1080/17439760.2016.1262613.</w:t>
      </w:r>
    </w:p>
    <w:p w14:paraId="2BC89298" w14:textId="77777777" w:rsidR="008E0B7B" w:rsidRDefault="008E0B7B" w:rsidP="008E0B7B">
      <w:pPr>
        <w:pStyle w:val="Bibliography"/>
      </w:pPr>
      <w:r>
        <w:t xml:space="preserve">Cockburn, Cynthia. 1980. </w:t>
      </w:r>
      <w:r>
        <w:rPr>
          <w:i/>
          <w:iCs/>
        </w:rPr>
        <w:t>The Local State: Management of Cities and People</w:t>
      </w:r>
      <w:r>
        <w:t>. Repr. Pluto Press.</w:t>
      </w:r>
    </w:p>
    <w:p w14:paraId="48AC8AFD" w14:textId="77777777" w:rsidR="008E0B7B" w:rsidRDefault="008E0B7B" w:rsidP="008E0B7B">
      <w:pPr>
        <w:pStyle w:val="Bibliography"/>
      </w:pPr>
      <w:r>
        <w:t xml:space="preserve">Cooper, Charlie. 2012. ‘Understanding the English “Riots” of 2011: “Mindless Criminality” or Youth “Mekin Histri” in Austerity Britain?’ </w:t>
      </w:r>
      <w:r>
        <w:rPr>
          <w:i/>
          <w:iCs/>
        </w:rPr>
        <w:t>Youth &amp; Policy</w:t>
      </w:r>
      <w:r>
        <w:t xml:space="preserve"> 109 (September). https://hull-repository.worktribe.com/output/471549/understanding-the-english-riots-of-2011-mindless-criminality-or-youth-mekin-histri-in-austerity-britain.</w:t>
      </w:r>
    </w:p>
    <w:p w14:paraId="1E5CE77A" w14:textId="77777777" w:rsidR="008E0B7B" w:rsidRDefault="008E0B7B" w:rsidP="008E0B7B">
      <w:pPr>
        <w:pStyle w:val="Bibliography"/>
      </w:pPr>
      <w:r>
        <w:lastRenderedPageBreak/>
        <w:t xml:space="preserve">Cooper, Vickie, and Kirsteen Paton. 2021. ‘Accumulation by Repossession: The Political Economy of Evictions under Austerity’. </w:t>
      </w:r>
      <w:r>
        <w:rPr>
          <w:i/>
          <w:iCs/>
        </w:rPr>
        <w:t>Urban Geography</w:t>
      </w:r>
      <w:r>
        <w:t xml:space="preserve"> 42 (5): 583–602. https://doi.org/10.1080/02723638.2019.1659695.</w:t>
      </w:r>
    </w:p>
    <w:p w14:paraId="6D28E572" w14:textId="77777777" w:rsidR="008E0B7B" w:rsidRDefault="008E0B7B" w:rsidP="008E0B7B">
      <w:pPr>
        <w:pStyle w:val="Bibliography"/>
      </w:pPr>
      <w:r>
        <w:t xml:space="preserve">Copus, Colin. 2004. </w:t>
      </w:r>
      <w:r>
        <w:rPr>
          <w:i/>
          <w:iCs/>
        </w:rPr>
        <w:t>Party Politics and Local Government</w:t>
      </w:r>
      <w:r>
        <w:t>. Manchester University Press.</w:t>
      </w:r>
    </w:p>
    <w:p w14:paraId="54F7341C" w14:textId="77777777" w:rsidR="008E0B7B" w:rsidRDefault="008E0B7B" w:rsidP="008E0B7B">
      <w:pPr>
        <w:pStyle w:val="Bibliography"/>
      </w:pPr>
      <w:r>
        <w:t xml:space="preserve">Copus, Colin. 2015. </w:t>
      </w:r>
      <w:r>
        <w:rPr>
          <w:i/>
          <w:iCs/>
        </w:rPr>
        <w:t>In Defence of Councillors</w:t>
      </w:r>
      <w:r>
        <w:t>. University Press. https://doi.org/10.7765/9781784996727.</w:t>
      </w:r>
    </w:p>
    <w:p w14:paraId="2A96ED04" w14:textId="77777777" w:rsidR="008E0B7B" w:rsidRDefault="008E0B7B" w:rsidP="008E0B7B">
      <w:pPr>
        <w:pStyle w:val="Bibliography"/>
      </w:pPr>
      <w:r>
        <w:t xml:space="preserve">Copus, Colin. 2023. </w:t>
      </w:r>
      <w:r>
        <w:rPr>
          <w:i/>
          <w:iCs/>
        </w:rPr>
        <w:t>Councillors as Local Representatives: Council, Community, Centralisation and Complexity</w:t>
      </w:r>
      <w:r>
        <w:t>. https://www.elgaronline.com/edcollchap/book/9781800371200/book-part-9781800371200-18.xml.</w:t>
      </w:r>
    </w:p>
    <w:p w14:paraId="7B0F79EE" w14:textId="77777777" w:rsidR="008E0B7B" w:rsidRDefault="008E0B7B" w:rsidP="008E0B7B">
      <w:pPr>
        <w:pStyle w:val="Bibliography"/>
      </w:pPr>
      <w:r>
        <w:t xml:space="preserve">Cousin, Glynis. 2005. ‘Case Study Research’. </w:t>
      </w:r>
      <w:r>
        <w:rPr>
          <w:i/>
          <w:iCs/>
        </w:rPr>
        <w:t>Journal of Geography in Higher Education</w:t>
      </w:r>
      <w:r>
        <w:t xml:space="preserve"> 29 (3): 421–27. https://doi.org/10.1080/03098260500290967.</w:t>
      </w:r>
    </w:p>
    <w:p w14:paraId="1BC5AA9B" w14:textId="77777777" w:rsidR="008E0B7B" w:rsidRDefault="008E0B7B" w:rsidP="008E0B7B">
      <w:pPr>
        <w:pStyle w:val="Bibliography"/>
      </w:pPr>
      <w:r>
        <w:t xml:space="preserve">Cracknell, James. 2025. ‘Tottenham Councillor Quits amid Broadside at Labour-Run Government and Council’. News. </w:t>
      </w:r>
      <w:r>
        <w:rPr>
          <w:i/>
          <w:iCs/>
        </w:rPr>
        <w:t>Haringey Community Press</w:t>
      </w:r>
      <w:r>
        <w:t>, March 4. https://haringeycommunitypress.co.uk/2025/03/04/tottenham-councillor-quits-amid-broadside-at-labour-run-government-and-council/.</w:t>
      </w:r>
    </w:p>
    <w:p w14:paraId="092EBBA0" w14:textId="77777777" w:rsidR="008E0B7B" w:rsidRDefault="008E0B7B" w:rsidP="008E0B7B">
      <w:pPr>
        <w:pStyle w:val="Bibliography"/>
      </w:pPr>
      <w:r>
        <w:t xml:space="preserve">Crang, Mike, and Ian Cook. 2007. </w:t>
      </w:r>
      <w:r>
        <w:rPr>
          <w:i/>
          <w:iCs/>
        </w:rPr>
        <w:t>Doing Ethnographies</w:t>
      </w:r>
      <w:r>
        <w:t>. SAGE Publications Ltd. https://doi.org/10.4135/9781849208949.</w:t>
      </w:r>
    </w:p>
    <w:p w14:paraId="60E0AF42" w14:textId="77777777" w:rsidR="008E0B7B" w:rsidRDefault="008E0B7B" w:rsidP="008E0B7B">
      <w:pPr>
        <w:pStyle w:val="Bibliography"/>
      </w:pPr>
      <w:r>
        <w:t xml:space="preserve">Crines, Andrew Scott, David Jeffery, and Timothy Heppell. 2018. ‘The British Labour Party and Leadership Election Mandate(s) of Jeremy Corbyn: Patterns of Opinion and Opposition within the Parliamentary Labour Party’. </w:t>
      </w:r>
      <w:r>
        <w:rPr>
          <w:i/>
          <w:iCs/>
        </w:rPr>
        <w:t>Journal of Elections, Public Opinion and Parties</w:t>
      </w:r>
      <w:r>
        <w:t xml:space="preserve"> 28 (3): 361–79. https://doi.org/10.1080/17457289.2017.1403921.</w:t>
      </w:r>
    </w:p>
    <w:p w14:paraId="26B0516B" w14:textId="77777777" w:rsidR="008E0B7B" w:rsidRDefault="008E0B7B" w:rsidP="008E0B7B">
      <w:pPr>
        <w:pStyle w:val="Bibliography"/>
      </w:pPr>
      <w:r>
        <w:t>Crossrail 2. n.d. ‘Crossrail 2 - Supporting Growth in the South East’. Accessed 16 September 2025. https://crossrail2.co.uk/.</w:t>
      </w:r>
    </w:p>
    <w:p w14:paraId="55303290" w14:textId="77777777" w:rsidR="008E0B7B" w:rsidRDefault="008E0B7B" w:rsidP="008E0B7B">
      <w:pPr>
        <w:pStyle w:val="Bibliography"/>
      </w:pPr>
      <w:r>
        <w:t xml:space="preserve">Da Costa Vieira, Thomas. 2023. ‘“In Time, Every Worker a Capitalist”: Accumulation by Legitimation and Authoritarian Neoliberalism in Thatcher’s Britain’. </w:t>
      </w:r>
      <w:r>
        <w:rPr>
          <w:i/>
          <w:iCs/>
        </w:rPr>
        <w:t>Competition &amp; Change</w:t>
      </w:r>
      <w:r>
        <w:t xml:space="preserve"> 27 (5): 729–47. https://doi.org/10.1177/10245294231153028.</w:t>
      </w:r>
    </w:p>
    <w:p w14:paraId="35109D19" w14:textId="77777777" w:rsidR="008E0B7B" w:rsidRDefault="008E0B7B" w:rsidP="008E0B7B">
      <w:pPr>
        <w:pStyle w:val="Bibliography"/>
      </w:pPr>
      <w:r>
        <w:t xml:space="preserve">Dahl, Robert Alan. (1961) 2005. </w:t>
      </w:r>
      <w:r>
        <w:rPr>
          <w:i/>
          <w:iCs/>
        </w:rPr>
        <w:t>Who Governs? Democracy and Power in an American City</w:t>
      </w:r>
      <w:r>
        <w:t>. 2. ed. Yale University Press.</w:t>
      </w:r>
    </w:p>
    <w:p w14:paraId="5967994E" w14:textId="77777777" w:rsidR="008E0B7B" w:rsidRDefault="008E0B7B" w:rsidP="008E0B7B">
      <w:pPr>
        <w:pStyle w:val="Bibliography"/>
      </w:pPr>
      <w:r>
        <w:t xml:space="preserve">Daly, Guy, Gerry Mooney, Lynne Poole, and Howard Davis. 2005. ‘Housing Stock Transfer in Birmingham and Glasgow: The Contrasting Experiences of Two UK Cities’. </w:t>
      </w:r>
      <w:r>
        <w:rPr>
          <w:i/>
          <w:iCs/>
        </w:rPr>
        <w:t>European Journal of Housing Policy</w:t>
      </w:r>
      <w:r>
        <w:t>, ahead of print, December 1. World. https://doi.org/10.1080/14616710500342234.</w:t>
      </w:r>
    </w:p>
    <w:p w14:paraId="76711B47" w14:textId="77777777" w:rsidR="008E0B7B" w:rsidRDefault="008E0B7B" w:rsidP="008E0B7B">
      <w:pPr>
        <w:pStyle w:val="Bibliography"/>
      </w:pPr>
      <w:r>
        <w:lastRenderedPageBreak/>
        <w:t xml:space="preserve">Danewid, Ida. 2020. ‘The Fire This Time: Grenfell, Racial Capitalism and the Urbanisation of Empire’. </w:t>
      </w:r>
      <w:r>
        <w:rPr>
          <w:i/>
          <w:iCs/>
        </w:rPr>
        <w:t>European Journal of International Relations</w:t>
      </w:r>
      <w:r>
        <w:t xml:space="preserve"> 26 (1): 289–313. https://doi.org/10.1177/1354066119858388.</w:t>
      </w:r>
    </w:p>
    <w:p w14:paraId="6C3059BE" w14:textId="77777777" w:rsidR="008E0B7B" w:rsidRDefault="008E0B7B" w:rsidP="008E0B7B">
      <w:pPr>
        <w:pStyle w:val="Bibliography"/>
      </w:pPr>
      <w:r>
        <w:t xml:space="preserve">Darling, Jonathan. 2014. ‘Asylum and the Post-Political: Domopolitics, Depoliticisation and Acts of Citizenship’. </w:t>
      </w:r>
      <w:r>
        <w:rPr>
          <w:i/>
          <w:iCs/>
        </w:rPr>
        <w:t>Antipode</w:t>
      </w:r>
      <w:r>
        <w:t xml:space="preserve"> 46 (1): 72–91. https://doi.org/10.1111/anti.12026.</w:t>
      </w:r>
    </w:p>
    <w:p w14:paraId="15EFBE0B" w14:textId="77777777" w:rsidR="008E0B7B" w:rsidRDefault="008E0B7B" w:rsidP="008E0B7B">
      <w:pPr>
        <w:pStyle w:val="Bibliography"/>
      </w:pPr>
      <w:r>
        <w:t xml:space="preserve">Darling, Jonathan. 2017. ‘Acts, Ambiguities, and the Labour of Contesting Citizenship’. </w:t>
      </w:r>
      <w:r>
        <w:rPr>
          <w:i/>
          <w:iCs/>
        </w:rPr>
        <w:t>Citizenship Studies</w:t>
      </w:r>
      <w:r>
        <w:t xml:space="preserve"> 21 (6): 727–36. https://doi.org/10.1080/13621025.2017.1341658.</w:t>
      </w:r>
    </w:p>
    <w:p w14:paraId="295A74C1" w14:textId="77777777" w:rsidR="008E0B7B" w:rsidRDefault="008E0B7B" w:rsidP="008E0B7B">
      <w:pPr>
        <w:pStyle w:val="Bibliography"/>
      </w:pPr>
      <w:r>
        <w:t xml:space="preserve">Davey, Ryan, and Insa Lee Koch. 2021. ‘Everyday Authoritarianism: Class and Coercion on Housing Estates in Neoliberal Britain’. </w:t>
      </w:r>
      <w:r>
        <w:rPr>
          <w:i/>
          <w:iCs/>
        </w:rPr>
        <w:t>PoLAR: Political and Legal Anthropology Review</w:t>
      </w:r>
      <w:r>
        <w:t xml:space="preserve"> 44 (1): 43–59. https://doi.org/10.1111/plar.12422.</w:t>
      </w:r>
    </w:p>
    <w:p w14:paraId="0E3DD1E7" w14:textId="77777777" w:rsidR="008E0B7B" w:rsidRDefault="008E0B7B" w:rsidP="008E0B7B">
      <w:pPr>
        <w:pStyle w:val="Bibliography"/>
      </w:pPr>
      <w:r>
        <w:t xml:space="preserve">Davidson, Gill, David Mcguinness, Paul Greenhalgh, Paul Braidford, and Fred Robinson. 2013. ‘“It’Ll Get Worse before It Gets Better”: Local Experiences of Living in a Regeneration Area’. </w:t>
      </w:r>
      <w:r>
        <w:rPr>
          <w:i/>
          <w:iCs/>
        </w:rPr>
        <w:t>Journal of Urban Regeneration and Renewal</w:t>
      </w:r>
      <w:r>
        <w:t>, September 1. doi.org/10.69554/WREP1300.</w:t>
      </w:r>
    </w:p>
    <w:p w14:paraId="74AA50D3" w14:textId="77777777" w:rsidR="008E0B7B" w:rsidRDefault="008E0B7B" w:rsidP="008E0B7B">
      <w:pPr>
        <w:pStyle w:val="Bibliography"/>
      </w:pPr>
      <w:r>
        <w:t xml:space="preserve">Davies, Aled. 2013. ‘“Right to Buy”: The Development of a Conservative Housing Policy, 1945–1980’. </w:t>
      </w:r>
      <w:r>
        <w:rPr>
          <w:i/>
          <w:iCs/>
        </w:rPr>
        <w:t>Contemporary British History</w:t>
      </w:r>
      <w:r>
        <w:t xml:space="preserve"> 27 (4): 421–44. https://doi.org/10.1080/13619462.2013.824660.</w:t>
      </w:r>
    </w:p>
    <w:p w14:paraId="44EB9A8D" w14:textId="77777777" w:rsidR="008E0B7B" w:rsidRDefault="008E0B7B" w:rsidP="008E0B7B">
      <w:pPr>
        <w:pStyle w:val="Bibliography"/>
      </w:pPr>
      <w:r>
        <w:t xml:space="preserve">Davies, Jonathan S. 2012. </w:t>
      </w:r>
      <w:r>
        <w:rPr>
          <w:i/>
          <w:iCs/>
        </w:rPr>
        <w:t>Active Citizenship: Navigating the Conservative Heartlands of the New Labour Project</w:t>
      </w:r>
      <w:r>
        <w:t>. Policy &amp; Politics. January 1. https://doi.org/10.1332/147084411X581781.</w:t>
      </w:r>
    </w:p>
    <w:p w14:paraId="1D94DC48" w14:textId="77777777" w:rsidR="008E0B7B" w:rsidRDefault="008E0B7B" w:rsidP="008E0B7B">
      <w:pPr>
        <w:pStyle w:val="Bibliography"/>
      </w:pPr>
      <w:r>
        <w:t xml:space="preserve">Dawson, Phillip. 2014. ‘Our Anonymous Online Research Participants Are Not Always Anonymous: Is This a Problem?’ </w:t>
      </w:r>
      <w:r>
        <w:rPr>
          <w:i/>
          <w:iCs/>
        </w:rPr>
        <w:t>British Journal of Educational Technology</w:t>
      </w:r>
      <w:r>
        <w:t xml:space="preserve"> 45 (3): 428–37. https://doi.org/10.1111/bjet.12144.</w:t>
      </w:r>
    </w:p>
    <w:p w14:paraId="72D36D73" w14:textId="77777777" w:rsidR="008E0B7B" w:rsidRDefault="008E0B7B" w:rsidP="008E0B7B">
      <w:pPr>
        <w:pStyle w:val="Bibliography"/>
      </w:pPr>
      <w:r>
        <w:t xml:space="preserve">Delahunty, Stephen. 2025. ‘Report Shows Cross-Party Backing for 100,000 New Council-Built Homes a Year’. </w:t>
      </w:r>
      <w:r>
        <w:rPr>
          <w:i/>
          <w:iCs/>
        </w:rPr>
        <w:t>Inside Housing</w:t>
      </w:r>
      <w:r>
        <w:t>, August 14. https://www.insidehousing.co.uk/news/report-shows-cross-party-backing-for-100000-new-council-built-homes-a-year-93277.</w:t>
      </w:r>
    </w:p>
    <w:p w14:paraId="341AD6EE" w14:textId="77777777" w:rsidR="008E0B7B" w:rsidRDefault="008E0B7B" w:rsidP="008E0B7B">
      <w:pPr>
        <w:pStyle w:val="Bibliography"/>
      </w:pPr>
      <w:r>
        <w:t xml:space="preserve">DeLyser, Dydia, and Paul F. Starrs. 2001. ‘Doing Fieldwork: Editors’ Introduction’. </w:t>
      </w:r>
      <w:r>
        <w:rPr>
          <w:i/>
          <w:iCs/>
        </w:rPr>
        <w:t>Geographical Review</w:t>
      </w:r>
      <w:r>
        <w:t xml:space="preserve"> 91 (1–2): iv–viii. https://doi.org/10.1111/j.1931-0846.2001.tb00450.x.</w:t>
      </w:r>
    </w:p>
    <w:p w14:paraId="04B42F92" w14:textId="77777777" w:rsidR="008E0B7B" w:rsidRDefault="008E0B7B" w:rsidP="008E0B7B">
      <w:pPr>
        <w:pStyle w:val="Bibliography"/>
      </w:pPr>
      <w:r>
        <w:t xml:space="preserve">DeLyser, Dydia, and Daniel Sui. 2014. ‘Crossing the Qualitative-Quantitative Chasm III: Enduring Methods, Open Geography, Participatory Research, and the Fourth Paradigm’. </w:t>
      </w:r>
      <w:r>
        <w:rPr>
          <w:i/>
          <w:iCs/>
        </w:rPr>
        <w:t>Progress in Human Geography</w:t>
      </w:r>
      <w:r>
        <w:t xml:space="preserve"> 38 (2): 294–307. https://doi.org/10.1177/0309132513479291.</w:t>
      </w:r>
    </w:p>
    <w:p w14:paraId="0F91B5FB" w14:textId="77777777" w:rsidR="008E0B7B" w:rsidRDefault="008E0B7B" w:rsidP="008E0B7B">
      <w:pPr>
        <w:pStyle w:val="Bibliography"/>
      </w:pPr>
      <w:r>
        <w:lastRenderedPageBreak/>
        <w:t xml:space="preserve">Denedo, Mercy, and Amanze Ejiogu. 2022. </w:t>
      </w:r>
      <w:r>
        <w:rPr>
          <w:i/>
          <w:iCs/>
        </w:rPr>
        <w:t>Stigma and Social Housing in England: Feedback on the Consultation Responses</w:t>
      </w:r>
      <w:r>
        <w:t>. Durham University, UK. https://dro.dur.ac.uk/36862/1/36862.pdf?DDD2+smlg14+vbdv77.</w:t>
      </w:r>
    </w:p>
    <w:p w14:paraId="63FF0BAA" w14:textId="77777777" w:rsidR="008E0B7B" w:rsidRDefault="008E0B7B" w:rsidP="008E0B7B">
      <w:pPr>
        <w:pStyle w:val="Bibliography"/>
      </w:pPr>
      <w:r>
        <w:t xml:space="preserve">Depraetere, Anika, and Stijn Oosterlynck. 2017. ‘“I Finally Found My Place”: A Political Ethnography of the Maximiliaan Refugee Camp in Brussels’. </w:t>
      </w:r>
      <w:r>
        <w:rPr>
          <w:i/>
          <w:iCs/>
        </w:rPr>
        <w:t>Citizenship Studies</w:t>
      </w:r>
      <w:r>
        <w:t xml:space="preserve"> 21 (6): 693–709. https://doi.org/10.1080/13621025.2017.1341653.</w:t>
      </w:r>
    </w:p>
    <w:p w14:paraId="4A6F5C6A" w14:textId="77777777" w:rsidR="008E0B7B" w:rsidRDefault="008E0B7B" w:rsidP="008E0B7B">
      <w:pPr>
        <w:pStyle w:val="Bibliography"/>
      </w:pPr>
      <w:r>
        <w:t xml:space="preserve">Di Giovanni, Annalena. 2017. ‘Urban Transformation under Authoritarian Neoliberalism’. In </w:t>
      </w:r>
      <w:r>
        <w:rPr>
          <w:i/>
          <w:iCs/>
        </w:rPr>
        <w:t>States of Discipline: Authoritarian Neoliberalism and the Contested Reproduction of Capitalist Order</w:t>
      </w:r>
      <w:r>
        <w:t>, edited by Cemal Burak Tansel. Transforming Capitalism. Rowman &amp; Littlefield International.</w:t>
      </w:r>
    </w:p>
    <w:p w14:paraId="2D391850" w14:textId="77777777" w:rsidR="008E0B7B" w:rsidRDefault="008E0B7B" w:rsidP="008E0B7B">
      <w:pPr>
        <w:pStyle w:val="Bibliography"/>
      </w:pPr>
      <w:r>
        <w:t xml:space="preserve">Diamond, Patrick. 2015. ‘New Labour, Politicisation and Depoliticisation: The Delivery Agenda in Public Services 1997–2007’. </w:t>
      </w:r>
      <w:r>
        <w:rPr>
          <w:i/>
          <w:iCs/>
        </w:rPr>
        <w:t>British Politics</w:t>
      </w:r>
      <w:r>
        <w:t xml:space="preserve"> 10 (4): 429–53. https://doi.org/10.1057/bp.2015.10.</w:t>
      </w:r>
    </w:p>
    <w:p w14:paraId="02668BAF" w14:textId="77777777" w:rsidR="008E0B7B" w:rsidRDefault="008E0B7B" w:rsidP="008E0B7B">
      <w:pPr>
        <w:pStyle w:val="Bibliography"/>
      </w:pPr>
      <w:r>
        <w:t xml:space="preserve">Dignan, Celia. 2021. ‘Local People Stopped the Haringey Development Vehicle - Now It’s Time for Unity’. </w:t>
      </w:r>
      <w:r>
        <w:rPr>
          <w:i/>
          <w:iCs/>
        </w:rPr>
        <w:t>New Statesman</w:t>
      </w:r>
      <w:r>
        <w:t>, June 9. https://www.newstatesman.com/politics/2018/01/local-people-stopped-haringey-development-vehicle-now-its-time-unity.</w:t>
      </w:r>
    </w:p>
    <w:p w14:paraId="33096B27" w14:textId="77777777" w:rsidR="008E0B7B" w:rsidRDefault="008E0B7B" w:rsidP="008E0B7B">
      <w:pPr>
        <w:pStyle w:val="Bibliography"/>
      </w:pPr>
      <w:r>
        <w:t xml:space="preserve">Dillon, Denis, and Bryan Fanning. 2011. </w:t>
      </w:r>
      <w:r>
        <w:rPr>
          <w:i/>
          <w:iCs/>
        </w:rPr>
        <w:t>Lessons for the Big Society: Planning, Regeneration, and the Politics of Community Participation</w:t>
      </w:r>
      <w:r>
        <w:t>. Urban and Regional Planning and Development. Ashgate Pub. https://ebookcentral.proquest.com/lib/durham/detail.action?docID=770988.</w:t>
      </w:r>
    </w:p>
    <w:p w14:paraId="0B6081F4" w14:textId="77777777" w:rsidR="008E0B7B" w:rsidRDefault="008E0B7B" w:rsidP="008E0B7B">
      <w:pPr>
        <w:pStyle w:val="Bibliography"/>
      </w:pPr>
      <w:r>
        <w:t xml:space="preserve">Dillon, Denis, and Bryan Fanning. 2013. ‘The Tottenham Riots: The Big Society and the Recurring Neglect of Community Participation’. </w:t>
      </w:r>
      <w:r>
        <w:rPr>
          <w:i/>
          <w:iCs/>
        </w:rPr>
        <w:t>Community Development Journal</w:t>
      </w:r>
      <w:r>
        <w:t xml:space="preserve"> 48 (4): 571–86. https://doi.org/10.1093/cdj/bss056.</w:t>
      </w:r>
    </w:p>
    <w:p w14:paraId="10661C66" w14:textId="77777777" w:rsidR="008E0B7B" w:rsidRDefault="008E0B7B" w:rsidP="008E0B7B">
      <w:pPr>
        <w:pStyle w:val="Bibliography"/>
      </w:pPr>
      <w:r>
        <w:t xml:space="preserve">Dillon, Denis, and Bryan Fanning. 2015. ‘Tottenham after the Riots: The Chimera of Community and the Property-Led Regeneration of “Broken Britain”’. </w:t>
      </w:r>
      <w:r>
        <w:rPr>
          <w:i/>
          <w:iCs/>
        </w:rPr>
        <w:t>Critical Social Policy</w:t>
      </w:r>
      <w:r>
        <w:t xml:space="preserve"> 35 (2): 188–206. https://doi.org/10.1177/0261018315575103.</w:t>
      </w:r>
    </w:p>
    <w:p w14:paraId="385C35B8" w14:textId="77777777" w:rsidR="008E0B7B" w:rsidRDefault="008E0B7B" w:rsidP="008E0B7B">
      <w:pPr>
        <w:pStyle w:val="Bibliography"/>
      </w:pPr>
      <w:r>
        <w:t xml:space="preserve">Diner, Alex, and Hollie Wright. 2024. </w:t>
      </w:r>
      <w:r>
        <w:rPr>
          <w:i/>
          <w:iCs/>
        </w:rPr>
        <w:t>Reforming Right to Buy</w:t>
      </w:r>
      <w:r>
        <w:t>. New Economics Foundation. https://new-economicsf.files.svdcdn.com/production/files/Right-to-Buy-final-web.pdf?dm=1715259720.</w:t>
      </w:r>
    </w:p>
    <w:p w14:paraId="4485A451" w14:textId="77777777" w:rsidR="008E0B7B" w:rsidRDefault="008E0B7B" w:rsidP="008E0B7B">
      <w:pPr>
        <w:pStyle w:val="Bibliography"/>
      </w:pPr>
      <w:r>
        <w:t xml:space="preserve">Dittmer, Jason. 2010. ‘Textual and Discourse Analysis’. In </w:t>
      </w:r>
      <w:r>
        <w:rPr>
          <w:i/>
          <w:iCs/>
        </w:rPr>
        <w:t>The SAGE Handbook of Qualitative Geography</w:t>
      </w:r>
      <w:r>
        <w:t>, edited by Dydia DeLyser, Steve Herbert, Stuart Aitken, Mike Crang, and Linda McDowell. SAGE Publications, Inc. https://doi.org/10.4135/9780857021090.</w:t>
      </w:r>
    </w:p>
    <w:p w14:paraId="55FD9469" w14:textId="77777777" w:rsidR="008E0B7B" w:rsidRDefault="008E0B7B" w:rsidP="008E0B7B">
      <w:pPr>
        <w:pStyle w:val="Bibliography"/>
      </w:pPr>
      <w:r>
        <w:t xml:space="preserve">Dutton, David. 1997. </w:t>
      </w:r>
      <w:r>
        <w:rPr>
          <w:i/>
          <w:iCs/>
        </w:rPr>
        <w:t>British Politics since 1945: The Rise, Fall, and Rebirth of Consensus</w:t>
      </w:r>
      <w:r>
        <w:t>. 2. ed., 1. publ. Historical Association Studies. Blackwell.</w:t>
      </w:r>
    </w:p>
    <w:p w14:paraId="7C3369F1" w14:textId="77777777" w:rsidR="008E0B7B" w:rsidRDefault="008E0B7B" w:rsidP="008E0B7B">
      <w:pPr>
        <w:pStyle w:val="Bibliography"/>
      </w:pPr>
      <w:r>
        <w:lastRenderedPageBreak/>
        <w:t xml:space="preserve">Dwyer, Sonya Corbin, and Jennifer L. Buckle. 2009. ‘The Space Between: On Being an Insider-Outsider in Qualitative Research’. </w:t>
      </w:r>
      <w:r>
        <w:rPr>
          <w:i/>
          <w:iCs/>
        </w:rPr>
        <w:t>International Journal of Qualitative Methods</w:t>
      </w:r>
      <w:r>
        <w:t xml:space="preserve"> 8 (1): 54–63. https://doi.org/10.1177/160940690900800105.</w:t>
      </w:r>
    </w:p>
    <w:p w14:paraId="5B742EAC" w14:textId="77777777" w:rsidR="008E0B7B" w:rsidRDefault="008E0B7B" w:rsidP="008E0B7B">
      <w:pPr>
        <w:pStyle w:val="Bibliography"/>
      </w:pPr>
      <w:r>
        <w:t xml:space="preserve">Earle, Lucy. 2012. ‘From Insurgent to Transgressive Citizenship: Housing, Social Movements and the Politics of Rights in São Paulo’. </w:t>
      </w:r>
      <w:r>
        <w:rPr>
          <w:i/>
          <w:iCs/>
        </w:rPr>
        <w:t>Journal of Latin American Studies</w:t>
      </w:r>
      <w:r>
        <w:t xml:space="preserve"> 44 (1): 97–126. https://doi.org/10.1017/S0022216X11001118.</w:t>
      </w:r>
    </w:p>
    <w:p w14:paraId="132F5A86" w14:textId="77777777" w:rsidR="008E0B7B" w:rsidRDefault="008E0B7B" w:rsidP="008E0B7B">
      <w:pPr>
        <w:pStyle w:val="Bibliography"/>
      </w:pPr>
      <w:r>
        <w:t xml:space="preserve">Eastham, Paul. 1987. ‘Broadwater Farm Riots Inspire Revival’. </w:t>
      </w:r>
      <w:r>
        <w:rPr>
          <w:i/>
          <w:iCs/>
        </w:rPr>
        <w:t>The Times</w:t>
      </w:r>
      <w:r>
        <w:t xml:space="preserve"> (London (UK)), July 31. The Times Digital Archive.</w:t>
      </w:r>
    </w:p>
    <w:p w14:paraId="1AB07896" w14:textId="77777777" w:rsidR="008E0B7B" w:rsidRDefault="008E0B7B" w:rsidP="008E0B7B">
      <w:pPr>
        <w:pStyle w:val="Bibliography"/>
      </w:pPr>
      <w:r>
        <w:t xml:space="preserve">Elliott-Cooper, Adam. 2018. ‘The Struggle That Cannot Be Named: Violence, Space and the Re-Articulation of Anti-Racism in Post-Duggan Britain’. </w:t>
      </w:r>
      <w:r>
        <w:rPr>
          <w:i/>
          <w:iCs/>
        </w:rPr>
        <w:t>Ethnic and Racial Studies</w:t>
      </w:r>
      <w:r>
        <w:t xml:space="preserve"> 41 (14): 2445–63. https://doi.org/10.1080/01419870.2017.1367020.</w:t>
      </w:r>
    </w:p>
    <w:p w14:paraId="7F0EC4EA" w14:textId="77777777" w:rsidR="008E0B7B" w:rsidRDefault="008E0B7B" w:rsidP="008E0B7B">
      <w:pPr>
        <w:pStyle w:val="Bibliography"/>
      </w:pPr>
      <w:r>
        <w:t xml:space="preserve">Elliott-Cooper, Adam. 2021. </w:t>
      </w:r>
      <w:r>
        <w:rPr>
          <w:i/>
          <w:iCs/>
        </w:rPr>
        <w:t>Black Resistance to British Policing</w:t>
      </w:r>
      <w:r>
        <w:t>. Manchester University Press. https://doi.org/10.7765/9781526143945.</w:t>
      </w:r>
    </w:p>
    <w:p w14:paraId="74A54E93" w14:textId="77777777" w:rsidR="008E0B7B" w:rsidRDefault="008E0B7B" w:rsidP="008E0B7B">
      <w:pPr>
        <w:pStyle w:val="Bibliography"/>
      </w:pPr>
      <w:r>
        <w:t xml:space="preserve">Elliott-Cooper, Adam, Phil Hubbard, and Loretta Lees. 2020. ‘Sold out? The Right-to-Buy, Gentrification and Working-Class Displacements in London’. </w:t>
      </w:r>
      <w:r>
        <w:rPr>
          <w:i/>
          <w:iCs/>
        </w:rPr>
        <w:t>The Sociological Review</w:t>
      </w:r>
      <w:r>
        <w:t xml:space="preserve"> 68 (6): 1354–69. https://doi.org/10.1177/0038026120906790.</w:t>
      </w:r>
    </w:p>
    <w:p w14:paraId="04C44A21" w14:textId="77777777" w:rsidR="008E0B7B" w:rsidRDefault="008E0B7B" w:rsidP="008E0B7B">
      <w:pPr>
        <w:pStyle w:val="Bibliography"/>
      </w:pPr>
      <w:r>
        <w:t xml:space="preserve">Elster, Julius. 2020. ‘Youth Voices in Post-English Riots Tottenham: The Role of Reflexivity in Negotiating Negative Representations’. </w:t>
      </w:r>
      <w:r>
        <w:rPr>
          <w:i/>
          <w:iCs/>
        </w:rPr>
        <w:t>The Sociological Review</w:t>
      </w:r>
      <w:r>
        <w:t xml:space="preserve"> 68 (6): 1386–402. https://doi.org/10.1177/0038026120915706.</w:t>
      </w:r>
    </w:p>
    <w:p w14:paraId="795C76AD" w14:textId="77777777" w:rsidR="008E0B7B" w:rsidRDefault="008E0B7B" w:rsidP="008E0B7B">
      <w:pPr>
        <w:pStyle w:val="Bibliography"/>
      </w:pPr>
      <w:r>
        <w:t xml:space="preserve">Elwood, Sarah A., and Deborah G. Martin. 2000. ‘“Placing” Interviews: Location and Scales of Power in Qualitative Research’. </w:t>
      </w:r>
      <w:r>
        <w:rPr>
          <w:i/>
          <w:iCs/>
        </w:rPr>
        <w:t>The Professional Geographer</w:t>
      </w:r>
      <w:r>
        <w:t xml:space="preserve"> 52 (4): 649–57. https://doi.org/10.1111/0033-0124.00253.</w:t>
      </w:r>
    </w:p>
    <w:p w14:paraId="6B41CEDE" w14:textId="77777777" w:rsidR="008E0B7B" w:rsidRDefault="008E0B7B" w:rsidP="008E0B7B">
      <w:pPr>
        <w:pStyle w:val="Bibliography"/>
      </w:pPr>
      <w:r>
        <w:t xml:space="preserve">Emejulu, Akwugo, and Leah Bassel. 2020. ‘The Politics of Exhaustion’. </w:t>
      </w:r>
      <w:r>
        <w:rPr>
          <w:i/>
          <w:iCs/>
        </w:rPr>
        <w:t>City</w:t>
      </w:r>
      <w:r>
        <w:t xml:space="preserve"> 24 (1–2): 400–406. https://doi.org/10.1080/13604813.2020.1739439.</w:t>
      </w:r>
    </w:p>
    <w:p w14:paraId="56AA1CF3" w14:textId="77777777" w:rsidR="008E0B7B" w:rsidRDefault="008E0B7B" w:rsidP="008E0B7B">
      <w:pPr>
        <w:pStyle w:val="Bibliography"/>
      </w:pPr>
      <w:r>
        <w:t xml:space="preserve">Enright, Theresa. 2017. ‘The Political Topology of Urban Uprisings’. </w:t>
      </w:r>
      <w:r>
        <w:rPr>
          <w:i/>
          <w:iCs/>
        </w:rPr>
        <w:t>Urban Geography</w:t>
      </w:r>
      <w:r>
        <w:t xml:space="preserve"> 38 (4): 557–77. https://doi.org/10.1080/02723638.2016.1168568.</w:t>
      </w:r>
    </w:p>
    <w:p w14:paraId="57256B52" w14:textId="77777777" w:rsidR="008E0B7B" w:rsidRDefault="008E0B7B" w:rsidP="008E0B7B">
      <w:pPr>
        <w:pStyle w:val="Bibliography"/>
      </w:pPr>
      <w:r>
        <w:t xml:space="preserve">Ergenc, Ceren, and Ozge Yuksekkaya. 2024. ‘Institutionalizing Authoritarian Urbanism and the Centralization of Urban Decision-Making’. </w:t>
      </w:r>
      <w:r>
        <w:rPr>
          <w:i/>
          <w:iCs/>
        </w:rPr>
        <w:t>Territory, Politics, Governance</w:t>
      </w:r>
      <w:r>
        <w:t>, March 15. World. https://www.tandfonline.com/doi/abs/10.1080/21622671.2021.2020156.</w:t>
      </w:r>
    </w:p>
    <w:p w14:paraId="519308D9" w14:textId="77777777" w:rsidR="008E0B7B" w:rsidRDefault="008E0B7B" w:rsidP="008E0B7B">
      <w:pPr>
        <w:pStyle w:val="Bibliography"/>
      </w:pPr>
      <w:r>
        <w:t xml:space="preserve">Espiet-Kilty, Raphaële. 2016. ‘David Cameron, Citizenship and the Big Society: A New Social Model?’ </w:t>
      </w:r>
      <w:r>
        <w:rPr>
          <w:i/>
          <w:iCs/>
        </w:rPr>
        <w:t>Revue Française de Civilisation Britannique. French Journal of British Studies</w:t>
      </w:r>
      <w:r>
        <w:t xml:space="preserve"> 21 (1): 1. https://doi.org/10.4000/rfcb.796.</w:t>
      </w:r>
    </w:p>
    <w:p w14:paraId="10C7416E" w14:textId="77777777" w:rsidR="008E0B7B" w:rsidRDefault="008E0B7B" w:rsidP="008E0B7B">
      <w:pPr>
        <w:pStyle w:val="Bibliography"/>
      </w:pPr>
      <w:r>
        <w:t>‘EstateWatch’. n.d. Accessed 10 September 2025. https://estatewatch.london/.</w:t>
      </w:r>
    </w:p>
    <w:p w14:paraId="4725CF35" w14:textId="77777777" w:rsidR="008E0B7B" w:rsidRDefault="008E0B7B" w:rsidP="008E0B7B">
      <w:pPr>
        <w:pStyle w:val="Bibliography"/>
      </w:pPr>
      <w:r>
        <w:t xml:space="preserve">Fagan, Adam, and Indraneel Sircar. 2017. ‘Activist Citizenship in Southeast Europe’. </w:t>
      </w:r>
      <w:r>
        <w:rPr>
          <w:i/>
          <w:iCs/>
        </w:rPr>
        <w:t>Europe-Asia Studies</w:t>
      </w:r>
      <w:r>
        <w:t xml:space="preserve"> 69 (9): 1337–45. https://doi.org/10.1080/09668136.2017.1390196.</w:t>
      </w:r>
    </w:p>
    <w:p w14:paraId="108B1194" w14:textId="77777777" w:rsidR="008E0B7B" w:rsidRDefault="008E0B7B" w:rsidP="008E0B7B">
      <w:pPr>
        <w:pStyle w:val="Bibliography"/>
      </w:pPr>
      <w:r>
        <w:lastRenderedPageBreak/>
        <w:t xml:space="preserve">Fearn, Gareth. 2024. ‘Housing the Historical Bloc: Civil Society Contestation of Authoritarian Neoliberalism in England’. </w:t>
      </w:r>
      <w:r>
        <w:rPr>
          <w:i/>
          <w:iCs/>
        </w:rPr>
        <w:t>Urban Studies</w:t>
      </w:r>
      <w:r>
        <w:t>, June 18, 00420980241254925. https://doi.org/10.1177/00420980241254925.</w:t>
      </w:r>
    </w:p>
    <w:p w14:paraId="422E0EC4" w14:textId="77777777" w:rsidR="008E0B7B" w:rsidRDefault="008E0B7B" w:rsidP="008E0B7B">
      <w:pPr>
        <w:pStyle w:val="Bibliography"/>
      </w:pPr>
      <w:r>
        <w:t xml:space="preserve">Fearn, Gareth. 2025. ‘Neoliberalism’s Apotheosis? Class, Capital and the Ideological Development of the UK Labour Party’s Planning Reforms’. </w:t>
      </w:r>
      <w:r>
        <w:rPr>
          <w:i/>
          <w:iCs/>
        </w:rPr>
        <w:t>Town Planning Review</w:t>
      </w:r>
      <w:r>
        <w:t xml:space="preserve"> 96 (3): 301–24. https://doi.org/10.3828/tpr.2024.59.</w:t>
      </w:r>
    </w:p>
    <w:p w14:paraId="7BF95149" w14:textId="77777777" w:rsidR="008E0B7B" w:rsidRDefault="008E0B7B" w:rsidP="008E0B7B">
      <w:pPr>
        <w:pStyle w:val="Bibliography"/>
      </w:pPr>
      <w:r>
        <w:t xml:space="preserve">Fields, Desiree. 2023. ‘Speculative Urbanism’. </w:t>
      </w:r>
      <w:r>
        <w:rPr>
          <w:i/>
          <w:iCs/>
        </w:rPr>
        <w:t>Environment and Planning A: Economy and Space</w:t>
      </w:r>
      <w:r>
        <w:t xml:space="preserve"> 55 (2): 511–16. https://doi.org/10.1177/0308518X221125473.</w:t>
      </w:r>
    </w:p>
    <w:p w14:paraId="26B066CA" w14:textId="77777777" w:rsidR="008E0B7B" w:rsidRDefault="008E0B7B" w:rsidP="008E0B7B">
      <w:pPr>
        <w:pStyle w:val="Bibliography"/>
      </w:pPr>
      <w:r>
        <w:t xml:space="preserve">Fierro, Alberto. 2020. ‘The MTST Politics of Social Rights: Counter-Conducts, Acts of Citizenship and a Radical Struggle Beyond Housing’. </w:t>
      </w:r>
      <w:r>
        <w:rPr>
          <w:i/>
          <w:iCs/>
        </w:rPr>
        <w:t>International Journal of Politics, Culture, and Society</w:t>
      </w:r>
      <w:r>
        <w:t xml:space="preserve"> 33 (4): 513–27. https://doi.org/10.1007/s10767-020-09356-6.</w:t>
      </w:r>
    </w:p>
    <w:p w14:paraId="5864243B" w14:textId="77777777" w:rsidR="008E0B7B" w:rsidRDefault="008E0B7B" w:rsidP="008E0B7B">
      <w:pPr>
        <w:pStyle w:val="Bibliography"/>
      </w:pPr>
      <w:r>
        <w:t xml:space="preserve">Flinders, Matthew. 2008. </w:t>
      </w:r>
      <w:r>
        <w:rPr>
          <w:i/>
          <w:iCs/>
        </w:rPr>
        <w:t>Delegated Governance and the British State: Walking without Order</w:t>
      </w:r>
      <w:r>
        <w:t>. Oxford University Press. https://doi.org/10.1093/acprof:oso/9780199271603.001.0001.</w:t>
      </w:r>
    </w:p>
    <w:p w14:paraId="14CEC4E7" w14:textId="77777777" w:rsidR="008E0B7B" w:rsidRDefault="008E0B7B" w:rsidP="008E0B7B">
      <w:pPr>
        <w:pStyle w:val="Bibliography"/>
      </w:pPr>
      <w:r>
        <w:t xml:space="preserve">Flinders, Matthew, and Jim Buller. 2006. ‘Depoliticisation: Principles, Tactics and Tools’. </w:t>
      </w:r>
      <w:r>
        <w:rPr>
          <w:i/>
          <w:iCs/>
        </w:rPr>
        <w:t>British Politics</w:t>
      </w:r>
      <w:r>
        <w:t xml:space="preserve"> 1 (3): 293–318. https://doi.org/10.1057/palgrave.bp.4200016.</w:t>
      </w:r>
    </w:p>
    <w:p w14:paraId="5B6480BF" w14:textId="77777777" w:rsidR="008E0B7B" w:rsidRDefault="008E0B7B" w:rsidP="008E0B7B">
      <w:pPr>
        <w:pStyle w:val="Bibliography"/>
      </w:pPr>
      <w:r>
        <w:t xml:space="preserve">Flint, John. 2003. ‘Housing and Ethopolitics: Constructing Identities of Active Consumption and Responsible Community’. </w:t>
      </w:r>
      <w:r>
        <w:rPr>
          <w:i/>
          <w:iCs/>
        </w:rPr>
        <w:t>Economy and Society</w:t>
      </w:r>
      <w:r>
        <w:t xml:space="preserve"> 32 (4): 611–29. https://doi.org/10.1080/0308514032000107628.</w:t>
      </w:r>
    </w:p>
    <w:p w14:paraId="39AC0D62" w14:textId="77777777" w:rsidR="008E0B7B" w:rsidRDefault="008E0B7B" w:rsidP="008E0B7B">
      <w:pPr>
        <w:pStyle w:val="Bibliography"/>
      </w:pPr>
      <w:r>
        <w:t xml:space="preserve">Flynn, Jerry. 2016. ‘Complete Control: Developers, Financial Viability and Regeneration at the Elephant and Castle’. </w:t>
      </w:r>
      <w:r>
        <w:rPr>
          <w:i/>
          <w:iCs/>
        </w:rPr>
        <w:t>City</w:t>
      </w:r>
      <w:r>
        <w:t xml:space="preserve"> 20 (2): 278–86. https://doi.org/10.1080/13604813.2016.1143685.</w:t>
      </w:r>
    </w:p>
    <w:p w14:paraId="188A34F5" w14:textId="77777777" w:rsidR="008E0B7B" w:rsidRDefault="008E0B7B" w:rsidP="008E0B7B">
      <w:pPr>
        <w:pStyle w:val="Bibliography"/>
      </w:pPr>
      <w:r>
        <w:t xml:space="preserve">Forensic Architecture. 2021. </w:t>
      </w:r>
      <w:r>
        <w:rPr>
          <w:i/>
          <w:iCs/>
        </w:rPr>
        <w:t>Forensic Architecture Reports #1: The Police Shooting of Mark Duggan</w:t>
      </w:r>
      <w:r>
        <w:t>. Cabinet Books. https://www.ica.art.</w:t>
      </w:r>
    </w:p>
    <w:p w14:paraId="091E5201" w14:textId="77777777" w:rsidR="008E0B7B" w:rsidRDefault="008E0B7B" w:rsidP="008E0B7B">
      <w:pPr>
        <w:pStyle w:val="Bibliography"/>
      </w:pPr>
      <w:r>
        <w:t xml:space="preserve">Forrest, Ray, and Alan Murie. 1983. ‘Residualization and Council Housing: Aspects of the Changing Social Relations of Housing Tenure’. </w:t>
      </w:r>
      <w:r>
        <w:rPr>
          <w:i/>
          <w:iCs/>
        </w:rPr>
        <w:t>Journal of Social Policy</w:t>
      </w:r>
      <w:r>
        <w:t xml:space="preserve"> 12 (4): 453–68. https://doi.org/10.1017/S0047279400013088.</w:t>
      </w:r>
    </w:p>
    <w:p w14:paraId="6B3CB046" w14:textId="77777777" w:rsidR="008E0B7B" w:rsidRDefault="008E0B7B" w:rsidP="008E0B7B">
      <w:pPr>
        <w:pStyle w:val="Bibliography"/>
      </w:pPr>
      <w:r>
        <w:t xml:space="preserve">Fortier, Anne-Marie. 2016. ‘Afterword: Acts of Affective Citizenship? Possibilities and Limitations’. </w:t>
      </w:r>
      <w:r>
        <w:rPr>
          <w:i/>
          <w:iCs/>
        </w:rPr>
        <w:t>Citizenship Studies</w:t>
      </w:r>
      <w:r>
        <w:t xml:space="preserve"> 20 (8): 1038–44. https://doi.org/10.1080/13621025.2016.1229190.</w:t>
      </w:r>
    </w:p>
    <w:p w14:paraId="12436B50" w14:textId="77777777" w:rsidR="008E0B7B" w:rsidRDefault="008E0B7B" w:rsidP="008E0B7B">
      <w:pPr>
        <w:pStyle w:val="Bibliography"/>
      </w:pPr>
      <w:r>
        <w:t xml:space="preserve">Foucault, Michel. (1976) 2003. </w:t>
      </w:r>
      <w:r>
        <w:rPr>
          <w:i/>
          <w:iCs/>
        </w:rPr>
        <w:t>Society Must Be Defended: Lectures at the Collège de France, 1975-76</w:t>
      </w:r>
      <w:r>
        <w:t>. Edited by Mauro Bertani. Translated by David Macey. Picador.</w:t>
      </w:r>
    </w:p>
    <w:p w14:paraId="3F789588" w14:textId="77777777" w:rsidR="008E0B7B" w:rsidRDefault="008E0B7B" w:rsidP="008E0B7B">
      <w:pPr>
        <w:pStyle w:val="Bibliography"/>
      </w:pPr>
      <w:r>
        <w:t xml:space="preserve">Freeman, Cordelia. 2020. ‘Multiple Methods beyond Triangulation: Collage as a Methodological Framework in Geography’. </w:t>
      </w:r>
      <w:r>
        <w:rPr>
          <w:i/>
          <w:iCs/>
        </w:rPr>
        <w:t>Geografiska Annaler: Series B, Human Geography</w:t>
      </w:r>
      <w:r>
        <w:t xml:space="preserve"> 102 (4): 328–40. https://doi.org/10.1080/04353684.2020.1807383.</w:t>
      </w:r>
    </w:p>
    <w:p w14:paraId="100D6876" w14:textId="77777777" w:rsidR="008E0B7B" w:rsidRDefault="008E0B7B" w:rsidP="008E0B7B">
      <w:pPr>
        <w:pStyle w:val="Bibliography"/>
      </w:pPr>
      <w:r>
        <w:lastRenderedPageBreak/>
        <w:t xml:space="preserve">Freeman, Richard. 2020. ‘The Role of the Councillor and the Work of Meeting’. </w:t>
      </w:r>
      <w:r>
        <w:rPr>
          <w:i/>
          <w:iCs/>
        </w:rPr>
        <w:t>Local Government Studies</w:t>
      </w:r>
      <w:r>
        <w:t xml:space="preserve"> 46 (4): 564–82. https://doi.org/10.1080/03003930.2019.1673740.</w:t>
      </w:r>
    </w:p>
    <w:p w14:paraId="6D6D397A" w14:textId="77777777" w:rsidR="008E0B7B" w:rsidRDefault="008E0B7B" w:rsidP="008E0B7B">
      <w:pPr>
        <w:pStyle w:val="Bibliography"/>
      </w:pPr>
      <w:r>
        <w:t>Frimpong-Manson, Kwaku. 1996. ‘Broadwater Farm Design Team Office’. To Andrew Messenger. March 12. BG/P/2/4/4. Bishopsgate Institute.</w:t>
      </w:r>
    </w:p>
    <w:p w14:paraId="1242E985" w14:textId="77777777" w:rsidR="008E0B7B" w:rsidRDefault="008E0B7B" w:rsidP="008E0B7B">
      <w:pPr>
        <w:pStyle w:val="Bibliography"/>
      </w:pPr>
      <w:r>
        <w:t xml:space="preserve">Fullilove, Mindy Thompson. 2016. </w:t>
      </w:r>
      <w:r>
        <w:rPr>
          <w:i/>
          <w:iCs/>
        </w:rPr>
        <w:t>Root Shock: How Tearing up City Neighborhoods Hurts America, and What We Can Do about It</w:t>
      </w:r>
      <w:r>
        <w:t>. New Village Press. http://ebookcentral.proquest.com/lib/durham/detail.action?docID=5253420.</w:t>
      </w:r>
    </w:p>
    <w:p w14:paraId="2C0551E2" w14:textId="77777777" w:rsidR="008E0B7B" w:rsidRDefault="008E0B7B" w:rsidP="008E0B7B">
      <w:pPr>
        <w:pStyle w:val="Bibliography"/>
      </w:pPr>
      <w:r>
        <w:t xml:space="preserve">Gallo, Ernesto. 2022. ‘Three Varieties of Authoritarian Neoliberalism: Rule by the Experts, the People, the Leader’. </w:t>
      </w:r>
      <w:r>
        <w:rPr>
          <w:i/>
          <w:iCs/>
        </w:rPr>
        <w:t>Competition &amp; Change</w:t>
      </w:r>
      <w:r>
        <w:t xml:space="preserve"> 26 (5): 554–74. https://doi.org/10.1177/10245294211038425.</w:t>
      </w:r>
    </w:p>
    <w:p w14:paraId="63231847" w14:textId="77777777" w:rsidR="008E0B7B" w:rsidRDefault="008E0B7B" w:rsidP="008E0B7B">
      <w:pPr>
        <w:pStyle w:val="Bibliography"/>
      </w:pPr>
      <w:r>
        <w:t xml:space="preserve">Gamble, Andrew. 1989. </w:t>
      </w:r>
      <w:r>
        <w:rPr>
          <w:i/>
          <w:iCs/>
        </w:rPr>
        <w:t>The Free Economy and the Strong State: The Politics of Thatcherism</w:t>
      </w:r>
      <w:r>
        <w:t>. Palgrave Macmillan UK.</w:t>
      </w:r>
    </w:p>
    <w:p w14:paraId="54673914" w14:textId="77777777" w:rsidR="008E0B7B" w:rsidRDefault="008E0B7B" w:rsidP="008E0B7B">
      <w:pPr>
        <w:pStyle w:val="Bibliography"/>
      </w:pPr>
      <w:r>
        <w:t xml:space="preserve">Garland, David. 2014. ‘What Is a “History of the Present”? On Foucault’s Genealogies and Their Critical Preconditions’. </w:t>
      </w:r>
      <w:r>
        <w:rPr>
          <w:i/>
          <w:iCs/>
        </w:rPr>
        <w:t>Punishment &amp; Society</w:t>
      </w:r>
      <w:r>
        <w:t xml:space="preserve"> 16 (4): 365–84. https://doi.org/10.1177/1462474514541711.</w:t>
      </w:r>
    </w:p>
    <w:p w14:paraId="17059394" w14:textId="77777777" w:rsidR="008E0B7B" w:rsidRDefault="008E0B7B" w:rsidP="008E0B7B">
      <w:pPr>
        <w:pStyle w:val="Bibliography"/>
      </w:pPr>
      <w:r>
        <w:t xml:space="preserve">Gifford, Lord. 1986. </w:t>
      </w:r>
      <w:r>
        <w:rPr>
          <w:i/>
          <w:iCs/>
        </w:rPr>
        <w:t>Report of the Independent Inquiry into Disturbances of October 1985 at the Broadwater Farm Estate, Tottenham</w:t>
      </w:r>
      <w:r>
        <w:t>. First Edition. Karia Press. https://berniegrantarchive.org.uk/bg-303-623-bro/.</w:t>
      </w:r>
    </w:p>
    <w:p w14:paraId="4BFB4A0A" w14:textId="77777777" w:rsidR="008E0B7B" w:rsidRDefault="008E0B7B" w:rsidP="008E0B7B">
      <w:pPr>
        <w:pStyle w:val="Bibliography"/>
      </w:pPr>
      <w:r>
        <w:t xml:space="preserve">Gilbert, Jeremy. 2021a. ‘Why We Shouldn’t Leave the Labour Party’. </w:t>
      </w:r>
      <w:r>
        <w:rPr>
          <w:i/>
          <w:iCs/>
        </w:rPr>
        <w:t>The Educator</w:t>
      </w:r>
      <w:r>
        <w:t>, December 15. https://peoplesmomentum.com/newsletters/the-educator/why-we-shouldnt-leave-the-labour-party/.</w:t>
      </w:r>
    </w:p>
    <w:p w14:paraId="02544118" w14:textId="77777777" w:rsidR="008E0B7B" w:rsidRDefault="008E0B7B" w:rsidP="008E0B7B">
      <w:pPr>
        <w:pStyle w:val="Bibliography"/>
      </w:pPr>
      <w:r>
        <w:t xml:space="preserve">Gilbert, Jeremy. 2021b. ‘Why Wouldn’t They Be Reconciled? Corbyn’s Leadership and the Recalcitrance of the Parliamentary Labour Party’. </w:t>
      </w:r>
      <w:r>
        <w:rPr>
          <w:i/>
          <w:iCs/>
        </w:rPr>
        <w:t>The Political Quarterly</w:t>
      </w:r>
      <w:r>
        <w:t xml:space="preserve"> 92 (2): 202–10. https://doi.org/10.1111/1467-923X.13015.</w:t>
      </w:r>
    </w:p>
    <w:p w14:paraId="7551F8ED" w14:textId="77777777" w:rsidR="008E0B7B" w:rsidRDefault="008E0B7B" w:rsidP="008E0B7B">
      <w:pPr>
        <w:pStyle w:val="Bibliography"/>
      </w:pPr>
      <w:r>
        <w:t xml:space="preserve">Gilbert, Jeremy. 2023. ‘Does Labour’s Soft Left Have a Future?’ </w:t>
      </w:r>
      <w:r>
        <w:rPr>
          <w:i/>
          <w:iCs/>
        </w:rPr>
        <w:t>New Statesman</w:t>
      </w:r>
      <w:r>
        <w:t>, July 14. https://www.newstatesman.com/comment/2023/07/labour-soft-left-have-future.</w:t>
      </w:r>
    </w:p>
    <w:p w14:paraId="64C799AE" w14:textId="77777777" w:rsidR="008E0B7B" w:rsidRDefault="008E0B7B" w:rsidP="008E0B7B">
      <w:pPr>
        <w:pStyle w:val="Bibliography"/>
      </w:pPr>
      <w:r>
        <w:t xml:space="preserve">Gillespie, Tom, Kate Hardy, and Paul Watt. 2021. ‘Surplus to the City: Austerity Urbanism, Displacement and “Letting Die”’. </w:t>
      </w:r>
      <w:r>
        <w:rPr>
          <w:i/>
          <w:iCs/>
        </w:rPr>
        <w:t>Environment and Planning A: Economy and Space</w:t>
      </w:r>
      <w:r>
        <w:t xml:space="preserve"> 53 (7): 1713–29. https://doi.org/10.1177/0308518X211026323.</w:t>
      </w:r>
    </w:p>
    <w:p w14:paraId="585F833F" w14:textId="77777777" w:rsidR="008E0B7B" w:rsidRDefault="008E0B7B" w:rsidP="008E0B7B">
      <w:pPr>
        <w:pStyle w:val="Bibliography"/>
      </w:pPr>
      <w:r>
        <w:t xml:space="preserve">Gilligan, Paula. 2013. ‘“Harsh Realism”: Gender, Reality Television, and the Politics of the “Sink” Housing Estate in Austerity Britain’. </w:t>
      </w:r>
      <w:r>
        <w:rPr>
          <w:i/>
          <w:iCs/>
        </w:rPr>
        <w:t>Television &amp; New Media</w:t>
      </w:r>
      <w:r>
        <w:t xml:space="preserve"> 14 (3): 244–60. https://doi.org/10.1177/1527476412457221.</w:t>
      </w:r>
    </w:p>
    <w:p w14:paraId="633AFC53" w14:textId="77777777" w:rsidR="008E0B7B" w:rsidRDefault="008E0B7B" w:rsidP="008E0B7B">
      <w:pPr>
        <w:pStyle w:val="Bibliography"/>
      </w:pPr>
      <w:r>
        <w:t xml:space="preserve">Gilroy, Paul. 2002. </w:t>
      </w:r>
      <w:r>
        <w:rPr>
          <w:i/>
          <w:iCs/>
        </w:rPr>
        <w:t>There Ain’t No Black in the Union Jack: The Cultural Politics of Race and Nation</w:t>
      </w:r>
      <w:r>
        <w:t>. Routledge Classics. Routledge.</w:t>
      </w:r>
    </w:p>
    <w:p w14:paraId="68EEE054" w14:textId="77777777" w:rsidR="008E0B7B" w:rsidRDefault="008E0B7B" w:rsidP="008E0B7B">
      <w:pPr>
        <w:pStyle w:val="Bibliography"/>
      </w:pPr>
      <w:r>
        <w:lastRenderedPageBreak/>
        <w:t xml:space="preserve">Ginsburg, Norman. 1988. ‘Institutional Racism and Local Authority Housing’. </w:t>
      </w:r>
      <w:r>
        <w:rPr>
          <w:i/>
          <w:iCs/>
        </w:rPr>
        <w:t>Critical Social Policy</w:t>
      </w:r>
      <w:r>
        <w:t xml:space="preserve"> 8 (24): 4–19. https://doi.org/10.1177/026101838800802401.</w:t>
      </w:r>
    </w:p>
    <w:p w14:paraId="2F20F11A" w14:textId="77777777" w:rsidR="008E0B7B" w:rsidRDefault="008E0B7B" w:rsidP="008E0B7B">
      <w:pPr>
        <w:pStyle w:val="Bibliography"/>
      </w:pPr>
      <w:r>
        <w:t xml:space="preserve">Gleeson, James. 2022. </w:t>
      </w:r>
      <w:r>
        <w:rPr>
          <w:i/>
          <w:iCs/>
        </w:rPr>
        <w:t>Housing and Race Equality in London: An Analysis of Secondary Data</w:t>
      </w:r>
      <w:r>
        <w:t>. Housing Research Note No. 8. Greater London Authority. https://www.london.gov.uk/sites/default/files/2023-12/HRN%208%20-%20Housing%20and%20race%20equality%20in%20London.pdf.</w:t>
      </w:r>
    </w:p>
    <w:p w14:paraId="1DCE2C38" w14:textId="77777777" w:rsidR="008E0B7B" w:rsidRDefault="008E0B7B" w:rsidP="008E0B7B">
      <w:pPr>
        <w:pStyle w:val="Bibliography"/>
      </w:pPr>
      <w:r>
        <w:t xml:space="preserve">Goerisch, Denise. 2017. ‘“Doing Good Work”: Feminist Dilemmas of Volunteering in the Field’. </w:t>
      </w:r>
      <w:r>
        <w:rPr>
          <w:i/>
          <w:iCs/>
        </w:rPr>
        <w:t>The Professional Geographer</w:t>
      </w:r>
      <w:r>
        <w:t xml:space="preserve"> 69 (2): 307–13. https://doi.org/10.1080/00330124.2016.1208511.</w:t>
      </w:r>
    </w:p>
    <w:p w14:paraId="0983158C" w14:textId="77777777" w:rsidR="008E0B7B" w:rsidRDefault="008E0B7B" w:rsidP="008E0B7B">
      <w:pPr>
        <w:pStyle w:val="Bibliography"/>
      </w:pPr>
      <w:r>
        <w:t xml:space="preserve">Goldman, Michael. 2011. ‘Speculative Urbanism and the Making of the Next World City’. </w:t>
      </w:r>
      <w:r>
        <w:rPr>
          <w:i/>
          <w:iCs/>
        </w:rPr>
        <w:t>International Journal of Urban and Regional Research</w:t>
      </w:r>
      <w:r>
        <w:t xml:space="preserve"> 35 (3): 555–81. https://doi.org/10.1111/j.1468-2427.2010.01001.x.</w:t>
      </w:r>
    </w:p>
    <w:p w14:paraId="04DE4DFE" w14:textId="77777777" w:rsidR="008E0B7B" w:rsidRDefault="008E0B7B" w:rsidP="008E0B7B">
      <w:pPr>
        <w:pStyle w:val="Bibliography"/>
      </w:pPr>
      <w:r>
        <w:t xml:space="preserve">Goodwin, M, S. Duncan, and S. Halford. 1993. ‘Regulation Theory, the Local State, and the Transition of Urban Politics’. </w:t>
      </w:r>
      <w:r>
        <w:rPr>
          <w:i/>
          <w:iCs/>
        </w:rPr>
        <w:t>Environment and Planning D: Society and Space</w:t>
      </w:r>
      <w:r>
        <w:t xml:space="preserve"> 11 (1): 67–88. https://doi.org/10.1068/d110067.</w:t>
      </w:r>
    </w:p>
    <w:p w14:paraId="5F62AA3E" w14:textId="77777777" w:rsidR="008E0B7B" w:rsidRDefault="008E0B7B" w:rsidP="008E0B7B">
      <w:pPr>
        <w:pStyle w:val="Bibliography"/>
      </w:pPr>
      <w:r>
        <w:t xml:space="preserve">Goodwin, Mark, and Joe Painter. 1996. ‘Local Governance, the Crises of Fordism and the Changing Geographies of Regulation’. </w:t>
      </w:r>
      <w:r>
        <w:rPr>
          <w:i/>
          <w:iCs/>
        </w:rPr>
        <w:t>Transactions of the Institute of British Geographers</w:t>
      </w:r>
      <w:r>
        <w:t xml:space="preserve"> 21 (4): 635–48. https://doi.org/10.2307/622391.</w:t>
      </w:r>
    </w:p>
    <w:p w14:paraId="6729E35D" w14:textId="77777777" w:rsidR="008E0B7B" w:rsidRDefault="008E0B7B" w:rsidP="008E0B7B">
      <w:pPr>
        <w:pStyle w:val="Bibliography"/>
      </w:pPr>
      <w:r>
        <w:t xml:space="preserve">Graeber, David. 2014. </w:t>
      </w:r>
      <w:r>
        <w:rPr>
          <w:i/>
          <w:iCs/>
        </w:rPr>
        <w:t>The Democracy Project: A History, a Crisis, a Movement</w:t>
      </w:r>
      <w:r>
        <w:t>. Penguin.</w:t>
      </w:r>
    </w:p>
    <w:p w14:paraId="4D0454A1" w14:textId="77777777" w:rsidR="008E0B7B" w:rsidRDefault="008E0B7B" w:rsidP="008E0B7B">
      <w:pPr>
        <w:pStyle w:val="Bibliography"/>
      </w:pPr>
      <w:r>
        <w:t>Grant, Bernie. 1993. ‘Capital Allocation Broadwater Farm’. To Toby Harris. June 7. BG/P/2/4/2. Bishopsgate Institute.</w:t>
      </w:r>
    </w:p>
    <w:p w14:paraId="3A2F8944" w14:textId="77777777" w:rsidR="008E0B7B" w:rsidRDefault="008E0B7B" w:rsidP="008E0B7B">
      <w:pPr>
        <w:pStyle w:val="Bibliography"/>
      </w:pPr>
      <w:r>
        <w:t>Grant, Bernie. 1993. ‘Letter to Dolly Kiffin - 7 June 1993’. To Dolly Kiffin. June 7. BG/P/2/4/2. Bishopsgate Institute.</w:t>
      </w:r>
    </w:p>
    <w:p w14:paraId="4CB1DB4E" w14:textId="77777777" w:rsidR="008E0B7B" w:rsidRDefault="008E0B7B" w:rsidP="008E0B7B">
      <w:pPr>
        <w:pStyle w:val="Bibliography"/>
      </w:pPr>
      <w:r>
        <w:t xml:space="preserve">Gray, Mia, and Anna Barford. 2018. ‘The Depths of the Cuts: The Uneven Geography of Local Government Austerity’. </w:t>
      </w:r>
      <w:r>
        <w:rPr>
          <w:i/>
          <w:iCs/>
        </w:rPr>
        <w:t>Cambridge Journal of Regions, Economy and Society</w:t>
      </w:r>
      <w:r>
        <w:t xml:space="preserve"> 11 (3): 541–63. https://doi.org/10.1093/cjres/rsy019.</w:t>
      </w:r>
    </w:p>
    <w:p w14:paraId="5E3724DD" w14:textId="77777777" w:rsidR="008E0B7B" w:rsidRDefault="008E0B7B" w:rsidP="008E0B7B">
      <w:pPr>
        <w:pStyle w:val="Bibliography"/>
      </w:pPr>
      <w:r>
        <w:t>Greater London Authority. n.d. ‘Estate Regeneration’. Accessed 22 September 2025. https://www.london.gov.uk/programmes-strategies/housing-and-land/mayors-priorities-londons-housing-and-land/estate-regeneration.</w:t>
      </w:r>
    </w:p>
    <w:p w14:paraId="048E10D9" w14:textId="77777777" w:rsidR="008E0B7B" w:rsidRDefault="008E0B7B" w:rsidP="008E0B7B">
      <w:pPr>
        <w:pStyle w:val="Bibliography"/>
      </w:pPr>
      <w:r>
        <w:t xml:space="preserve">Green, David G. (1981) 2013. </w:t>
      </w:r>
      <w:r>
        <w:rPr>
          <w:i/>
          <w:iCs/>
        </w:rPr>
        <w:t>Power and Party in an English City: An Account of Single-Party Rule</w:t>
      </w:r>
      <w:r>
        <w:t>. Routledge. https://doi.org/10.4324/9780203716182.</w:t>
      </w:r>
    </w:p>
    <w:p w14:paraId="59291126" w14:textId="77777777" w:rsidR="008E0B7B" w:rsidRDefault="008E0B7B" w:rsidP="008E0B7B">
      <w:pPr>
        <w:pStyle w:val="Bibliography"/>
      </w:pPr>
      <w:r>
        <w:t xml:space="preserve">Greer Murphy, Amy. 2017. ‘Austerity in the United Kingdom: The Intersections of Spatial and Gendered Inequalities’. </w:t>
      </w:r>
      <w:r>
        <w:rPr>
          <w:i/>
          <w:iCs/>
        </w:rPr>
        <w:t>Area</w:t>
      </w:r>
      <w:r>
        <w:t xml:space="preserve"> 49 (1): 122–24. https://doi.org/10.1111/area.12281.</w:t>
      </w:r>
    </w:p>
    <w:p w14:paraId="1783C11D" w14:textId="77777777" w:rsidR="008E0B7B" w:rsidRDefault="008E0B7B" w:rsidP="008E0B7B">
      <w:pPr>
        <w:pStyle w:val="Bibliography"/>
      </w:pPr>
      <w:r>
        <w:t xml:space="preserve">Guillaume, Xavier. 2014. ‘Regimes of Citizenship’. In </w:t>
      </w:r>
      <w:r>
        <w:rPr>
          <w:i/>
          <w:iCs/>
        </w:rPr>
        <w:t>Routledge Handbook of Global Citizenship Studies</w:t>
      </w:r>
      <w:r>
        <w:t>. Routledge.</w:t>
      </w:r>
    </w:p>
    <w:p w14:paraId="34943500" w14:textId="77777777" w:rsidR="008E0B7B" w:rsidRDefault="008E0B7B" w:rsidP="008E0B7B">
      <w:pPr>
        <w:pStyle w:val="Bibliography"/>
      </w:pPr>
      <w:r>
        <w:lastRenderedPageBreak/>
        <w:t>Günel, Gökçe, Saiba Varma, and Chika Watanabe. 2020. ‘A Manifesto for Patchwork Ethnography’. Society for Cultural Anthropology, June 9. https://culanth.org/fieldsights/a-manifesto-for-patchwork-ethnography.</w:t>
      </w:r>
    </w:p>
    <w:p w14:paraId="34C21512" w14:textId="77777777" w:rsidR="008E0B7B" w:rsidRDefault="008E0B7B" w:rsidP="008E0B7B">
      <w:pPr>
        <w:pStyle w:val="Bibliography"/>
      </w:pPr>
      <w:r>
        <w:t xml:space="preserve">GVA. 2014. </w:t>
      </w:r>
      <w:r>
        <w:rPr>
          <w:i/>
          <w:iCs/>
        </w:rPr>
        <w:t>London Borough of Haringey Strategic Housing Market Assessment</w:t>
      </w:r>
      <w:r>
        <w:t>. London Borough of Haringey. https://www.haringey.gov.uk/sites/default/files/strategic_housing_market_assessment.pdf.</w:t>
      </w:r>
    </w:p>
    <w:p w14:paraId="14AF25BD" w14:textId="77777777" w:rsidR="008E0B7B" w:rsidRDefault="008E0B7B" w:rsidP="008E0B7B">
      <w:pPr>
        <w:pStyle w:val="Bibliography"/>
      </w:pPr>
      <w:r>
        <w:t xml:space="preserve">Haggerty, Kevin D. 2004. ‘Ethics Creep: Governing Social Science Research in the Name of Ethics’. </w:t>
      </w:r>
      <w:r>
        <w:rPr>
          <w:i/>
          <w:iCs/>
        </w:rPr>
        <w:t>Qualitative Sociology</w:t>
      </w:r>
      <w:r>
        <w:t xml:space="preserve"> 27 (4): 391–414. https://doi.org/10.1023/B:QUAS.0000049239.15922.a3.</w:t>
      </w:r>
    </w:p>
    <w:p w14:paraId="1E47811B" w14:textId="77777777" w:rsidR="008E0B7B" w:rsidRDefault="008E0B7B" w:rsidP="008E0B7B">
      <w:pPr>
        <w:pStyle w:val="Bibliography"/>
      </w:pPr>
      <w:r>
        <w:t xml:space="preserve">Hall, Sarah Marie. 2019a. ‘A Very Personal Crisis: Family Fragilities and Everyday Conjunctures within Lived Experiences of Austerity’. </w:t>
      </w:r>
      <w:r>
        <w:rPr>
          <w:i/>
          <w:iCs/>
        </w:rPr>
        <w:t>Transactions of the Institute of British Geographers</w:t>
      </w:r>
      <w:r>
        <w:t xml:space="preserve"> 44 (3): 479–92. https://doi.org/10.1111/tran.12300.</w:t>
      </w:r>
    </w:p>
    <w:p w14:paraId="38309A30" w14:textId="77777777" w:rsidR="008E0B7B" w:rsidRDefault="008E0B7B" w:rsidP="008E0B7B">
      <w:pPr>
        <w:pStyle w:val="Bibliography"/>
      </w:pPr>
      <w:r>
        <w:t xml:space="preserve">Hall, Sarah Marie. 2019b. ‘Everyday Austerity: Towards Relational Geographies of Family, Friendship and Intimacy’. </w:t>
      </w:r>
      <w:r>
        <w:rPr>
          <w:i/>
          <w:iCs/>
        </w:rPr>
        <w:t>Progress in Human Geography</w:t>
      </w:r>
      <w:r>
        <w:t xml:space="preserve"> 43 (5): 769–89. https://doi.org/10.1177/0309132518796280.</w:t>
      </w:r>
    </w:p>
    <w:p w14:paraId="3B97F1D0" w14:textId="77777777" w:rsidR="008E0B7B" w:rsidRDefault="008E0B7B" w:rsidP="008E0B7B">
      <w:pPr>
        <w:pStyle w:val="Bibliography"/>
      </w:pPr>
      <w:r>
        <w:t xml:space="preserve">Hall, Stuart. 1985. ‘Authoritarian Populism: A Reply to Jessop et Al’. </w:t>
      </w:r>
      <w:r>
        <w:rPr>
          <w:i/>
          <w:iCs/>
        </w:rPr>
        <w:t>New Left Review</w:t>
      </w:r>
      <w:r>
        <w:t>, no. I/151 (June): 115–23.</w:t>
      </w:r>
    </w:p>
    <w:p w14:paraId="4F249240" w14:textId="77777777" w:rsidR="008E0B7B" w:rsidRDefault="008E0B7B" w:rsidP="008E0B7B">
      <w:pPr>
        <w:pStyle w:val="Bibliography"/>
      </w:pPr>
      <w:r>
        <w:t xml:space="preserve">Hall, Stuart. 2021. </w:t>
      </w:r>
      <w:r>
        <w:rPr>
          <w:i/>
          <w:iCs/>
        </w:rPr>
        <w:t>Selected Writings on Race and Difference</w:t>
      </w:r>
      <w:r>
        <w:t>. Edited by Paul Gilroy and Ruth Wilson Gilmore. Stuart Hall: Selected Writings. Duke University Press.</w:t>
      </w:r>
    </w:p>
    <w:p w14:paraId="490B8B59" w14:textId="77777777" w:rsidR="008E0B7B" w:rsidRDefault="008E0B7B" w:rsidP="008E0B7B">
      <w:pPr>
        <w:pStyle w:val="Bibliography"/>
      </w:pPr>
      <w:r>
        <w:t xml:space="preserve">Hall, Stuart, Chas Critcher, Tony Jefferson, John Clarke, and Brian Roberts. (1978) 2019. </w:t>
      </w:r>
      <w:r>
        <w:rPr>
          <w:i/>
          <w:iCs/>
        </w:rPr>
        <w:t>Policing the Crisis: Mugging, the State and Law and Order</w:t>
      </w:r>
      <w:r>
        <w:t>. 2nd edition, 35th anniversary edition. Macmillan International Higher Education.</w:t>
      </w:r>
    </w:p>
    <w:p w14:paraId="5AEDB6F6" w14:textId="77777777" w:rsidR="008E0B7B" w:rsidRDefault="008E0B7B" w:rsidP="008E0B7B">
      <w:pPr>
        <w:pStyle w:val="Bibliography"/>
      </w:pPr>
      <w:r>
        <w:t xml:space="preserve">Halvorsen, Sam. 2020. ‘The Geography of Political Parties: Territory and Organisational Strategies in Buenos Aires’. </w:t>
      </w:r>
      <w:r>
        <w:rPr>
          <w:i/>
          <w:iCs/>
        </w:rPr>
        <w:t>Transactions of the Institute of British Geographers</w:t>
      </w:r>
      <w:r>
        <w:t xml:space="preserve"> 45 (2): 242–55. https://doi.org/10.1111/tran.12343.</w:t>
      </w:r>
    </w:p>
    <w:p w14:paraId="6C90EF34" w14:textId="77777777" w:rsidR="008E0B7B" w:rsidRDefault="008E0B7B" w:rsidP="008E0B7B">
      <w:pPr>
        <w:pStyle w:val="Bibliography"/>
      </w:pPr>
      <w:r>
        <w:t xml:space="preserve">Hamilton, Kathy. 2012. ‘Low-Income Families and Coping through Brands: Inclusion or Stigma?’ </w:t>
      </w:r>
      <w:r>
        <w:rPr>
          <w:i/>
          <w:iCs/>
        </w:rPr>
        <w:t>Sociology-the Journal of the British Sociological Association</w:t>
      </w:r>
      <w:r>
        <w:t xml:space="preserve"> (London) 46 (1): 74–90. https://doi.org/10.1177/0038038511416146.</w:t>
      </w:r>
    </w:p>
    <w:p w14:paraId="0F35970E" w14:textId="77777777" w:rsidR="008E0B7B" w:rsidRDefault="008E0B7B" w:rsidP="008E0B7B">
      <w:pPr>
        <w:pStyle w:val="Bibliography"/>
      </w:pPr>
      <w:r>
        <w:t xml:space="preserve">Hamnett, Chris. 2014. ‘Shrinking the Welfare State: The Structure, Geography and Impact of British Government Benefit Cuts’. </w:t>
      </w:r>
      <w:r>
        <w:rPr>
          <w:i/>
          <w:iCs/>
        </w:rPr>
        <w:t>Transactions of the Institute of British Geographers</w:t>
      </w:r>
      <w:r>
        <w:t xml:space="preserve"> 39 (4): 490–503.</w:t>
      </w:r>
    </w:p>
    <w:p w14:paraId="15F09CA0" w14:textId="77777777" w:rsidR="008E0B7B" w:rsidRDefault="008E0B7B" w:rsidP="008E0B7B">
      <w:pPr>
        <w:pStyle w:val="Bibliography"/>
      </w:pPr>
      <w:r>
        <w:t xml:space="preserve">Haraway, Donna. 1988. ‘Situated Knowledges: The Science Question in Feminism and the Privilege of Partial Perspective’. </w:t>
      </w:r>
      <w:r>
        <w:rPr>
          <w:i/>
          <w:iCs/>
        </w:rPr>
        <w:t>Feminist Studies</w:t>
      </w:r>
      <w:r>
        <w:t xml:space="preserve"> 14 (3): 575–99. https://doi.org/10.2307/3178066.</w:t>
      </w:r>
    </w:p>
    <w:p w14:paraId="4AB563DE" w14:textId="77777777" w:rsidR="008E0B7B" w:rsidRDefault="008E0B7B" w:rsidP="008E0B7B">
      <w:pPr>
        <w:pStyle w:val="Bibliography"/>
      </w:pPr>
      <w:r>
        <w:t xml:space="preserve">Harding, Sandra. 1993. ‘Rethinking Standpoint Epistemology: What Is “Strong Objectivity”?’ In </w:t>
      </w:r>
      <w:r>
        <w:rPr>
          <w:i/>
          <w:iCs/>
        </w:rPr>
        <w:t>Feminist Epistemologies</w:t>
      </w:r>
      <w:r>
        <w:t>. Routledge.</w:t>
      </w:r>
    </w:p>
    <w:p w14:paraId="2BC508E7" w14:textId="77777777" w:rsidR="008E0B7B" w:rsidRDefault="008E0B7B" w:rsidP="008E0B7B">
      <w:pPr>
        <w:pStyle w:val="Bibliography"/>
      </w:pPr>
      <w:r>
        <w:lastRenderedPageBreak/>
        <w:t xml:space="preserve">Harding, Simon. 2014. ‘As Fight for Mark Duggan’s Memory Rages Online, the Streets Remain in the Grip of Gangs’. </w:t>
      </w:r>
      <w:r>
        <w:rPr>
          <w:i/>
          <w:iCs/>
        </w:rPr>
        <w:t>The Conversation</w:t>
      </w:r>
      <w:r>
        <w:t>, January 10. https://doi.org/10.64628/AB.jqt3964kk.</w:t>
      </w:r>
    </w:p>
    <w:p w14:paraId="40F343CF" w14:textId="77777777" w:rsidR="008E0B7B" w:rsidRDefault="008E0B7B" w:rsidP="008E0B7B">
      <w:pPr>
        <w:pStyle w:val="Bibliography"/>
      </w:pPr>
      <w:r>
        <w:t>Haringey Borough Council. 1989. ‘Broadwater and Lordship Project’. 925.3 BRO. Haringey Borough Archives.</w:t>
      </w:r>
    </w:p>
    <w:p w14:paraId="4F7D3763" w14:textId="77777777" w:rsidR="008E0B7B" w:rsidRDefault="008E0B7B" w:rsidP="008E0B7B">
      <w:pPr>
        <w:pStyle w:val="Bibliography"/>
      </w:pPr>
      <w:r>
        <w:t xml:space="preserve">Haringey Borough Council. 2013a. </w:t>
      </w:r>
      <w:r>
        <w:rPr>
          <w:i/>
          <w:iCs/>
        </w:rPr>
        <w:t>High Road West: Consultation Feedback Report</w:t>
      </w:r>
      <w:r>
        <w:t>. Haringey Borough Council. https://www.haringey.gov.uk/sites/haringeygovuk/files/2013_a_detailed_report_of_the_consultation_feedback_pdf_2mb.pdf.</w:t>
      </w:r>
    </w:p>
    <w:p w14:paraId="11C2ACFB" w14:textId="77777777" w:rsidR="008E0B7B" w:rsidRDefault="008E0B7B" w:rsidP="008E0B7B">
      <w:pPr>
        <w:pStyle w:val="Bibliography"/>
      </w:pPr>
      <w:r>
        <w:t xml:space="preserve">Haringey Borough Council. 2013b. </w:t>
      </w:r>
      <w:r>
        <w:rPr>
          <w:i/>
          <w:iCs/>
        </w:rPr>
        <w:t>High Road West: Creating a Plan for Change</w:t>
      </w:r>
      <w:r>
        <w:t>. Haringey Borough Council. https://www.haringey.gov.uk/sites/haringeygovuk/files/highroadwestmasterplan.pdf.</w:t>
      </w:r>
    </w:p>
    <w:p w14:paraId="7472CEC1" w14:textId="77777777" w:rsidR="008E0B7B" w:rsidRDefault="008E0B7B" w:rsidP="008E0B7B">
      <w:pPr>
        <w:pStyle w:val="Bibliography"/>
      </w:pPr>
      <w:r>
        <w:t>Haringey Borough Council. 2023. ‘High Road West’. February 1. https://www.haringey.gov.uk/regeneration/tottenham/high-road-west.</w:t>
      </w:r>
    </w:p>
    <w:p w14:paraId="7372BD71" w14:textId="77777777" w:rsidR="008E0B7B" w:rsidRDefault="008E0B7B" w:rsidP="008E0B7B">
      <w:pPr>
        <w:pStyle w:val="Bibliography"/>
      </w:pPr>
      <w:r>
        <w:t xml:space="preserve">Haringey Borough Council. 2024a. </w:t>
      </w:r>
      <w:r>
        <w:rPr>
          <w:i/>
          <w:iCs/>
        </w:rPr>
        <w:t>Haringey at a Glance: State of the Borough</w:t>
      </w:r>
      <w:r>
        <w:t>. London Borough of Haringey. https://haringey.gov.uk/sites/default/files/2024-04/state_of_the_borough_final_master_version.pdf.</w:t>
      </w:r>
    </w:p>
    <w:p w14:paraId="13DA97A8" w14:textId="77777777" w:rsidR="008E0B7B" w:rsidRDefault="008E0B7B" w:rsidP="008E0B7B">
      <w:pPr>
        <w:pStyle w:val="Bibliography"/>
      </w:pPr>
      <w:r>
        <w:t>Haringey Borough Council. 2024b. ‘High Road West Previous Consultations’. https://www.haringey.gov.uk/placemaking-community-development/tottenham/high-road-west/high-road-west-previous-consultations.</w:t>
      </w:r>
    </w:p>
    <w:p w14:paraId="43F8C865" w14:textId="77777777" w:rsidR="008E0B7B" w:rsidRDefault="008E0B7B" w:rsidP="008E0B7B">
      <w:pPr>
        <w:pStyle w:val="Bibliography"/>
      </w:pPr>
      <w:r>
        <w:rPr>
          <w:i/>
          <w:iCs/>
        </w:rPr>
        <w:t>Haringey Community Press</w:t>
      </w:r>
      <w:r>
        <w:t>. 2024. ‘Listed Broadwater Farm Mural Set to Be “Carefully Reinstated” after Removal from Condemned Block’. April 9. https://haringeycommunitypress.co.uk/2024/04/09/listed-broadwater-farm-mural-set-to-be-carefully-reinstated-after-removal-from-condemned-block/.</w:t>
      </w:r>
    </w:p>
    <w:p w14:paraId="3A2CA5A8" w14:textId="77777777" w:rsidR="008E0B7B" w:rsidRDefault="008E0B7B" w:rsidP="008E0B7B">
      <w:pPr>
        <w:pStyle w:val="Bibliography"/>
      </w:pPr>
      <w:r>
        <w:t xml:space="preserve">Haringey Community Relations Council. 1985. </w:t>
      </w:r>
      <w:r>
        <w:rPr>
          <w:i/>
          <w:iCs/>
        </w:rPr>
        <w:t>The Recent Troubles: Mrs Cynthia Jarrett’s Death and Broadwater Farm</w:t>
      </w:r>
      <w:r>
        <w:t>. Minutes. Haringey Borough Council. BG/P/2/4/9. Bishopsgate Institute.</w:t>
      </w:r>
    </w:p>
    <w:p w14:paraId="5DDBE523" w14:textId="77777777" w:rsidR="008E0B7B" w:rsidRDefault="008E0B7B" w:rsidP="008E0B7B">
      <w:pPr>
        <w:pStyle w:val="Bibliography"/>
      </w:pPr>
      <w:r>
        <w:t xml:space="preserve">Harvey, David. 2012. ‘The “New” Imperialism: Accumulation by Dispossession’. In </w:t>
      </w:r>
      <w:r>
        <w:rPr>
          <w:i/>
          <w:iCs/>
        </w:rPr>
        <w:t>Karl Marx</w:t>
      </w:r>
      <w:r>
        <w:t>. Routledge.</w:t>
      </w:r>
    </w:p>
    <w:p w14:paraId="57F25804" w14:textId="77777777" w:rsidR="008E0B7B" w:rsidRDefault="008E0B7B" w:rsidP="008E0B7B">
      <w:pPr>
        <w:pStyle w:val="Bibliography"/>
      </w:pPr>
      <w:r>
        <w:t xml:space="preserve">Haynes, Amanda, Eoin Devereux, and Martin J. Power. 2013. ‘Media Representations, Stigma, and Neighbourhood Identity’. In </w:t>
      </w:r>
      <w:r>
        <w:rPr>
          <w:i/>
          <w:iCs/>
        </w:rPr>
        <w:t>Social Housing, Disadvantage, and Neighbourhood Liveability</w:t>
      </w:r>
      <w:r>
        <w:t>. Routledge.</w:t>
      </w:r>
    </w:p>
    <w:p w14:paraId="0727654D" w14:textId="77777777" w:rsidR="008E0B7B" w:rsidRDefault="008E0B7B" w:rsidP="008E0B7B">
      <w:pPr>
        <w:pStyle w:val="Bibliography"/>
      </w:pPr>
      <w:r>
        <w:t xml:space="preserve">Hayward, Keith, and Majid Yar. 2006. ‘The “Chav” Phenomenon: Consumption, Media and the Construction of a New Underclass’. </w:t>
      </w:r>
      <w:r>
        <w:rPr>
          <w:i/>
          <w:iCs/>
        </w:rPr>
        <w:t>Crime, Media, Culture</w:t>
      </w:r>
      <w:r>
        <w:t xml:space="preserve"> 2 (1): 9–28. https://doi.org/10.1177/1741659006061708.</w:t>
      </w:r>
    </w:p>
    <w:p w14:paraId="0D65F844" w14:textId="77777777" w:rsidR="008E0B7B" w:rsidRDefault="008E0B7B" w:rsidP="008E0B7B">
      <w:pPr>
        <w:pStyle w:val="Bibliography"/>
      </w:pPr>
      <w:r>
        <w:t xml:space="preserve">Herbert, Steve. 2000. ‘For Ethnography’. </w:t>
      </w:r>
      <w:r>
        <w:rPr>
          <w:i/>
          <w:iCs/>
        </w:rPr>
        <w:t>Progress in Human Geography</w:t>
      </w:r>
      <w:r>
        <w:t xml:space="preserve"> 24 (4): 550–68. https://doi.org/10.1191/030913200100189102.</w:t>
      </w:r>
    </w:p>
    <w:p w14:paraId="1BF21283" w14:textId="77777777" w:rsidR="008E0B7B" w:rsidRDefault="008E0B7B" w:rsidP="008E0B7B">
      <w:pPr>
        <w:pStyle w:val="Bibliography"/>
      </w:pPr>
      <w:r>
        <w:lastRenderedPageBreak/>
        <w:t xml:space="preserve">Heslop, Julia, and Emma Ormerod. 2020. ‘The Politics of Crisis: Deconstructing the Dominant Narratives of the Housing Crisis’. </w:t>
      </w:r>
      <w:r>
        <w:rPr>
          <w:i/>
          <w:iCs/>
        </w:rPr>
        <w:t>Antipode</w:t>
      </w:r>
      <w:r>
        <w:t xml:space="preserve"> 52 (1): 145–63. https://doi.org/10.1111/anti.12585.</w:t>
      </w:r>
    </w:p>
    <w:p w14:paraId="30BCDBD8" w14:textId="77777777" w:rsidR="008E0B7B" w:rsidRDefault="008E0B7B" w:rsidP="008E0B7B">
      <w:pPr>
        <w:pStyle w:val="Bibliography"/>
      </w:pPr>
      <w:r>
        <w:t xml:space="preserve">Hesse-Biber, Sharlene Nagy. 2014. ‘Feminist Approaches to In-Depth Interviewing’. In </w:t>
      </w:r>
      <w:r>
        <w:rPr>
          <w:i/>
          <w:iCs/>
        </w:rPr>
        <w:t>Feminist Research Practice: A Primer</w:t>
      </w:r>
      <w:r>
        <w:t>, edited by Sharlene Hesse-Biber. SAGE Publications, Inc. https://doi.org/10.4135/9781071909911.</w:t>
      </w:r>
    </w:p>
    <w:p w14:paraId="584AC668" w14:textId="77777777" w:rsidR="008E0B7B" w:rsidRDefault="008E0B7B" w:rsidP="008E0B7B">
      <w:pPr>
        <w:pStyle w:val="Bibliography"/>
      </w:pPr>
      <w:r>
        <w:t xml:space="preserve">Hill, Dave. 2021. ‘Haringey: The Rancorous Referendum of the Love Lane Estate’. Analysis. </w:t>
      </w:r>
      <w:r>
        <w:rPr>
          <w:i/>
          <w:iCs/>
        </w:rPr>
        <w:t>OnLondon</w:t>
      </w:r>
      <w:r>
        <w:t xml:space="preserve"> (London, UK), November 11. https://www.onlondon.co.uk/haringey-the-rancorous-referendum-of-the-love-lane-estate/.</w:t>
      </w:r>
    </w:p>
    <w:p w14:paraId="47AA74EC" w14:textId="77777777" w:rsidR="008E0B7B" w:rsidRDefault="008E0B7B" w:rsidP="008E0B7B">
      <w:pPr>
        <w:pStyle w:val="Bibliography"/>
      </w:pPr>
      <w:r>
        <w:t xml:space="preserve">Hilliard, Christopher. 2025. ‘Housing and the Peripheralization of Race Politics in Britain, 1948–1977’. </w:t>
      </w:r>
      <w:r>
        <w:rPr>
          <w:i/>
          <w:iCs/>
        </w:rPr>
        <w:t>Past &amp; Present</w:t>
      </w:r>
      <w:r>
        <w:t>, August 5, gtaf019. https://doi.org/10.1093/pastj/gtaf019.</w:t>
      </w:r>
    </w:p>
    <w:p w14:paraId="71546636" w14:textId="77777777" w:rsidR="008E0B7B" w:rsidRDefault="008E0B7B" w:rsidP="008E0B7B">
      <w:pPr>
        <w:pStyle w:val="Bibliography"/>
      </w:pPr>
      <w:r>
        <w:t xml:space="preserve">Hillier, Brandon, Rachel Philips, and Jamie Peck. 2022. </w:t>
      </w:r>
      <w:r>
        <w:rPr>
          <w:i/>
          <w:iCs/>
        </w:rPr>
        <w:t>Regulation Theory, Space and Uneven Development: Conversations and Challenges</w:t>
      </w:r>
      <w:r>
        <w:t>. 1984press.</w:t>
      </w:r>
    </w:p>
    <w:p w14:paraId="4DE215B6" w14:textId="77777777" w:rsidR="008E0B7B" w:rsidRDefault="008E0B7B" w:rsidP="008E0B7B">
      <w:pPr>
        <w:pStyle w:val="Bibliography"/>
      </w:pPr>
      <w:r>
        <w:t xml:space="preserve">Hobsbawm, Eric. 1961. ‘Parliamentary Cretinism?’ </w:t>
      </w:r>
      <w:r>
        <w:rPr>
          <w:i/>
          <w:iCs/>
        </w:rPr>
        <w:t>New Left Review</w:t>
      </w:r>
      <w:r>
        <w:t>, no. I/12 (December): 64–66.</w:t>
      </w:r>
    </w:p>
    <w:p w14:paraId="7567B6C3" w14:textId="77777777" w:rsidR="008E0B7B" w:rsidRDefault="008E0B7B" w:rsidP="008E0B7B">
      <w:pPr>
        <w:pStyle w:val="Bibliography"/>
      </w:pPr>
      <w:r>
        <w:t xml:space="preserve">Hodder, Jake. 2017. ‘On Absence and Abundance: Biography as Method in Archival Research’. </w:t>
      </w:r>
      <w:r>
        <w:rPr>
          <w:i/>
          <w:iCs/>
        </w:rPr>
        <w:t>Area</w:t>
      </w:r>
      <w:r>
        <w:t xml:space="preserve"> 49 (4): 452–59. https://doi.org/10.1111/area.12329.</w:t>
      </w:r>
    </w:p>
    <w:p w14:paraId="26DB5A44" w14:textId="77777777" w:rsidR="008E0B7B" w:rsidRDefault="008E0B7B" w:rsidP="008E0B7B">
      <w:pPr>
        <w:pStyle w:val="Bibliography"/>
      </w:pPr>
      <w:r>
        <w:t xml:space="preserve">Hodkinson, Stuart. 2011. ‘Housing Regeneration and the Private Finance Initiative in England: Unstitching the Neoliberal Urban Straitjacket’. </w:t>
      </w:r>
      <w:r>
        <w:rPr>
          <w:i/>
          <w:iCs/>
        </w:rPr>
        <w:t>Antipode</w:t>
      </w:r>
      <w:r>
        <w:t xml:space="preserve"> 43 (2): 358–83. https://doi.org/10.1111/j.1467-8330.2010.00819.x.</w:t>
      </w:r>
    </w:p>
    <w:p w14:paraId="4822AD42" w14:textId="77777777" w:rsidR="008E0B7B" w:rsidRDefault="008E0B7B" w:rsidP="008E0B7B">
      <w:pPr>
        <w:pStyle w:val="Bibliography"/>
      </w:pPr>
      <w:r>
        <w:t xml:space="preserve">Hodkinson, Stuart, and Chris Essen. 2015. ‘Grounding Accumulation by Dispossession in Everday Life: The Unjust Geographies of Urban Regeneration under the Private Finance Initiative Special Issue: Law and Geography’. </w:t>
      </w:r>
      <w:r>
        <w:rPr>
          <w:i/>
          <w:iCs/>
        </w:rPr>
        <w:t>International Journal of Law in the Built Environment</w:t>
      </w:r>
      <w:r>
        <w:t xml:space="preserve"> 7 (1): 72-92–95.</w:t>
      </w:r>
    </w:p>
    <w:p w14:paraId="755D8C8C" w14:textId="77777777" w:rsidR="008E0B7B" w:rsidRDefault="008E0B7B" w:rsidP="008E0B7B">
      <w:pPr>
        <w:pStyle w:val="Bibliography"/>
      </w:pPr>
      <w:r>
        <w:t xml:space="preserve">Hodkinson, Stuart, and Glyn Robbins. 2013. ‘The Return of Class War Conservatism? Housing under the UK Coalition Government’. </w:t>
      </w:r>
      <w:r>
        <w:rPr>
          <w:i/>
          <w:iCs/>
        </w:rPr>
        <w:t>Critical Social Policy</w:t>
      </w:r>
      <w:r>
        <w:t xml:space="preserve"> 33 (1): 57–77. https://doi.org/10.1177/0261018312457871.</w:t>
      </w:r>
    </w:p>
    <w:p w14:paraId="20E5D351" w14:textId="77777777" w:rsidR="008E0B7B" w:rsidRDefault="008E0B7B" w:rsidP="008E0B7B">
      <w:pPr>
        <w:pStyle w:val="Bibliography"/>
      </w:pPr>
      <w:r>
        <w:t xml:space="preserve">Holden, Paul. 2025. </w:t>
      </w:r>
      <w:r>
        <w:rPr>
          <w:i/>
          <w:iCs/>
        </w:rPr>
        <w:t>The Fraud: Keir Starmer, Morgan McSweeney, and the Crisis of British Democracy</w:t>
      </w:r>
      <w:r>
        <w:t>. OR Books.</w:t>
      </w:r>
    </w:p>
    <w:p w14:paraId="2BE89907" w14:textId="77777777" w:rsidR="008E0B7B" w:rsidRDefault="008E0B7B" w:rsidP="008E0B7B">
      <w:pPr>
        <w:pStyle w:val="Bibliography"/>
      </w:pPr>
      <w:r>
        <w:t xml:space="preserve">Horton, Amy, and Joe Penny. 2024. </w:t>
      </w:r>
      <w:r>
        <w:rPr>
          <w:i/>
          <w:iCs/>
        </w:rPr>
        <w:t>Disrupting the Speculative City: Property, Power and Community Resistance in London</w:t>
      </w:r>
      <w:r>
        <w:t>. UCL PRESS. https://www.uclpress.co.uk/products/240669.</w:t>
      </w:r>
    </w:p>
    <w:p w14:paraId="154369C7" w14:textId="77777777" w:rsidR="008E0B7B" w:rsidRDefault="008E0B7B" w:rsidP="008E0B7B">
      <w:pPr>
        <w:pStyle w:val="Bibliography"/>
      </w:pPr>
      <w:r>
        <w:t>Housing Today. 2024. ‘Reform UK Party Pledges to Change Social Housing Allocation Laws’. June 18. https://www.housingtoday.co.uk/news/reform-uk-party-pledges-to-change-social-housing-allocation-laws/5129996.article.</w:t>
      </w:r>
    </w:p>
    <w:p w14:paraId="563DAEAA" w14:textId="77777777" w:rsidR="008E0B7B" w:rsidRDefault="008E0B7B" w:rsidP="008E0B7B">
      <w:pPr>
        <w:pStyle w:val="Bibliography"/>
      </w:pPr>
      <w:r>
        <w:lastRenderedPageBreak/>
        <w:t>Houston, Serin Day. 2011. ‘Ethnography of the City: Creativity, Sustainability, and Social Justice in Seattle, Washington’. Ph.D. Dissertation, Syracuse University. https://surface.syr.edu/cgi/viewcontent.cgi?referer=&amp;httpsredir=1&amp;article=1069&amp;context=geo_etd.</w:t>
      </w:r>
    </w:p>
    <w:p w14:paraId="17629284" w14:textId="77777777" w:rsidR="008E0B7B" w:rsidRDefault="008E0B7B" w:rsidP="008E0B7B">
      <w:pPr>
        <w:pStyle w:val="Bibliography"/>
      </w:pPr>
      <w:r>
        <w:t xml:space="preserve">Hsu, Yon. 2008. ‘Acts of Chinese Citizenship: The Tank Man and Democracy-to-Come’. In </w:t>
      </w:r>
      <w:r>
        <w:rPr>
          <w:i/>
          <w:iCs/>
        </w:rPr>
        <w:t>Acts of Citizenship</w:t>
      </w:r>
      <w:r>
        <w:t>, edited by Engin Isin and Greg Marc Nielsen. Zed Books Ltd. https://ezphost.dur.ac.uk/login?url=https://search.ebscohost.com/login.aspx?direct=true&amp;scope=site&amp;db=nlebk&amp;AN=260783.</w:t>
      </w:r>
    </w:p>
    <w:p w14:paraId="3B9B94DD" w14:textId="77777777" w:rsidR="008E0B7B" w:rsidRDefault="008E0B7B" w:rsidP="008E0B7B">
      <w:pPr>
        <w:pStyle w:val="Bibliography"/>
      </w:pPr>
      <w:r>
        <w:t xml:space="preserve">Hughes, Sarah M., and Peter Forman. 2017. ‘A Material Politics of Citizenship: The Potential of Circulating Materials from UK Immigration Removal Centres’. </w:t>
      </w:r>
      <w:r>
        <w:rPr>
          <w:i/>
          <w:iCs/>
        </w:rPr>
        <w:t>Citizenship Studies</w:t>
      </w:r>
      <w:r>
        <w:t xml:space="preserve"> 21 (6): 675–92. https://doi.org/10.1080/13621025.2017.1341659.</w:t>
      </w:r>
    </w:p>
    <w:p w14:paraId="5AAAC3FE" w14:textId="77777777" w:rsidR="008E0B7B" w:rsidRDefault="008E0B7B" w:rsidP="008E0B7B">
      <w:pPr>
        <w:pStyle w:val="Bibliography"/>
      </w:pPr>
      <w:r>
        <w:t xml:space="preserve">Humphrey, Caroline. 2007. ‘Insider-Outsider: Activating the Hyphen’. </w:t>
      </w:r>
      <w:r>
        <w:rPr>
          <w:i/>
          <w:iCs/>
        </w:rPr>
        <w:t>Action Research</w:t>
      </w:r>
      <w:r>
        <w:t xml:space="preserve"> 5 (1): 11–26. https://doi.org/10.1177/1476750307072873.</w:t>
      </w:r>
    </w:p>
    <w:p w14:paraId="642DBBB7" w14:textId="77777777" w:rsidR="008E0B7B" w:rsidRDefault="008E0B7B" w:rsidP="008E0B7B">
      <w:pPr>
        <w:pStyle w:val="Bibliography"/>
      </w:pPr>
      <w:r>
        <w:t xml:space="preserve">Humphry, Debbie. 2020. ‘From Residualisation to Individualization? Social Tenants’ Experiences in Post-Olympics East Village’. </w:t>
      </w:r>
      <w:r>
        <w:rPr>
          <w:i/>
          <w:iCs/>
        </w:rPr>
        <w:t>Housing, Theory and Society</w:t>
      </w:r>
      <w:r>
        <w:t xml:space="preserve"> 37 (4): 458–80. https://doi.org/10.1080/14036096.2019.1633400.</w:t>
      </w:r>
    </w:p>
    <w:p w14:paraId="49875085" w14:textId="77777777" w:rsidR="008E0B7B" w:rsidRDefault="008E0B7B" w:rsidP="008E0B7B">
      <w:pPr>
        <w:pStyle w:val="Bibliography"/>
      </w:pPr>
      <w:r>
        <w:t xml:space="preserve">Hyacinth, Natalie. 2019. </w:t>
      </w:r>
      <w:r>
        <w:rPr>
          <w:i/>
          <w:iCs/>
        </w:rPr>
        <w:t>Black Archives in the UK Report: Opportunities, Challenges and Moving Forward</w:t>
      </w:r>
      <w:r>
        <w:t>. Race, Culture and Equality Working Group Report, Royal Geographical Society. https://raceingeography.org/wp-content/uploads/2019/08/race-group-report-july-2019-proofread.pdf.</w:t>
      </w:r>
    </w:p>
    <w:p w14:paraId="6728CD83" w14:textId="77777777" w:rsidR="008E0B7B" w:rsidRDefault="008E0B7B" w:rsidP="008E0B7B">
      <w:pPr>
        <w:pStyle w:val="Bibliography"/>
      </w:pPr>
      <w:r>
        <w:t xml:space="preserve">Isin, Engin. 2008. ‘Theorizing Acts of Citizenship’. In </w:t>
      </w:r>
      <w:r>
        <w:rPr>
          <w:i/>
          <w:iCs/>
        </w:rPr>
        <w:t>Acts of Citizenship</w:t>
      </w:r>
      <w:r>
        <w:t>, edited by Engin Isin and Greg Marc Nielsen. Zed Books Ltd.</w:t>
      </w:r>
    </w:p>
    <w:p w14:paraId="23611A92" w14:textId="77777777" w:rsidR="008E0B7B" w:rsidRDefault="008E0B7B" w:rsidP="008E0B7B">
      <w:pPr>
        <w:pStyle w:val="Bibliography"/>
      </w:pPr>
      <w:r>
        <w:t xml:space="preserve">Isin, Engin. 2009. ‘Citizenship in Flux: The Figure of the Activist Citizen’. </w:t>
      </w:r>
      <w:r>
        <w:rPr>
          <w:i/>
          <w:iCs/>
        </w:rPr>
        <w:t>Subjectivity</w:t>
      </w:r>
      <w:r>
        <w:t xml:space="preserve"> 29 (1): 367–88. https://doi.org/10.1057/sub.2009.25.</w:t>
      </w:r>
    </w:p>
    <w:p w14:paraId="5F450FCE" w14:textId="77777777" w:rsidR="008E0B7B" w:rsidRDefault="008E0B7B" w:rsidP="008E0B7B">
      <w:pPr>
        <w:pStyle w:val="Bibliography"/>
      </w:pPr>
      <w:r>
        <w:t xml:space="preserve">Isin, Engin. 2017. ‘Performative Citizenship’. In </w:t>
      </w:r>
      <w:r>
        <w:rPr>
          <w:i/>
          <w:iCs/>
        </w:rPr>
        <w:t>The Oxford Handbook of Citizenship</w:t>
      </w:r>
      <w:r>
        <w:t>, edited by Ayelet Shachar, Rainer Bauböck, Irene Bloemraad, and Maarten Vink. Oxford University Press. https://doi.org/10.1093/oxfordhb/9780198805854.013.22.</w:t>
      </w:r>
    </w:p>
    <w:p w14:paraId="777C3796" w14:textId="77777777" w:rsidR="008E0B7B" w:rsidRDefault="008E0B7B" w:rsidP="008E0B7B">
      <w:pPr>
        <w:pStyle w:val="Bibliography"/>
      </w:pPr>
      <w:r>
        <w:t xml:space="preserve">Jacobson, Sarah. 2022. ‘Redefining Urban Citizenship: Italian Migrants and Housing Occupations in 1970s Frankfurt Am Main’. </w:t>
      </w:r>
      <w:r>
        <w:rPr>
          <w:i/>
          <w:iCs/>
        </w:rPr>
        <w:t>Contemporary European History</w:t>
      </w:r>
      <w:r>
        <w:t>, October 20, 1–17. https://doi.org/10.1017/S0960777322000662.</w:t>
      </w:r>
    </w:p>
    <w:p w14:paraId="736D68F4" w14:textId="77777777" w:rsidR="008E0B7B" w:rsidRDefault="008E0B7B" w:rsidP="008E0B7B">
      <w:pPr>
        <w:pStyle w:val="Bibliography"/>
      </w:pPr>
      <w:r>
        <w:t xml:space="preserve">Jakimów, Małgorzata. 2017. ‘Resistance through Accommodation: A Citizenship Approach to Migrant Worker NGOs in China’. </w:t>
      </w:r>
      <w:r>
        <w:rPr>
          <w:i/>
          <w:iCs/>
        </w:rPr>
        <w:t>Journal of Contemporary China</w:t>
      </w:r>
      <w:r>
        <w:t xml:space="preserve"> 26 (108): 915–30. https://doi.org/10.1080/10670564.2017.1337316.</w:t>
      </w:r>
    </w:p>
    <w:p w14:paraId="47605565" w14:textId="77777777" w:rsidR="008E0B7B" w:rsidRDefault="008E0B7B" w:rsidP="008E0B7B">
      <w:pPr>
        <w:pStyle w:val="Bibliography"/>
      </w:pPr>
      <w:r>
        <w:lastRenderedPageBreak/>
        <w:t xml:space="preserve">Jakimów, Małgorzata. 2022. ‘Activist Citizenship in Non-Western and Non-Democratic Contexts: How to Define “Acts of Citizenship”’. </w:t>
      </w:r>
      <w:r>
        <w:rPr>
          <w:i/>
          <w:iCs/>
        </w:rPr>
        <w:t>Citizenship Studies</w:t>
      </w:r>
      <w:r>
        <w:t xml:space="preserve"> 26 (4–5): 505–11. https://doi.org/10.1080/13621025.2022.2091232.</w:t>
      </w:r>
    </w:p>
    <w:p w14:paraId="55B8EE2A" w14:textId="77777777" w:rsidR="008E0B7B" w:rsidRDefault="008E0B7B" w:rsidP="008E0B7B">
      <w:pPr>
        <w:pStyle w:val="Bibliography"/>
      </w:pPr>
      <w:r>
        <w:t xml:space="preserve">James, Toby S. 2009. ‘Whatever Happened to Régulation Theory? The Régulation Approach and Local Government Revisited’. </w:t>
      </w:r>
      <w:r>
        <w:rPr>
          <w:i/>
          <w:iCs/>
        </w:rPr>
        <w:t>Policy Studies</w:t>
      </w:r>
      <w:r>
        <w:t xml:space="preserve"> 30 (2): 181–201. https://doi.org/10.1080/01442870902723717.</w:t>
      </w:r>
    </w:p>
    <w:p w14:paraId="32959F5E" w14:textId="77777777" w:rsidR="008E0B7B" w:rsidRDefault="008E0B7B" w:rsidP="008E0B7B">
      <w:pPr>
        <w:pStyle w:val="Bibliography"/>
      </w:pPr>
      <w:r>
        <w:t xml:space="preserve">Janoschka, Michael. 2015. ‘Politics, Citizenship and Disobedience in the City of Crisis: A Critical Analysis of Contemporary Housing Struggles in Madrid’. </w:t>
      </w:r>
      <w:r>
        <w:rPr>
          <w:i/>
          <w:iCs/>
        </w:rPr>
        <w:t>DIE ERDE – Journal of the Geographical Society of Berlin</w:t>
      </w:r>
      <w:r>
        <w:t xml:space="preserve"> 146 (2–3): 2–3. https://doi.org/10.12854/erde-146-9.</w:t>
      </w:r>
    </w:p>
    <w:p w14:paraId="310FB862" w14:textId="77777777" w:rsidR="008E0B7B" w:rsidRDefault="008E0B7B" w:rsidP="008E0B7B">
      <w:pPr>
        <w:pStyle w:val="Bibliography"/>
      </w:pPr>
      <w:r>
        <w:t xml:space="preserve">Jeffers, Syd, and Paul Hoggett. 1995. ‘Like Counting Deckchairs on the Titanic: A Study of Institutional Racism and Housing Allocations in Haringey and Lambeth’. </w:t>
      </w:r>
      <w:r>
        <w:rPr>
          <w:i/>
          <w:iCs/>
        </w:rPr>
        <w:t>Housing Studies</w:t>
      </w:r>
      <w:r>
        <w:t xml:space="preserve"> 10 (3): 325–44. https://doi.org/10.1080/02673039508720824.</w:t>
      </w:r>
    </w:p>
    <w:p w14:paraId="43215C45" w14:textId="77777777" w:rsidR="008E0B7B" w:rsidRDefault="008E0B7B" w:rsidP="008E0B7B">
      <w:pPr>
        <w:pStyle w:val="Bibliography"/>
      </w:pPr>
      <w:r>
        <w:t xml:space="preserve">Jefferson, Tony. 2012. ‘Policing the Riots: From Bristol and Brixton to Tottenham, via Toxteth, Handsworth, Etc: Tony Jefferson Tells the Angry, Ongoing Story of Rioting over the Past 30 Years’. </w:t>
      </w:r>
      <w:r>
        <w:rPr>
          <w:i/>
          <w:iCs/>
        </w:rPr>
        <w:t>Criminal Justice Matters</w:t>
      </w:r>
      <w:r>
        <w:t xml:space="preserve"> 87 (1): 8–9. https://doi.org/10.1080/09627251.2012.670995.</w:t>
      </w:r>
    </w:p>
    <w:p w14:paraId="71DDA6A5" w14:textId="77777777" w:rsidR="008E0B7B" w:rsidRDefault="008E0B7B" w:rsidP="008E0B7B">
      <w:pPr>
        <w:pStyle w:val="Bibliography"/>
      </w:pPr>
      <w:r>
        <w:t xml:space="preserve">Jenss, Alke. 2019. ‘Authoritarian Neoliberal Rescaling in Latin America: Urban in/Security and Austerity in Oaxaca’. </w:t>
      </w:r>
      <w:r>
        <w:rPr>
          <w:i/>
          <w:iCs/>
        </w:rPr>
        <w:t>Globalizations</w:t>
      </w:r>
      <w:r>
        <w:t xml:space="preserve"> 16 (3): 304–19. https://doi.org/10.1080/14747731.2018.1502493.</w:t>
      </w:r>
    </w:p>
    <w:p w14:paraId="5F4EF124" w14:textId="77777777" w:rsidR="008E0B7B" w:rsidRDefault="008E0B7B" w:rsidP="008E0B7B">
      <w:pPr>
        <w:pStyle w:val="Bibliography"/>
      </w:pPr>
      <w:r>
        <w:t xml:space="preserve">Jessop, Bob. 2010. </w:t>
      </w:r>
      <w:r>
        <w:rPr>
          <w:i/>
          <w:iCs/>
        </w:rPr>
        <w:t>State Power: A Strategic-Relational Approach</w:t>
      </w:r>
      <w:r>
        <w:t>. Reprinted. Polity Press.</w:t>
      </w:r>
    </w:p>
    <w:p w14:paraId="7285CCD0" w14:textId="77777777" w:rsidR="008E0B7B" w:rsidRDefault="008E0B7B" w:rsidP="008E0B7B">
      <w:pPr>
        <w:pStyle w:val="Bibliography"/>
      </w:pPr>
      <w:r>
        <w:t xml:space="preserve">Jessop, Bob. 2016. </w:t>
      </w:r>
      <w:r>
        <w:rPr>
          <w:i/>
          <w:iCs/>
        </w:rPr>
        <w:t>The State: Past, Present, Future</w:t>
      </w:r>
      <w:r>
        <w:t>. Polity Press.</w:t>
      </w:r>
    </w:p>
    <w:p w14:paraId="120F467F" w14:textId="77777777" w:rsidR="008E0B7B" w:rsidRDefault="008E0B7B" w:rsidP="008E0B7B">
      <w:pPr>
        <w:pStyle w:val="Bibliography"/>
      </w:pPr>
      <w:r>
        <w:t xml:space="preserve">Johns, Amelia. 2014. ‘Muslim Young People Online: “Acts of Citizenship” in Socially Networked Spaces’. </w:t>
      </w:r>
      <w:r>
        <w:rPr>
          <w:i/>
          <w:iCs/>
        </w:rPr>
        <w:t>Social Inclusion</w:t>
      </w:r>
      <w:r>
        <w:t xml:space="preserve"> 2 (2): 71–82. https://doi.org/10.17645/si.v2i2.168.</w:t>
      </w:r>
    </w:p>
    <w:p w14:paraId="6F101E39" w14:textId="77777777" w:rsidR="008E0B7B" w:rsidRDefault="008E0B7B" w:rsidP="008E0B7B">
      <w:pPr>
        <w:pStyle w:val="Bibliography"/>
      </w:pPr>
      <w:r>
        <w:t xml:space="preserve">Johnston, Charlie, and Gerry Mooney. 2007. ‘“Problem” People, “Problem” Places? New Labour and Council Estates’. In </w:t>
      </w:r>
      <w:r>
        <w:rPr>
          <w:i/>
          <w:iCs/>
        </w:rPr>
        <w:t>Securing an Urban Renaissance</w:t>
      </w:r>
      <w:r>
        <w:t>, edited by Rowland Atkinson and Gesma Helms. Policy Press. http://ebookcentral.proquest.com/lib/durham/detail.action?docID=419289.</w:t>
      </w:r>
    </w:p>
    <w:p w14:paraId="5864515D" w14:textId="77777777" w:rsidR="008E0B7B" w:rsidRDefault="008E0B7B" w:rsidP="008E0B7B">
      <w:pPr>
        <w:pStyle w:val="Bibliography"/>
      </w:pPr>
      <w:r>
        <w:t xml:space="preserve">Johnston, Olivia. 2024. </w:t>
      </w:r>
      <w:r>
        <w:rPr>
          <w:i/>
          <w:iCs/>
        </w:rPr>
        <w:t>Constructing Composite Narratives: A Step-By-Step Guide for Researchers in the Social Sciences</w:t>
      </w:r>
      <w:r>
        <w:t>. Routledge. https://doi.org/10.4324/9781003424475.</w:t>
      </w:r>
    </w:p>
    <w:p w14:paraId="1B9242EA" w14:textId="77777777" w:rsidR="008E0B7B" w:rsidRDefault="008E0B7B" w:rsidP="008E0B7B">
      <w:pPr>
        <w:pStyle w:val="Bibliography"/>
      </w:pPr>
      <w:r>
        <w:t xml:space="preserve">Jones, Colin, and Alan Murie. 2008. </w:t>
      </w:r>
      <w:r>
        <w:rPr>
          <w:i/>
          <w:iCs/>
        </w:rPr>
        <w:t>The Right to Buy: Analysis and Evaluation of a Housing Policy</w:t>
      </w:r>
      <w:r>
        <w:t>. John Wiley &amp; Sons.</w:t>
      </w:r>
    </w:p>
    <w:p w14:paraId="551DD496" w14:textId="77777777" w:rsidR="008E0B7B" w:rsidRDefault="008E0B7B" w:rsidP="008E0B7B">
      <w:pPr>
        <w:pStyle w:val="Bibliography"/>
      </w:pPr>
      <w:r>
        <w:t xml:space="preserve">Joppke, Christian. 2021. ‘From Liberal to Neoliberal Citizenship: A Commentary on Marion Fourcade’. </w:t>
      </w:r>
      <w:r>
        <w:rPr>
          <w:i/>
          <w:iCs/>
        </w:rPr>
        <w:t>The British Journal of Sociology</w:t>
      </w:r>
      <w:r>
        <w:t xml:space="preserve"> 72 (2): 181–89. https://doi.org/10.1111/1468-4446.12825.</w:t>
      </w:r>
    </w:p>
    <w:p w14:paraId="74716691" w14:textId="77777777" w:rsidR="008E0B7B" w:rsidRDefault="008E0B7B" w:rsidP="008E0B7B">
      <w:pPr>
        <w:pStyle w:val="Bibliography"/>
      </w:pPr>
      <w:r>
        <w:lastRenderedPageBreak/>
        <w:t xml:space="preserve">Jordan, Joanna, and Sarah Moser. 2020. ‘Researching Migrants in Informal Transit Camps along the Balkan Route: Reflections on Volunteer Activism, Access, and Reciprocity’. </w:t>
      </w:r>
      <w:r>
        <w:rPr>
          <w:i/>
          <w:iCs/>
        </w:rPr>
        <w:t>Area</w:t>
      </w:r>
      <w:r>
        <w:t xml:space="preserve"> 52 (3): 566–74. https://doi.org/10.1111/area.12614.</w:t>
      </w:r>
    </w:p>
    <w:p w14:paraId="3D78ADFB" w14:textId="77777777" w:rsidR="008E0B7B" w:rsidRDefault="008E0B7B" w:rsidP="008E0B7B">
      <w:pPr>
        <w:pStyle w:val="Bibliography"/>
      </w:pPr>
      <w:r>
        <w:t xml:space="preserve">Kallin, Hamish, and Tom Slater. 2014. ‘Activating Territorial Stigma: Gentrifying Marginality on Edinburgh’s Periphery’. </w:t>
      </w:r>
      <w:r>
        <w:rPr>
          <w:i/>
          <w:iCs/>
        </w:rPr>
        <w:t>Environment and Planning A: Economy and Space</w:t>
      </w:r>
      <w:r>
        <w:t xml:space="preserve"> 46 (6): 1351–68. https://doi.org/10.1068/a45634.</w:t>
      </w:r>
    </w:p>
    <w:p w14:paraId="59B73FD6" w14:textId="77777777" w:rsidR="008E0B7B" w:rsidRDefault="008E0B7B" w:rsidP="008E0B7B">
      <w:pPr>
        <w:pStyle w:val="Bibliography"/>
      </w:pPr>
      <w:r>
        <w:t>Karakusevic Carson Architects. 2019. ‘Broadwater Farm Estate | Projects’. Karakusevic Carson Architects. http://karakusevic-carson.com/.</w:t>
      </w:r>
    </w:p>
    <w:p w14:paraId="6618E3C9" w14:textId="77777777" w:rsidR="008E0B7B" w:rsidRDefault="008E0B7B" w:rsidP="008E0B7B">
      <w:pPr>
        <w:pStyle w:val="Bibliography"/>
      </w:pPr>
      <w:r>
        <w:t xml:space="preserve">Katz, Michael B. (1989) 2013. </w:t>
      </w:r>
      <w:r>
        <w:rPr>
          <w:i/>
          <w:iCs/>
        </w:rPr>
        <w:t>The Undeserving Poor: America’s Enduring Confrontation with Poverty: Fully Updated and Revised</w:t>
      </w:r>
      <w:r>
        <w:t>. Second Edition. Oxford University Press.</w:t>
      </w:r>
    </w:p>
    <w:p w14:paraId="63E77733" w14:textId="77777777" w:rsidR="008E0B7B" w:rsidRDefault="008E0B7B" w:rsidP="008E0B7B">
      <w:pPr>
        <w:pStyle w:val="Bibliography"/>
      </w:pPr>
      <w:r>
        <w:t xml:space="preserve">Kavanagh, Kevin. 1985. ‘“Keep Police on the Farm” - 5,000 Petition Whitehall’. </w:t>
      </w:r>
      <w:r>
        <w:rPr>
          <w:i/>
          <w:iCs/>
        </w:rPr>
        <w:t>The Journal</w:t>
      </w:r>
      <w:r>
        <w:t xml:space="preserve"> (London (UK), United Kingdom), December 13. BPM/7/1/6/3, p. 4. George Padmore Institute.</w:t>
      </w:r>
    </w:p>
    <w:p w14:paraId="41D4CFEC" w14:textId="77777777" w:rsidR="008E0B7B" w:rsidRDefault="008E0B7B" w:rsidP="008E0B7B">
      <w:pPr>
        <w:pStyle w:val="Bibliography"/>
      </w:pPr>
      <w:r>
        <w:t xml:space="preserve">Kaygusuz, Özlem. 2018. ‘Authoritarian Neoliberalism and Regime Security in Turkey: Moving to an “Exceptional State” under AKP’. </w:t>
      </w:r>
      <w:r>
        <w:rPr>
          <w:i/>
          <w:iCs/>
        </w:rPr>
        <w:t>South European Society and Politics</w:t>
      </w:r>
      <w:r>
        <w:t xml:space="preserve"> 23 (2): 281–302. https://doi.org/10.1080/13608746.2018.1480332.</w:t>
      </w:r>
    </w:p>
    <w:p w14:paraId="1C3955E5" w14:textId="77777777" w:rsidR="008E0B7B" w:rsidRDefault="008E0B7B" w:rsidP="008E0B7B">
      <w:pPr>
        <w:pStyle w:val="Bibliography"/>
      </w:pPr>
      <w:r>
        <w:t xml:space="preserve">Kearns, Ade. 1995. ‘Active Citizenship and Local Governance: Political and Geographical Dimensions’. </w:t>
      </w:r>
      <w:r>
        <w:rPr>
          <w:i/>
          <w:iCs/>
        </w:rPr>
        <w:t>Political Geography</w:t>
      </w:r>
      <w:r>
        <w:t>, Spaces of citizenship, vol. 14 (2): 155–75. https://doi.org/10.1016/0962-6298(95)91662-N.</w:t>
      </w:r>
    </w:p>
    <w:p w14:paraId="5EA0FEC4" w14:textId="77777777" w:rsidR="008E0B7B" w:rsidRDefault="008E0B7B" w:rsidP="008E0B7B">
      <w:pPr>
        <w:pStyle w:val="Bibliography"/>
      </w:pPr>
      <w:r>
        <w:t xml:space="preserve">Kearns, Ade, Oliver Kearns, and Louise Lawson. 2013. ‘Notorious Places: Image, Reputation, Stigma. The Role of Newspapers in Area Reputations for Social Housing Estates’. </w:t>
      </w:r>
      <w:r>
        <w:rPr>
          <w:i/>
          <w:iCs/>
        </w:rPr>
        <w:t>Housing Studies</w:t>
      </w:r>
      <w:r>
        <w:t xml:space="preserve"> 28 (4): 579–98. https://doi.org/10.1080/02673037.2013.759546.</w:t>
      </w:r>
    </w:p>
    <w:p w14:paraId="615A9778" w14:textId="77777777" w:rsidR="008E0B7B" w:rsidRDefault="008E0B7B" w:rsidP="008E0B7B">
      <w:pPr>
        <w:pStyle w:val="Bibliography"/>
      </w:pPr>
      <w:r>
        <w:t xml:space="preserve">Keen, Sam, Martha Lomeli-Rodriguez, and Helene Joffe. 2022. ‘From Challenge to Opportunity: Virtual Qualitative Research During COVID-19 and Beyond’. </w:t>
      </w:r>
      <w:r>
        <w:rPr>
          <w:i/>
          <w:iCs/>
        </w:rPr>
        <w:t>International Journal of Qualitative Methods</w:t>
      </w:r>
      <w:r>
        <w:t xml:space="preserve"> 21 (April): 16094069221105075. https://doi.org/10.1177/16094069221105075.</w:t>
      </w:r>
    </w:p>
    <w:p w14:paraId="6B71B081" w14:textId="77777777" w:rsidR="008E0B7B" w:rsidRDefault="008E0B7B" w:rsidP="008E0B7B">
      <w:pPr>
        <w:pStyle w:val="Bibliography"/>
      </w:pPr>
      <w:r>
        <w:t xml:space="preserve">Kerr, Peter. 2005. </w:t>
      </w:r>
      <w:r>
        <w:rPr>
          <w:i/>
          <w:iCs/>
        </w:rPr>
        <w:t>Postwar British Politics: From Conflict to Consensus</w:t>
      </w:r>
      <w:r>
        <w:t>. Routledge. https://doi.org/10.4324/9780203991794.</w:t>
      </w:r>
    </w:p>
    <w:p w14:paraId="038D43DF" w14:textId="77777777" w:rsidR="008E0B7B" w:rsidRDefault="008E0B7B" w:rsidP="008E0B7B">
      <w:pPr>
        <w:pStyle w:val="Bibliography"/>
      </w:pPr>
      <w:r>
        <w:t xml:space="preserve">Kettlewell, Kelly, and Liz Philips. 2014. </w:t>
      </w:r>
      <w:r>
        <w:rPr>
          <w:i/>
          <w:iCs/>
        </w:rPr>
        <w:t>Census of Local Authority Councillors 2013</w:t>
      </w:r>
      <w:r>
        <w:t>. LGA Research Report. NFER.</w:t>
      </w:r>
    </w:p>
    <w:p w14:paraId="5D7170FE" w14:textId="77777777" w:rsidR="008E0B7B" w:rsidRDefault="008E0B7B" w:rsidP="008E0B7B">
      <w:pPr>
        <w:pStyle w:val="Bibliography"/>
      </w:pPr>
      <w:r>
        <w:t xml:space="preserve">Kiely, Ray. 2017. ‘From Authoritarian Liberalism to Economic Technocracy: Neoliberalism, Politics and “De-Democratization”’. </w:t>
      </w:r>
      <w:r>
        <w:rPr>
          <w:i/>
          <w:iCs/>
        </w:rPr>
        <w:t>Critical Sociology</w:t>
      </w:r>
      <w:r>
        <w:t xml:space="preserve"> 43 (4–5): 725–45. https://doi.org/10.1177/0896920516668386.</w:t>
      </w:r>
    </w:p>
    <w:p w14:paraId="640895D7" w14:textId="77777777" w:rsidR="008E0B7B" w:rsidRDefault="008E0B7B" w:rsidP="008E0B7B">
      <w:pPr>
        <w:pStyle w:val="Bibliography"/>
      </w:pPr>
      <w:r>
        <w:t>Kiffin, Dolly, Clasford Stirling, and Stafford Scott. 1987. ‘May 1987 Newsletter’. May. BPM/7/1/6/4. George Padmore Institute.</w:t>
      </w:r>
    </w:p>
    <w:p w14:paraId="38694394" w14:textId="77777777" w:rsidR="008E0B7B" w:rsidRDefault="008E0B7B" w:rsidP="008E0B7B">
      <w:pPr>
        <w:pStyle w:val="Bibliography"/>
      </w:pPr>
      <w:r>
        <w:lastRenderedPageBreak/>
        <w:t xml:space="preserve">Kim, Nam-Kook. 2010. ‘Revisiting New Right Citizenship Discourse in Thatcher’s Britain’. </w:t>
      </w:r>
      <w:r>
        <w:rPr>
          <w:i/>
          <w:iCs/>
        </w:rPr>
        <w:t>Ethnicities</w:t>
      </w:r>
      <w:r>
        <w:t xml:space="preserve"> 10 (2): 208–35. https://doi.org/10.1177/1468796810361819.</w:t>
      </w:r>
    </w:p>
    <w:p w14:paraId="395262E0" w14:textId="77777777" w:rsidR="008E0B7B" w:rsidRDefault="008E0B7B" w:rsidP="008E0B7B">
      <w:pPr>
        <w:pStyle w:val="Bibliography"/>
      </w:pPr>
      <w:r>
        <w:t xml:space="preserve">Kisby, Ben. 2010. ‘The Big Society: Power to the People?’ </w:t>
      </w:r>
      <w:r>
        <w:rPr>
          <w:i/>
          <w:iCs/>
        </w:rPr>
        <w:t>The Political Quarterly</w:t>
      </w:r>
      <w:r>
        <w:t xml:space="preserve"> 81 (4): 484–91. https://doi.org/10.1111/j.1467-923X.2010.02133.x.</w:t>
      </w:r>
    </w:p>
    <w:p w14:paraId="28A80A9C" w14:textId="77777777" w:rsidR="008E0B7B" w:rsidRDefault="008E0B7B" w:rsidP="008E0B7B">
      <w:pPr>
        <w:pStyle w:val="Bibliography"/>
      </w:pPr>
      <w:r>
        <w:t xml:space="preserve">Koro-Ljungberg, Mirka, and Justin Hendricks. 2020. ‘Narratives and Nested-Time’. </w:t>
      </w:r>
      <w:r>
        <w:rPr>
          <w:i/>
          <w:iCs/>
        </w:rPr>
        <w:t>Qualitative Inquiry</w:t>
      </w:r>
      <w:r>
        <w:t xml:space="preserve"> 26 (10): 1196–205. https://doi.org/10.1177/1077800418792021.</w:t>
      </w:r>
    </w:p>
    <w:p w14:paraId="51ABD757" w14:textId="77777777" w:rsidR="008E0B7B" w:rsidRDefault="008E0B7B" w:rsidP="008E0B7B">
      <w:pPr>
        <w:pStyle w:val="Bibliography"/>
      </w:pPr>
      <w:r>
        <w:t xml:space="preserve">Kurt-Özman, Ebru, and Tuna Tasan-Kok. 2025. ‘Community Politics in Urban Regeneration under Authoritarian Entrepreneurial Governance’. </w:t>
      </w:r>
      <w:r>
        <w:rPr>
          <w:i/>
          <w:iCs/>
        </w:rPr>
        <w:t>Urban Studies</w:t>
      </w:r>
      <w:r>
        <w:t>, July 23, 00420980251345701. https://doi.org/10.1177/00420980251345701.</w:t>
      </w:r>
    </w:p>
    <w:p w14:paraId="4871082F" w14:textId="77777777" w:rsidR="008E0B7B" w:rsidRDefault="008E0B7B" w:rsidP="008E0B7B">
      <w:pPr>
        <w:pStyle w:val="Bibliography"/>
      </w:pPr>
      <w:r>
        <w:t xml:space="preserve">Kuus, Merje. 2021. ‘Powerful and Elite Subjects’. In </w:t>
      </w:r>
      <w:r>
        <w:rPr>
          <w:i/>
          <w:iCs/>
        </w:rPr>
        <w:t>Research Ethics for Human Geography: A Handbook for Students</w:t>
      </w:r>
      <w:r>
        <w:t>, edited by Helen F. Wilson and Jonathan Darling. SAGE Publications, Limited. http://ebookcentral.proquest.com/lib/durham/detail.action?docID=6383656.</w:t>
      </w:r>
    </w:p>
    <w:p w14:paraId="3353DC46" w14:textId="77777777" w:rsidR="008E0B7B" w:rsidRDefault="008E0B7B" w:rsidP="008E0B7B">
      <w:pPr>
        <w:pStyle w:val="Bibliography"/>
      </w:pPr>
      <w:r>
        <w:t xml:space="preserve">Laffin, Martin, and Patrick Diamond. 2024. ‘Local Government in England: An Existential Crisis?’ In </w:t>
      </w:r>
      <w:r>
        <w:rPr>
          <w:i/>
          <w:iCs/>
        </w:rPr>
        <w:t>New Perspectives on Intergovernmental Relations: Crisis and Reform</w:t>
      </w:r>
      <w:r>
        <w:t>, edited by Sabine Kuhlmann, Martin Laffin, Ellen Wayenberg, and Tomas Bergström. Springer Nature Switzerland. https://doi.org/10.1007/978-3-031-61790-4_2.</w:t>
      </w:r>
    </w:p>
    <w:p w14:paraId="3336442B" w14:textId="77777777" w:rsidR="008E0B7B" w:rsidRDefault="008E0B7B" w:rsidP="008E0B7B">
      <w:pPr>
        <w:pStyle w:val="Bibliography"/>
      </w:pPr>
      <w:r>
        <w:t xml:space="preserve">Lancaster, Kari. 2016. ‘Confidentiality, Anonymity and Power Relations in Elite Interviewing: Conducting Qualitative Policy Research in a Politicised Domain’. </w:t>
      </w:r>
      <w:r>
        <w:rPr>
          <w:i/>
          <w:iCs/>
        </w:rPr>
        <w:t>International Journal of Social Research Methodology</w:t>
      </w:r>
      <w:r>
        <w:t>, January 8. https://www.tandfonline.com/doi/abs/10.1080/13645579.2015.1123555.</w:t>
      </w:r>
    </w:p>
    <w:p w14:paraId="43E1FE30" w14:textId="77777777" w:rsidR="008E0B7B" w:rsidRDefault="008E0B7B" w:rsidP="008E0B7B">
      <w:pPr>
        <w:pStyle w:val="Bibliography"/>
      </w:pPr>
      <w:r>
        <w:t xml:space="preserve">Lavery, Scott. 2015. </w:t>
      </w:r>
      <w:r>
        <w:rPr>
          <w:i/>
          <w:iCs/>
        </w:rPr>
        <w:t>Public and Private Sector Employment across the UK since the Financial Crisis</w:t>
      </w:r>
      <w:r>
        <w:t>. SPERI British Political Economy Brief No. 10. University of Sheffield. https://sheffield.ac.uk/media/36668/download?attachment.</w:t>
      </w:r>
    </w:p>
    <w:p w14:paraId="4FE145BD" w14:textId="77777777" w:rsidR="008E0B7B" w:rsidRDefault="008E0B7B" w:rsidP="008E0B7B">
      <w:pPr>
        <w:pStyle w:val="Bibliography"/>
      </w:pPr>
      <w:r>
        <w:t xml:space="preserve">Lees, Loretta. 2024. ‘Planetary Gentrification and Urban Authoritarianism’. </w:t>
      </w:r>
      <w:r>
        <w:rPr>
          <w:i/>
          <w:iCs/>
        </w:rPr>
        <w:t>International Journal of Urban and Regional Research</w:t>
      </w:r>
      <w:r>
        <w:t xml:space="preserve"> n/a (n/a). https://doi.org/10.1111/1468-2427.13240.</w:t>
      </w:r>
    </w:p>
    <w:p w14:paraId="103D3662" w14:textId="77777777" w:rsidR="008E0B7B" w:rsidRDefault="008E0B7B" w:rsidP="008E0B7B">
      <w:pPr>
        <w:pStyle w:val="Bibliography"/>
      </w:pPr>
      <w:r>
        <w:t xml:space="preserve">Lees, Loretta, and Mara Ferreri. 2016. ‘Resisting Gentrification on Its Final Frontiers: Learning from the Heygate Estate in London (1974–2013)’. </w:t>
      </w:r>
      <w:r>
        <w:rPr>
          <w:i/>
          <w:iCs/>
        </w:rPr>
        <w:t>Cities</w:t>
      </w:r>
      <w:r>
        <w:t>, Resistance to social housing transformation, vol. 57 (September): 14–24. https://doi.org/10.1016/j.cities.2015.12.005.</w:t>
      </w:r>
    </w:p>
    <w:p w14:paraId="175C1576" w14:textId="77777777" w:rsidR="008E0B7B" w:rsidRDefault="008E0B7B" w:rsidP="008E0B7B">
      <w:pPr>
        <w:pStyle w:val="Bibliography"/>
      </w:pPr>
      <w:r>
        <w:t xml:space="preserve">Lees, Loretta, and Phil Hubbard. 2022. ‘“So, Don’t You Want Us Here No More?” Slow Violence, Frustrated Hope, and Racialized Struggle on London’s Council Estates’. </w:t>
      </w:r>
      <w:r>
        <w:rPr>
          <w:i/>
          <w:iCs/>
        </w:rPr>
        <w:t>Housing, Theory and Society</w:t>
      </w:r>
      <w:r>
        <w:t xml:space="preserve"> 39 (3): 341–58. https://doi.org/10.1080/14036096.2021.1959392.</w:t>
      </w:r>
    </w:p>
    <w:p w14:paraId="42B00AC3" w14:textId="77777777" w:rsidR="008E0B7B" w:rsidRDefault="008E0B7B" w:rsidP="008E0B7B">
      <w:pPr>
        <w:pStyle w:val="Bibliography"/>
      </w:pPr>
      <w:r>
        <w:lastRenderedPageBreak/>
        <w:t xml:space="preserve">Lees, Loretta, and Hannah White. 2020. ‘The Social Cleansing of London Council Estates: Everyday Experiences of “Accumulative Dispossession”’. </w:t>
      </w:r>
      <w:r>
        <w:rPr>
          <w:i/>
          <w:iCs/>
        </w:rPr>
        <w:t>Housing Studies</w:t>
      </w:r>
      <w:r>
        <w:t xml:space="preserve"> 35 (10): 1701–22. https://doi.org/10.1080/02673037.2019.1680814.</w:t>
      </w:r>
    </w:p>
    <w:p w14:paraId="7699ABD6" w14:textId="77777777" w:rsidR="008E0B7B" w:rsidRDefault="008E0B7B" w:rsidP="008E0B7B">
      <w:pPr>
        <w:pStyle w:val="Bibliography"/>
      </w:pPr>
      <w:r>
        <w:t>‘Let’s Talk about Broadwater Farm Estate’. n.d. Accessed 12 September 2025. https://broadwaterfarmestate.commonplace.is/en-GB/timeline.</w:t>
      </w:r>
    </w:p>
    <w:p w14:paraId="00621826" w14:textId="77777777" w:rsidR="008E0B7B" w:rsidRDefault="008E0B7B" w:rsidP="008E0B7B">
      <w:pPr>
        <w:pStyle w:val="Bibliography"/>
      </w:pPr>
      <w:r>
        <w:t xml:space="preserve">Levett, Don. 2012. </w:t>
      </w:r>
      <w:r>
        <w:rPr>
          <w:i/>
          <w:iCs/>
        </w:rPr>
        <w:t>It Took Another Riot: The Concluding Report of the Mayor of London’s Independent Panel on Tottenham</w:t>
      </w:r>
      <w:r>
        <w:t>. Mayor of London’s Office. https://www.london.gov.uk/sites/default/files/it_took_another_riot.pdf.</w:t>
      </w:r>
    </w:p>
    <w:p w14:paraId="4E451064" w14:textId="77777777" w:rsidR="008E0B7B" w:rsidRDefault="008E0B7B" w:rsidP="008E0B7B">
      <w:pPr>
        <w:pStyle w:val="Bibliography"/>
      </w:pPr>
      <w:r>
        <w:t xml:space="preserve">Levidow, Les. 1987. ‘Broadwater Farm: A “Criminal Estate”? An Interview with Dolly Kiffin’. </w:t>
      </w:r>
      <w:r>
        <w:rPr>
          <w:i/>
          <w:iCs/>
        </w:rPr>
        <w:t>Race &amp; Class</w:t>
      </w:r>
      <w:r>
        <w:t xml:space="preserve"> 29 (1): 77–85. https://doi.org/10.1177/030639688702900106.</w:t>
      </w:r>
    </w:p>
    <w:p w14:paraId="4A92BB13" w14:textId="77777777" w:rsidR="008E0B7B" w:rsidRDefault="008E0B7B" w:rsidP="008E0B7B">
      <w:pPr>
        <w:pStyle w:val="Bibliography"/>
      </w:pPr>
      <w:r>
        <w:t xml:space="preserve">Lewis, Paul, Tim Newburn, Matthew Taylor, et al. 2011. </w:t>
      </w:r>
      <w:r>
        <w:rPr>
          <w:i/>
          <w:iCs/>
        </w:rPr>
        <w:t>Reading the Riots: Investigating England’s Summer of Disorder</w:t>
      </w:r>
      <w:r>
        <w:t>. Monograph. The London School of Economics and Political Science and The Guardian. http://www.guardian.co.uk/uk/series/reading-the-riots.</w:t>
      </w:r>
    </w:p>
    <w:p w14:paraId="7A1F9B98" w14:textId="77777777" w:rsidR="008E0B7B" w:rsidRDefault="008E0B7B" w:rsidP="008E0B7B">
      <w:pPr>
        <w:pStyle w:val="Bibliography"/>
      </w:pPr>
      <w:r>
        <w:t xml:space="preserve">Lipsky, Michael. 2010. </w:t>
      </w:r>
      <w:r>
        <w:rPr>
          <w:i/>
          <w:iCs/>
        </w:rPr>
        <w:t>Street-Level Bureaucracy: Dilemmas of the Individual in Public Services</w:t>
      </w:r>
      <w:r>
        <w:t>. 30th anniversary expanded ed. Russell Sage Foundation.</w:t>
      </w:r>
    </w:p>
    <w:p w14:paraId="29A1124D" w14:textId="77777777" w:rsidR="008E0B7B" w:rsidRDefault="008E0B7B" w:rsidP="008E0B7B">
      <w:pPr>
        <w:pStyle w:val="Bibliography"/>
      </w:pPr>
      <w:r>
        <w:t xml:space="preserve">Lister, Ruth. 2005. ‘Investing in the Citizen-Workers of the Future: Transformations in Citizenship and the State under New Labour’. In </w:t>
      </w:r>
      <w:r>
        <w:rPr>
          <w:i/>
          <w:iCs/>
        </w:rPr>
        <w:t>Child Welfare and Social Policy: An Essential Reader</w:t>
      </w:r>
      <w:r>
        <w:t>, by Harry Hendrick. Bristol University Press. https://bristoluniversitypressdigital.com/display/book/9781447342410/ch025.xml.</w:t>
      </w:r>
    </w:p>
    <w:p w14:paraId="2347E605" w14:textId="77777777" w:rsidR="008E0B7B" w:rsidRDefault="008E0B7B" w:rsidP="008E0B7B">
      <w:pPr>
        <w:pStyle w:val="Bibliography"/>
      </w:pPr>
      <w:r>
        <w:t xml:space="preserve">Lister, Ruth. 2007. ‘Inclusive Citizenship: Realizing the Potential’. </w:t>
      </w:r>
      <w:r>
        <w:rPr>
          <w:i/>
          <w:iCs/>
        </w:rPr>
        <w:t>Citizenship Studies</w:t>
      </w:r>
      <w:r>
        <w:t xml:space="preserve"> 11 (1): 49–61. https://doi.org/10.1080/13621020601099856.</w:t>
      </w:r>
    </w:p>
    <w:p w14:paraId="185023B0" w14:textId="77777777" w:rsidR="008E0B7B" w:rsidRDefault="008E0B7B" w:rsidP="008E0B7B">
      <w:pPr>
        <w:pStyle w:val="Bibliography"/>
      </w:pPr>
      <w:r>
        <w:t xml:space="preserve">Lister, Ruth. 2012. ‘Social Citizenship in New Labour’s New “Active” Welfare State: The Case of the United Kingdom’. In </w:t>
      </w:r>
      <w:r>
        <w:rPr>
          <w:i/>
          <w:iCs/>
        </w:rPr>
        <w:t>Social Policy and Citizenship: The Changing Landscape</w:t>
      </w:r>
      <w:r>
        <w:t>, edited by Adalbert Evers and Anne-Marie Guillemard. Oxford University Press. https://doi.org/10.1093/acprof:oso/9780199754045.003.0029.</w:t>
      </w:r>
    </w:p>
    <w:p w14:paraId="5575D08E" w14:textId="77777777" w:rsidR="008E0B7B" w:rsidRDefault="008E0B7B" w:rsidP="008E0B7B">
      <w:pPr>
        <w:pStyle w:val="Bibliography"/>
      </w:pPr>
      <w:r>
        <w:t xml:space="preserve">London Edinburgh Weekend Return Group. (1980) 2021. </w:t>
      </w:r>
      <w:r>
        <w:rPr>
          <w:i/>
          <w:iCs/>
        </w:rPr>
        <w:t>In and against the State: Discussion Notes for Socialists</w:t>
      </w:r>
      <w:r>
        <w:t>. Edited by Seth Wheeler. New edition. Pluto Press.</w:t>
      </w:r>
    </w:p>
    <w:p w14:paraId="23CECB94" w14:textId="77777777" w:rsidR="008E0B7B" w:rsidRDefault="008E0B7B" w:rsidP="008E0B7B">
      <w:pPr>
        <w:pStyle w:val="Bibliography"/>
      </w:pPr>
      <w:r>
        <w:t xml:space="preserve">Lorimer, Hayden. 2010. ‘Caught in the Nick of Time: Archives and Fieldwork’. In </w:t>
      </w:r>
      <w:r>
        <w:rPr>
          <w:i/>
          <w:iCs/>
        </w:rPr>
        <w:t>The SAGE Handbook of Qualitative Geography</w:t>
      </w:r>
      <w:r>
        <w:t>, 1st edition., edited by Dydia DeLyser, Steve Herbert, Stuart Aitken, Mike Crang, and Linda McDowell. SAGE Publications, Inc.</w:t>
      </w:r>
    </w:p>
    <w:p w14:paraId="4F64A722" w14:textId="77777777" w:rsidR="008E0B7B" w:rsidRDefault="008E0B7B" w:rsidP="008E0B7B">
      <w:pPr>
        <w:pStyle w:val="Bibliography"/>
      </w:pPr>
      <w:r>
        <w:t xml:space="preserve">Lovell, Sarah. 2017. </w:t>
      </w:r>
      <w:r>
        <w:rPr>
          <w:i/>
          <w:iCs/>
        </w:rPr>
        <w:t>High Road West Regeneration Scheme - Appointment of a Preferred Bidder and next Steps</w:t>
      </w:r>
      <w:r>
        <w:t xml:space="preserve">. London Borough of Haringey. </w:t>
      </w:r>
      <w:r>
        <w:lastRenderedPageBreak/>
        <w:t>https://www.minutes.haringey.gov.uk/documents/s96091/HRW%20Developer%20Cabinet%20Report%20V15.PDf%2018.33.pdf.</w:t>
      </w:r>
    </w:p>
    <w:p w14:paraId="636CB04C" w14:textId="77777777" w:rsidR="008E0B7B" w:rsidRDefault="008E0B7B" w:rsidP="008E0B7B">
      <w:pPr>
        <w:pStyle w:val="Bibliography"/>
      </w:pPr>
      <w:r>
        <w:t xml:space="preserve">Luger, Jason D., and Miklós János Dürr. 2025. ‘The Urban Question under Illiberalism? Three Thematic Approaches’. </w:t>
      </w:r>
      <w:r>
        <w:rPr>
          <w:i/>
          <w:iCs/>
        </w:rPr>
        <w:t>Urban Studies</w:t>
      </w:r>
      <w:r>
        <w:t>, April 12, 00420980251327142. https://doi.org/10.1177/00420980251327142.</w:t>
      </w:r>
    </w:p>
    <w:p w14:paraId="5BB4317E" w14:textId="77777777" w:rsidR="008E0B7B" w:rsidRDefault="008E0B7B" w:rsidP="008E0B7B">
      <w:pPr>
        <w:pStyle w:val="Bibliography"/>
      </w:pPr>
      <w:r>
        <w:t xml:space="preserve">Lukes, Sue, Nigel de Noronha, and Nissa Finney. 2019. ‘Slippery Discrimination: A Review of the Drivers of Migrant and Minority Housing Disadvantage’. </w:t>
      </w:r>
      <w:r>
        <w:rPr>
          <w:i/>
          <w:iCs/>
        </w:rPr>
        <w:t>Journal of Ethnic and Migration Studies</w:t>
      </w:r>
      <w:r>
        <w:t xml:space="preserve"> 45 (17): 3188–206. https://doi.org/10.1080/1369183X.2018.1480996.</w:t>
      </w:r>
    </w:p>
    <w:p w14:paraId="2ADB9F78" w14:textId="77777777" w:rsidR="008E0B7B" w:rsidRDefault="008E0B7B" w:rsidP="008E0B7B">
      <w:pPr>
        <w:pStyle w:val="Bibliography"/>
      </w:pPr>
      <w:r>
        <w:t xml:space="preserve">MacLeod, Gordon. 2002. ‘From Urban Entrepreneurialism to a “Revanchist City”? On the Spatial Injustices of Glasgow’s Renaissance’. </w:t>
      </w:r>
      <w:r>
        <w:rPr>
          <w:i/>
          <w:iCs/>
        </w:rPr>
        <w:t>Antipode</w:t>
      </w:r>
      <w:r>
        <w:t xml:space="preserve"> 34 (3): 602–24. https://doi.org/10.1111/1467-8330.00256.</w:t>
      </w:r>
    </w:p>
    <w:p w14:paraId="46817943" w14:textId="77777777" w:rsidR="008E0B7B" w:rsidRDefault="008E0B7B" w:rsidP="008E0B7B">
      <w:pPr>
        <w:pStyle w:val="Bibliography"/>
      </w:pPr>
      <w:r>
        <w:t xml:space="preserve">MacLeod, Gordon. 2018. ‘The Grenfell Tower Atrocity: Exposing Urban Worlds of Inequality, Injustice, and an Impaired Democracy’. </w:t>
      </w:r>
      <w:r>
        <w:rPr>
          <w:i/>
          <w:iCs/>
        </w:rPr>
        <w:t>City</w:t>
      </w:r>
      <w:r>
        <w:t xml:space="preserve"> 22 (4): 460–89. https://doi.org/10.1080/13604813.2018.1507099.</w:t>
      </w:r>
    </w:p>
    <w:p w14:paraId="7015E1CB" w14:textId="77777777" w:rsidR="008E0B7B" w:rsidRDefault="008E0B7B" w:rsidP="008E0B7B">
      <w:pPr>
        <w:pStyle w:val="Bibliography"/>
      </w:pPr>
      <w:r>
        <w:t xml:space="preserve">Madden, David J. 2017. ‘Editorial: A Catastrophic Event’. </w:t>
      </w:r>
      <w:r>
        <w:rPr>
          <w:i/>
          <w:iCs/>
        </w:rPr>
        <w:t>City</w:t>
      </w:r>
      <w:r>
        <w:t xml:space="preserve"> 21 (1): 1–5. https://doi.org/10.1080/13604813.2017.1348743.</w:t>
      </w:r>
    </w:p>
    <w:p w14:paraId="12841C83" w14:textId="77777777" w:rsidR="008E0B7B" w:rsidRDefault="008E0B7B" w:rsidP="008E0B7B">
      <w:pPr>
        <w:pStyle w:val="Bibliography"/>
      </w:pPr>
      <w:r>
        <w:t xml:space="preserve">Maestri, Gaja. 2017. ‘Struggles and Ambiguities over Political Subjectivities in the Camp: Roma Camp Dwellers between Neoliberal and Urban Citizenship in Italy’. </w:t>
      </w:r>
      <w:r>
        <w:rPr>
          <w:i/>
          <w:iCs/>
        </w:rPr>
        <w:t>Citizenship Studies</w:t>
      </w:r>
      <w:r>
        <w:t xml:space="preserve"> 21 (6): 640–56. https://doi.org/10.1080/13621025.2017.1341656.</w:t>
      </w:r>
    </w:p>
    <w:p w14:paraId="7146997D" w14:textId="77777777" w:rsidR="008E0B7B" w:rsidRDefault="008E0B7B" w:rsidP="008E0B7B">
      <w:pPr>
        <w:pStyle w:val="Bibliography"/>
      </w:pPr>
      <w:r>
        <w:t xml:space="preserve">Malpass, Peter. 2003. ‘The Wobbly Pillar? Housing and the British Postwar Welfare State’. </w:t>
      </w:r>
      <w:r>
        <w:rPr>
          <w:i/>
          <w:iCs/>
        </w:rPr>
        <w:t>Journal of Social Policy</w:t>
      </w:r>
      <w:r>
        <w:t xml:space="preserve"> 32 (4): 589–606. https://doi.org/10.1017/S0047279403007177.</w:t>
      </w:r>
    </w:p>
    <w:p w14:paraId="3C7B50B0" w14:textId="77777777" w:rsidR="008E0B7B" w:rsidRDefault="008E0B7B" w:rsidP="008E0B7B">
      <w:pPr>
        <w:pStyle w:val="Bibliography"/>
      </w:pPr>
      <w:r>
        <w:t xml:space="preserve">Malpass, Peter. 2004. ‘Fifty Years of British Housing Policy: Leaving or Leading the Welfare State?’ </w:t>
      </w:r>
      <w:r>
        <w:rPr>
          <w:i/>
          <w:iCs/>
        </w:rPr>
        <w:t>European Journal of Housing Policy</w:t>
      </w:r>
      <w:r>
        <w:t xml:space="preserve"> 4 (2): 209–27. https://doi.org/10.1080/1461671042000269038.</w:t>
      </w:r>
    </w:p>
    <w:p w14:paraId="61D34893" w14:textId="77777777" w:rsidR="008E0B7B" w:rsidRDefault="008E0B7B" w:rsidP="008E0B7B">
      <w:pPr>
        <w:pStyle w:val="Bibliography"/>
      </w:pPr>
      <w:r>
        <w:t xml:space="preserve">Malpass, Peter, and David Mullins. 2002. ‘Local Authority Housing Stock Transfer in the UK: From Local Initiative to National Policy’. </w:t>
      </w:r>
      <w:r>
        <w:rPr>
          <w:i/>
          <w:iCs/>
        </w:rPr>
        <w:t>Housing Studies</w:t>
      </w:r>
      <w:r>
        <w:t xml:space="preserve"> 17 (4): 673–86. https://doi.org/10.1080/02673030220144402.</w:t>
      </w:r>
    </w:p>
    <w:p w14:paraId="01942B0A" w14:textId="77777777" w:rsidR="008E0B7B" w:rsidRDefault="008E0B7B" w:rsidP="008E0B7B">
      <w:pPr>
        <w:pStyle w:val="Bibliography"/>
      </w:pPr>
      <w:r>
        <w:t xml:space="preserve">Mantu, Sandra, and Elspeth Guild. 2013. ‘Acts of Citizenship Deprivation: Ruptures between Citizen and State’. In </w:t>
      </w:r>
      <w:r>
        <w:rPr>
          <w:i/>
          <w:iCs/>
        </w:rPr>
        <w:t>Enacting European Citizenship</w:t>
      </w:r>
      <w:r>
        <w:t>, edited by Engin Isin and Michael Saward. Cambridge University Press. https://doi.org/10.1017/CBO9781139524025.007.</w:t>
      </w:r>
    </w:p>
    <w:p w14:paraId="2C43C6DF" w14:textId="77777777" w:rsidR="008E0B7B" w:rsidRDefault="008E0B7B" w:rsidP="008E0B7B">
      <w:pPr>
        <w:pStyle w:val="Bibliography"/>
      </w:pPr>
      <w:r>
        <w:t xml:space="preserve">Manzi, Tony. 2015. ‘The Big Society and the Conjunction of Crises: Justifying Welfare Reform and Undermining Social Housing’. </w:t>
      </w:r>
      <w:r>
        <w:rPr>
          <w:i/>
          <w:iCs/>
        </w:rPr>
        <w:t>Housing, Theory and Society</w:t>
      </w:r>
      <w:r>
        <w:t xml:space="preserve"> 32 (1): 9–24. https://doi.org/10.1080/14036096.2014.947172.</w:t>
      </w:r>
    </w:p>
    <w:p w14:paraId="3F31213E" w14:textId="77777777" w:rsidR="008E0B7B" w:rsidRDefault="008E0B7B" w:rsidP="008E0B7B">
      <w:pPr>
        <w:pStyle w:val="Bibliography"/>
      </w:pPr>
      <w:r>
        <w:lastRenderedPageBreak/>
        <w:t>Marsh, Alex. 2023. ‘Work to Begin on First Homes in High Road West Regeneration Project’. Enfield Independent, March 30. https://www.enfieldindependent.co.uk/news/23418313.haringey-build-first-61-homes-tottenham-re-development/.</w:t>
      </w:r>
    </w:p>
    <w:p w14:paraId="5AD530C2" w14:textId="77777777" w:rsidR="008E0B7B" w:rsidRDefault="008E0B7B" w:rsidP="008E0B7B">
      <w:pPr>
        <w:pStyle w:val="Bibliography"/>
      </w:pPr>
      <w:r>
        <w:t xml:space="preserve">Marshall, Thomas Humphrey. 1950. </w:t>
      </w:r>
      <w:r>
        <w:rPr>
          <w:i/>
          <w:iCs/>
        </w:rPr>
        <w:t>Citizenship and Social Class and Other Essays</w:t>
      </w:r>
      <w:r>
        <w:t>. Cambridge University Press.</w:t>
      </w:r>
    </w:p>
    <w:p w14:paraId="3FBC73EB" w14:textId="77777777" w:rsidR="008E0B7B" w:rsidRDefault="008E0B7B" w:rsidP="008E0B7B">
      <w:pPr>
        <w:pStyle w:val="Bibliography"/>
      </w:pPr>
      <w:r>
        <w:t xml:space="preserve">Martin, Deborah G., Susan Hanson, and Danielle Fontaine. 2007. ‘What Counts as Activism?: The Role of Individuals in Creating Change’. </w:t>
      </w:r>
      <w:r>
        <w:rPr>
          <w:i/>
          <w:iCs/>
        </w:rPr>
        <w:t>Women’s Studies Quarterly</w:t>
      </w:r>
      <w:r>
        <w:t xml:space="preserve"> 35 (3/4): 78–94.</w:t>
      </w:r>
    </w:p>
    <w:p w14:paraId="3BB7D85C" w14:textId="77777777" w:rsidR="008E0B7B" w:rsidRDefault="008E0B7B" w:rsidP="008E0B7B">
      <w:pPr>
        <w:pStyle w:val="Bibliography"/>
      </w:pPr>
      <w:r>
        <w:t xml:space="preserve">Maschette, Lenon Campos. 2023. ‘Revisiting the Concept of Citizenship in Margaret Thatcher’s Government: The Individual, the State, and Civil Society’. </w:t>
      </w:r>
      <w:r>
        <w:rPr>
          <w:i/>
          <w:iCs/>
        </w:rPr>
        <w:t>Journal of Political Ideologies</w:t>
      </w:r>
      <w:r>
        <w:t xml:space="preserve"> 28 (2): 180–98. https://doi.org/10.1080/13569317.2021.1954815.</w:t>
      </w:r>
    </w:p>
    <w:p w14:paraId="16F42109" w14:textId="77777777" w:rsidR="008E0B7B" w:rsidRDefault="008E0B7B" w:rsidP="008E0B7B">
      <w:pPr>
        <w:pStyle w:val="Bibliography"/>
      </w:pPr>
      <w:r>
        <w:t xml:space="preserve">Mason, Olivia. 2021. ‘A Political Geography of Walking in Jordan: Movement and Politics’. </w:t>
      </w:r>
      <w:r>
        <w:rPr>
          <w:i/>
          <w:iCs/>
        </w:rPr>
        <w:t>Political Geography</w:t>
      </w:r>
      <w:r>
        <w:t xml:space="preserve"> 88 (June): 102392. https://doi.org/10.1016/j.polgeo.2021.102392.</w:t>
      </w:r>
    </w:p>
    <w:p w14:paraId="2EA4010E" w14:textId="77777777" w:rsidR="008E0B7B" w:rsidRDefault="008E0B7B" w:rsidP="008E0B7B">
      <w:pPr>
        <w:pStyle w:val="Bibliography"/>
      </w:pPr>
      <w:r>
        <w:t xml:space="preserve">Mason, Olivia, Jasnea Sarma, James D. Sidaway, et al. 2023. ‘Interventions in Walking Methods in Political Geography’. </w:t>
      </w:r>
      <w:r>
        <w:rPr>
          <w:i/>
          <w:iCs/>
        </w:rPr>
        <w:t>Political Geography</w:t>
      </w:r>
      <w:r>
        <w:t xml:space="preserve"> 106 (October): 102937. https://doi.org/10.1016/j.polgeo.2023.102937.</w:t>
      </w:r>
    </w:p>
    <w:p w14:paraId="64C9450F" w14:textId="77777777" w:rsidR="008E0B7B" w:rsidRDefault="008E0B7B" w:rsidP="008E0B7B">
      <w:pPr>
        <w:pStyle w:val="Bibliography"/>
      </w:pPr>
      <w:r>
        <w:t xml:space="preserve">Mason, Rowena. 2018. ‘Labour Intervenes in Council Housing Plan Dispute’. UK News. </w:t>
      </w:r>
      <w:r>
        <w:rPr>
          <w:i/>
          <w:iCs/>
        </w:rPr>
        <w:t>The Guardian</w:t>
      </w:r>
      <w:r>
        <w:t>, January 23. https://www.theguardian.com/uk-news/2018/jan/23/labour-intervenes-in-council-housing-plan-dispute.</w:t>
      </w:r>
    </w:p>
    <w:p w14:paraId="186B3B86" w14:textId="77777777" w:rsidR="008E0B7B" w:rsidRDefault="008E0B7B" w:rsidP="008E0B7B">
      <w:pPr>
        <w:pStyle w:val="Bibliography"/>
      </w:pPr>
      <w:r>
        <w:t xml:space="preserve">Mason-Bish, Hannah. 2019. ‘The Elite Delusion: Reflexivity, Identity and Positionality in Qualitative Research’. </w:t>
      </w:r>
      <w:r>
        <w:rPr>
          <w:i/>
          <w:iCs/>
        </w:rPr>
        <w:t>Qualitative Research</w:t>
      </w:r>
      <w:r>
        <w:t xml:space="preserve"> 19 (3): 263–76. https://doi.org/10.1177/1468794118770078.</w:t>
      </w:r>
    </w:p>
    <w:p w14:paraId="64D74CCF" w14:textId="77777777" w:rsidR="008E0B7B" w:rsidRDefault="008E0B7B" w:rsidP="008E0B7B">
      <w:pPr>
        <w:pStyle w:val="Bibliography"/>
      </w:pPr>
      <w:r>
        <w:t xml:space="preserve">Mbembe, Achille. 2002. ‘The Power of the Archive and Its Limits’. In </w:t>
      </w:r>
      <w:r>
        <w:rPr>
          <w:i/>
          <w:iCs/>
        </w:rPr>
        <w:t>Refiguring the Archive</w:t>
      </w:r>
      <w:r>
        <w:t>, edited by Carolyn Hamilton, Verne Harris, Jane Taylor, Michele Pickover, Graeme Reid, and Razia Saleh. Springer Netherlands. https://doi.org/10.1007/978-94-010-0570-8_2.</w:t>
      </w:r>
    </w:p>
    <w:p w14:paraId="32AA85D4" w14:textId="77777777" w:rsidR="008E0B7B" w:rsidRDefault="008E0B7B" w:rsidP="008E0B7B">
      <w:pPr>
        <w:pStyle w:val="Bibliography"/>
      </w:pPr>
      <w:r>
        <w:t xml:space="preserve">McFarlane, Colin. 2018. ‘Fragment Urbanism: Politics at the Margins of the City’. </w:t>
      </w:r>
      <w:r>
        <w:rPr>
          <w:i/>
          <w:iCs/>
        </w:rPr>
        <w:t>Environment and Planning D: Society and Space</w:t>
      </w:r>
      <w:r>
        <w:t xml:space="preserve"> 36 (6): 1007–25. https://doi.org/10.1177/0263775818777496.</w:t>
      </w:r>
    </w:p>
    <w:p w14:paraId="52DCEDAE" w14:textId="77777777" w:rsidR="008E0B7B" w:rsidRDefault="008E0B7B" w:rsidP="008E0B7B">
      <w:pPr>
        <w:pStyle w:val="Bibliography"/>
      </w:pPr>
      <w:r>
        <w:t xml:space="preserve">McGarvey, Neil, and Fraser Stewart. 2018. ‘The Role of the Councillor’. In </w:t>
      </w:r>
      <w:r>
        <w:rPr>
          <w:i/>
          <w:iCs/>
        </w:rPr>
        <w:t>The Routledge Handbook of International Local Government</w:t>
      </w:r>
      <w:r>
        <w:t>. Routledge.</w:t>
      </w:r>
    </w:p>
    <w:p w14:paraId="009719FC" w14:textId="77777777" w:rsidR="008E0B7B" w:rsidRDefault="008E0B7B" w:rsidP="008E0B7B">
      <w:pPr>
        <w:pStyle w:val="Bibliography"/>
      </w:pPr>
      <w:r>
        <w:t xml:space="preserve">McKee, Kim, Adriana Mihaela Soaita, and Jennifer Hoolachan. 2020. ‘“Generation Rent” and the Emotions of Private Renting: Self-Worth, Status and Insecurity amongst Low-Income Renters’. </w:t>
      </w:r>
      <w:r>
        <w:rPr>
          <w:i/>
          <w:iCs/>
        </w:rPr>
        <w:t>Housing Studies</w:t>
      </w:r>
      <w:r>
        <w:t xml:space="preserve"> 35 (8): 1468–87. https://doi.org/10.1080/02673037.2019.1676400.</w:t>
      </w:r>
    </w:p>
    <w:p w14:paraId="3FCC8FFF" w14:textId="77777777" w:rsidR="008E0B7B" w:rsidRDefault="008E0B7B" w:rsidP="008E0B7B">
      <w:pPr>
        <w:pStyle w:val="Bibliography"/>
      </w:pPr>
      <w:r>
        <w:lastRenderedPageBreak/>
        <w:t xml:space="preserve">McKenzie, Lisa. 2013. ‘Narratives from a Nottingham Council Estate: A Story of White Working-Class Mothers with Mixed-Race Children’. </w:t>
      </w:r>
      <w:r>
        <w:rPr>
          <w:i/>
          <w:iCs/>
        </w:rPr>
        <w:t>Ethnic and Racial Studies</w:t>
      </w:r>
      <w:r>
        <w:t xml:space="preserve"> 36 (8): 1342–58. https://doi.org/10.1080/01419870.2013.776698.</w:t>
      </w:r>
    </w:p>
    <w:p w14:paraId="25BCED00" w14:textId="77777777" w:rsidR="008E0B7B" w:rsidRDefault="008E0B7B" w:rsidP="008E0B7B">
      <w:pPr>
        <w:pStyle w:val="Bibliography"/>
      </w:pPr>
      <w:r>
        <w:t xml:space="preserve">McSweeney, Kendra, and Antoinette WinklerPrins. 2020. ‘Introduction to the Special Issue: Fieldwork in the 21st Century’. </w:t>
      </w:r>
      <w:r>
        <w:rPr>
          <w:i/>
          <w:iCs/>
        </w:rPr>
        <w:t>Geographical Review</w:t>
      </w:r>
      <w:r>
        <w:t>, January 2. World. https://www.tandfonline.com/doi/abs/10.1080/00167428.2019.1689361.</w:t>
      </w:r>
    </w:p>
    <w:p w14:paraId="5BDCE341" w14:textId="77777777" w:rsidR="008E0B7B" w:rsidRDefault="008E0B7B" w:rsidP="008E0B7B">
      <w:pPr>
        <w:pStyle w:val="Bibliography"/>
      </w:pPr>
      <w:r>
        <w:t xml:space="preserve">Merriam, Sharan B., Johnson-Bailey ,Juanita, Lee ,Ming-Yeh, Kee ,Youngwha, Ntseane ,Gabo, and Mazanah and Muhamad. 2001. ‘Power and Positionality: Negotiating Insider/Outsider Status within and across Cultures’. </w:t>
      </w:r>
      <w:r>
        <w:rPr>
          <w:i/>
          <w:iCs/>
        </w:rPr>
        <w:t>International Journal of Lifelong Education</w:t>
      </w:r>
      <w:r>
        <w:t xml:space="preserve"> 20 (5): 405–16. https://doi.org/10.1080/02601370120490.</w:t>
      </w:r>
    </w:p>
    <w:p w14:paraId="44070EAD" w14:textId="77777777" w:rsidR="008E0B7B" w:rsidRDefault="008E0B7B" w:rsidP="008E0B7B">
      <w:pPr>
        <w:pStyle w:val="Bibliography"/>
      </w:pPr>
      <w:r>
        <w:t>MHCLG. 2025. ‘Right to Buy Sales and Replacements, England: April 2024 to March 2025’. GOV.UK, Ministry of Housing, Communities &amp; Local Government, August 21. https://www.gov.uk/government/statistics/right-to-buy-sales-and-replacements-england-2024-to-2025/right-to-buy-sales-and-replacements-england-april-2024-to-march-2025.</w:t>
      </w:r>
    </w:p>
    <w:p w14:paraId="5DCAE96C" w14:textId="77777777" w:rsidR="008E0B7B" w:rsidRDefault="008E0B7B" w:rsidP="008E0B7B">
      <w:pPr>
        <w:pStyle w:val="Bibliography"/>
      </w:pPr>
      <w:r>
        <w:t xml:space="preserve">Middleton, Jennie. 2011. ‘Walking in the City: The Geographies of Everyday Pedestrian Practices’. </w:t>
      </w:r>
      <w:r>
        <w:rPr>
          <w:i/>
          <w:iCs/>
        </w:rPr>
        <w:t>Geography Compass</w:t>
      </w:r>
      <w:r>
        <w:t xml:space="preserve"> 5 (2): 90–105. https://doi.org/10.1111/j.1749-8198.2010.00409.x.</w:t>
      </w:r>
    </w:p>
    <w:p w14:paraId="4C69C7A0" w14:textId="77777777" w:rsidR="008E0B7B" w:rsidRDefault="008E0B7B" w:rsidP="008E0B7B">
      <w:pPr>
        <w:pStyle w:val="Bibliography"/>
      </w:pPr>
      <w:r>
        <w:t xml:space="preserve">Miliband, Ralph. 1973. </w:t>
      </w:r>
      <w:r>
        <w:rPr>
          <w:i/>
          <w:iCs/>
        </w:rPr>
        <w:t>Parliamentary Socialism: A Study in the Politics of Labour</w:t>
      </w:r>
      <w:r>
        <w:t>. 2d ed. Merlin Press.</w:t>
      </w:r>
    </w:p>
    <w:p w14:paraId="111C147A" w14:textId="77777777" w:rsidR="008E0B7B" w:rsidRDefault="008E0B7B" w:rsidP="008E0B7B">
      <w:pPr>
        <w:pStyle w:val="Bibliography"/>
      </w:pPr>
      <w:r>
        <w:t xml:space="preserve">Miliband, Ralph. 1983. ‘State Power and Class Interests’. </w:t>
      </w:r>
      <w:r>
        <w:rPr>
          <w:i/>
          <w:iCs/>
        </w:rPr>
        <w:t>New Left Review</w:t>
      </w:r>
      <w:r>
        <w:t>, no. I/138 (April): 57–68.</w:t>
      </w:r>
    </w:p>
    <w:p w14:paraId="7D4A4D81" w14:textId="77777777" w:rsidR="008E0B7B" w:rsidRDefault="008E0B7B" w:rsidP="008E0B7B">
      <w:pPr>
        <w:pStyle w:val="Bibliography"/>
      </w:pPr>
      <w:r>
        <w:t xml:space="preserve">Mitchell, Audra, and Liam Kelly. 2011. ‘Peaceful Spaces? “Walking” through the New Liminal Spaces of Peacebuilding and Development in North Belfast’. </w:t>
      </w:r>
      <w:r>
        <w:rPr>
          <w:i/>
          <w:iCs/>
        </w:rPr>
        <w:t>Alternatives</w:t>
      </w:r>
      <w:r>
        <w:t xml:space="preserve"> 36 (4): 307–25. https://doi.org/10.1177/0304375411431761.</w:t>
      </w:r>
    </w:p>
    <w:p w14:paraId="268C4F1E" w14:textId="77777777" w:rsidR="008E0B7B" w:rsidRDefault="008E0B7B" w:rsidP="008E0B7B">
      <w:pPr>
        <w:pStyle w:val="Bibliography"/>
      </w:pPr>
      <w:r>
        <w:t xml:space="preserve">Mitchell, Katharyne. 2003. ‘Educating the National Citizen in Neoliberal Times: From the Multicultural Self to the Strategic Cosmopolitan’. </w:t>
      </w:r>
      <w:r>
        <w:rPr>
          <w:i/>
          <w:iCs/>
        </w:rPr>
        <w:t>Transactions of the Institute of British Geographers</w:t>
      </w:r>
      <w:r>
        <w:t xml:space="preserve"> 28 (4): 387–403. https://doi.org/10.1111/j.0020-2754.2003.00100.x.</w:t>
      </w:r>
    </w:p>
    <w:p w14:paraId="6FC3F21C" w14:textId="77777777" w:rsidR="008E0B7B" w:rsidRDefault="008E0B7B" w:rsidP="008E0B7B">
      <w:pPr>
        <w:pStyle w:val="Bibliography"/>
      </w:pPr>
      <w:r>
        <w:t xml:space="preserve">Mitchell, Timothy. 1991. ‘The Limits of the State: Beyond Statist Approaches and Their Critics’. </w:t>
      </w:r>
      <w:r>
        <w:rPr>
          <w:i/>
          <w:iCs/>
        </w:rPr>
        <w:t>American Political Science Review</w:t>
      </w:r>
      <w:r>
        <w:t xml:space="preserve"> 85 (1): 77–96. https://doi.org/10.2307/1962879.</w:t>
      </w:r>
    </w:p>
    <w:p w14:paraId="4B2C0F90" w14:textId="77777777" w:rsidR="008E0B7B" w:rsidRDefault="008E0B7B" w:rsidP="008E0B7B">
      <w:pPr>
        <w:pStyle w:val="Bibliography"/>
      </w:pPr>
      <w:r>
        <w:t xml:space="preserve">Moore, Tony. 2015. </w:t>
      </w:r>
      <w:r>
        <w:rPr>
          <w:i/>
          <w:iCs/>
        </w:rPr>
        <w:t>The Killing of Constable Keith Blakelock: The Broadwater Farm Riot</w:t>
      </w:r>
      <w:r>
        <w:t>. With Clive Emsley. Waterside Press.</w:t>
      </w:r>
    </w:p>
    <w:p w14:paraId="745DD6A9" w14:textId="77777777" w:rsidR="008E0B7B" w:rsidRDefault="008E0B7B" w:rsidP="008E0B7B">
      <w:pPr>
        <w:pStyle w:val="Bibliography"/>
      </w:pPr>
      <w:r>
        <w:t xml:space="preserve">Moran-Ellis, Jo, Victoria D. Alexander, Ann Cronin, et al. 2006. ‘Triangulation and Integration: Processes, Claims and Implications’. </w:t>
      </w:r>
      <w:r>
        <w:rPr>
          <w:i/>
          <w:iCs/>
        </w:rPr>
        <w:t>Qualitative Research</w:t>
      </w:r>
      <w:r>
        <w:t xml:space="preserve"> 6 (1): 45–59. https://doi.org/10.1177/1468794106058870.</w:t>
      </w:r>
    </w:p>
    <w:p w14:paraId="4F00F8F2" w14:textId="77777777" w:rsidR="008E0B7B" w:rsidRDefault="008E0B7B" w:rsidP="008E0B7B">
      <w:pPr>
        <w:pStyle w:val="Bibliography"/>
      </w:pPr>
      <w:r>
        <w:rPr>
          <w:i/>
          <w:iCs/>
        </w:rPr>
        <w:lastRenderedPageBreak/>
        <w:t>Morning Star</w:t>
      </w:r>
      <w:r>
        <w:t xml:space="preserve"> (London (UK), United Kingdom). 2024. ‘We Were Right to Quit Labour, Say Haringey Socialists’. November 3. https://morningstaronline.co.uk/article/b/h-150-we-were-right-quit-labour-haringey-socialists.</w:t>
      </w:r>
    </w:p>
    <w:p w14:paraId="735B36F3" w14:textId="77777777" w:rsidR="008E0B7B" w:rsidRDefault="008E0B7B" w:rsidP="008E0B7B">
      <w:pPr>
        <w:pStyle w:val="Bibliography"/>
      </w:pPr>
      <w:r>
        <w:t>Morrison, Ian. 2008. ‘Act 10: Unintentional Acts of Citizenship (</w:t>
      </w:r>
      <w:r>
        <w:rPr>
          <w:i/>
          <w:iCs/>
        </w:rPr>
        <w:t>The Joke</w:t>
      </w:r>
      <w:r>
        <w:t xml:space="preserve">)’. In </w:t>
      </w:r>
      <w:r>
        <w:rPr>
          <w:i/>
          <w:iCs/>
        </w:rPr>
        <w:t>Acts of Citizenship</w:t>
      </w:r>
      <w:r>
        <w:t>, edited by Engin Isin and Greg Marc Nielsen. Zed Books Ltd.</w:t>
      </w:r>
    </w:p>
    <w:p w14:paraId="0D57FCB8" w14:textId="77777777" w:rsidR="008E0B7B" w:rsidRDefault="008E0B7B" w:rsidP="008E0B7B">
      <w:pPr>
        <w:pStyle w:val="Bibliography"/>
      </w:pPr>
      <w:r>
        <w:t>Muir, Jenny. 2004. ‘Public Participation in Area</w:t>
      </w:r>
      <w:r>
        <w:rPr>
          <w:rFonts w:ascii="Cambria Math" w:hAnsi="Cambria Math" w:cs="Cambria Math"/>
        </w:rPr>
        <w:t>‐</w:t>
      </w:r>
      <w:r>
        <w:t xml:space="preserve">based Urban Regeneration Programmes’. </w:t>
      </w:r>
      <w:r>
        <w:rPr>
          <w:i/>
          <w:iCs/>
        </w:rPr>
        <w:t>Housing Studies</w:t>
      </w:r>
      <w:r>
        <w:t xml:space="preserve"> 19 (6): 947–66. https://doi.org/10.1080/0267303042000293026.</w:t>
      </w:r>
    </w:p>
    <w:p w14:paraId="0386DCD0" w14:textId="77777777" w:rsidR="008E0B7B" w:rsidRDefault="008E0B7B" w:rsidP="008E0B7B">
      <w:pPr>
        <w:pStyle w:val="Bibliography"/>
      </w:pPr>
      <w:r>
        <w:t xml:space="preserve">Mulliner, Emma, and Vida Maliene. 2013. ‘Austerity and Reform to Affordable Housing Policy’. </w:t>
      </w:r>
      <w:r>
        <w:rPr>
          <w:i/>
          <w:iCs/>
        </w:rPr>
        <w:t>Journal of Housing and the Built Environment</w:t>
      </w:r>
      <w:r>
        <w:t xml:space="preserve"> 28 (2): 397–407. https://doi.org/10.1007/s10901-012-9305-6.</w:t>
      </w:r>
    </w:p>
    <w:p w14:paraId="67D1D35A" w14:textId="77777777" w:rsidR="008E0B7B" w:rsidRDefault="008E0B7B" w:rsidP="008E0B7B">
      <w:pPr>
        <w:pStyle w:val="Bibliography"/>
      </w:pPr>
      <w:r>
        <w:t xml:space="preserve">Murer, Jeffrey Stevenson. 2015. ‘The Emergence of a Lumpen-Consumerate: The Aesthetics of Consumption and Violence in the English Riots of 2011’. </w:t>
      </w:r>
      <w:r>
        <w:rPr>
          <w:i/>
          <w:iCs/>
        </w:rPr>
        <w:t>International Journal of Politics, Culture, and Society</w:t>
      </w:r>
      <w:r>
        <w:t xml:space="preserve"> 28 (2): 161–78. https://doi.org/10.1007/s10767-014-9187-6.</w:t>
      </w:r>
    </w:p>
    <w:p w14:paraId="77A621F2" w14:textId="77777777" w:rsidR="008E0B7B" w:rsidRDefault="008E0B7B" w:rsidP="008E0B7B">
      <w:pPr>
        <w:pStyle w:val="Bibliography"/>
      </w:pPr>
      <w:r>
        <w:t xml:space="preserve">Murray, Ian. 1994. ‘Residents Object to Outdated Reputation’. </w:t>
      </w:r>
      <w:r>
        <w:rPr>
          <w:i/>
          <w:iCs/>
        </w:rPr>
        <w:t>The Times</w:t>
      </w:r>
      <w:r>
        <w:t>, July 27. The Times Digital Archive.</w:t>
      </w:r>
    </w:p>
    <w:p w14:paraId="3B714397" w14:textId="77777777" w:rsidR="008E0B7B" w:rsidRDefault="008E0B7B" w:rsidP="008E0B7B">
      <w:pPr>
        <w:pStyle w:val="Bibliography"/>
      </w:pPr>
      <w:r>
        <w:t xml:space="preserve">Nadesan, Majia Holmer. 2010. </w:t>
      </w:r>
      <w:r>
        <w:rPr>
          <w:i/>
          <w:iCs/>
        </w:rPr>
        <w:t>Governmentality, Biopower, and Everyday Life</w:t>
      </w:r>
      <w:r>
        <w:t>. Routledge. https://doi.org/10.4324/9780203894620.</w:t>
      </w:r>
    </w:p>
    <w:p w14:paraId="033AC94E" w14:textId="77777777" w:rsidR="008E0B7B" w:rsidRDefault="008E0B7B" w:rsidP="008E0B7B">
      <w:pPr>
        <w:pStyle w:val="Bibliography"/>
      </w:pPr>
      <w:r>
        <w:t xml:space="preserve">Nardis, Fabio de. 2025. ‘Emergency Politics and De-Democratization in the Age of Authoritarian Neoliberalism’. In </w:t>
      </w:r>
      <w:r>
        <w:rPr>
          <w:i/>
          <w:iCs/>
        </w:rPr>
        <w:t>Democracies on the Move</w:t>
      </w:r>
      <w:r>
        <w:t>. Routledge.</w:t>
      </w:r>
    </w:p>
    <w:p w14:paraId="014979D3" w14:textId="77777777" w:rsidR="008E0B7B" w:rsidRDefault="008E0B7B" w:rsidP="008E0B7B">
      <w:pPr>
        <w:pStyle w:val="Bibliography"/>
      </w:pPr>
      <w:r>
        <w:t xml:space="preserve">Nassar, Aya. 2018. ‘Where the Dust Settles: Fieldwork, Subjectivity and Materiality in Cairo’. </w:t>
      </w:r>
      <w:r>
        <w:rPr>
          <w:i/>
          <w:iCs/>
        </w:rPr>
        <w:t>Contemporary Social Science</w:t>
      </w:r>
      <w:r>
        <w:t xml:space="preserve"> 13 (3–4): 412–28. https://doi.org/10.1080/21582041.2017.1418521.</w:t>
      </w:r>
    </w:p>
    <w:p w14:paraId="7AD347E0" w14:textId="77777777" w:rsidR="008E0B7B" w:rsidRDefault="008E0B7B" w:rsidP="008E0B7B">
      <w:pPr>
        <w:pStyle w:val="Bibliography"/>
      </w:pPr>
      <w:r>
        <w:t xml:space="preserve">Nayak, Anoop, and Mary Jane Kehily. 2014. ‘“Chavs, Chavettes and Pramface Girls”: Teenage Mothers, Marginalised Young Men and the Management of Stigma’. </w:t>
      </w:r>
      <w:r>
        <w:rPr>
          <w:i/>
          <w:iCs/>
        </w:rPr>
        <w:t>Journal of Youth Studies</w:t>
      </w:r>
      <w:r>
        <w:t xml:space="preserve"> 17 (10): 1330–45. https://doi.org/10.1080/13676261.2014.920489.</w:t>
      </w:r>
    </w:p>
    <w:p w14:paraId="1679645E" w14:textId="77777777" w:rsidR="008E0B7B" w:rsidRDefault="008E0B7B" w:rsidP="008E0B7B">
      <w:pPr>
        <w:pStyle w:val="Bibliography"/>
      </w:pPr>
      <w:r>
        <w:t xml:space="preserve">Neveu, Catherine. 2019. ‘Practicing Citizenship From the Ordinary to the Activist’. In </w:t>
      </w:r>
      <w:r>
        <w:rPr>
          <w:i/>
          <w:iCs/>
        </w:rPr>
        <w:t>Routledge Handbook of Global Citizenship Studies</w:t>
      </w:r>
      <w:r>
        <w:t>, First issued in paperback, edited by Engin Isin and Peter Nyers. Routledge International Handbooks. Routledge Taylor &amp; Francis Group.</w:t>
      </w:r>
    </w:p>
    <w:p w14:paraId="4A0C2484" w14:textId="77777777" w:rsidR="008E0B7B" w:rsidRDefault="008E0B7B" w:rsidP="008E0B7B">
      <w:pPr>
        <w:pStyle w:val="Bibliography"/>
      </w:pPr>
      <w:r>
        <w:t xml:space="preserve">Newburn, Tim, Kerris Cooper, Rachel Deacon, and Rebekah Diski. 2015. ‘Shopping for Free? Looting, Consumerism and the 2011 Riots’. </w:t>
      </w:r>
      <w:r>
        <w:rPr>
          <w:i/>
          <w:iCs/>
        </w:rPr>
        <w:t>The British Journal of Criminology</w:t>
      </w:r>
      <w:r>
        <w:t xml:space="preserve"> 55 (5): 987–1004.</w:t>
      </w:r>
    </w:p>
    <w:p w14:paraId="4EE1C8E6" w14:textId="77777777" w:rsidR="008E0B7B" w:rsidRDefault="008E0B7B" w:rsidP="008E0B7B">
      <w:pPr>
        <w:pStyle w:val="Bibliography"/>
      </w:pPr>
      <w:r>
        <w:lastRenderedPageBreak/>
        <w:t>Newkey-Burden, Charles. 2024. ‘Keir Starmer and the 2011 London Riots: The Lessons for Today’s Unrest’. The Week UK, August 6. https://theweek.com/crime/keir-starmer-2011-london-riots-the-lessons.</w:t>
      </w:r>
    </w:p>
    <w:p w14:paraId="46E4FD71" w14:textId="77777777" w:rsidR="008E0B7B" w:rsidRDefault="008E0B7B" w:rsidP="008E0B7B">
      <w:pPr>
        <w:pStyle w:val="Bibliography"/>
      </w:pPr>
      <w:r>
        <w:t xml:space="preserve">Newman, Michael. 2018. ‘Ralph Miliband and the Labour Party: From Parliamentary Socialism to “Bennism”’. In </w:t>
      </w:r>
      <w:r>
        <w:rPr>
          <w:i/>
          <w:iCs/>
        </w:rPr>
        <w:t>Interpreting the Labour Party</w:t>
      </w:r>
      <w:r>
        <w:t>, edited by John Callaghan, Steven Fielding, and Steve Ludlam. Manchester University Press. https://www.degruyterbrill.com/document/doi/10.7765/9781526137456.00010/html?srsltid=AfmBOorM3r43cTF_IZLJnPll81LdTKEguUlkUQ6ryJTqN_raP5JKKw_u.</w:t>
      </w:r>
    </w:p>
    <w:p w14:paraId="59DBA261" w14:textId="77777777" w:rsidR="008E0B7B" w:rsidRDefault="008E0B7B" w:rsidP="008E0B7B">
      <w:pPr>
        <w:pStyle w:val="Bibliography"/>
      </w:pPr>
      <w:r>
        <w:t xml:space="preserve">Ní Mhurchú, Aoileann. 2016. ‘Unfamiliar Acts of Citizenship: Enacting Citizenship in Vernacular Music and Language from the Space of Marginalised Intergenerational Migration’. </w:t>
      </w:r>
      <w:r>
        <w:rPr>
          <w:i/>
          <w:iCs/>
        </w:rPr>
        <w:t>Citizenship Studies</w:t>
      </w:r>
      <w:r>
        <w:t xml:space="preserve"> 20 (2): 156–72. https://doi.org/10.1080/13621025.2015.1132566.</w:t>
      </w:r>
    </w:p>
    <w:p w14:paraId="59F14445" w14:textId="77777777" w:rsidR="008E0B7B" w:rsidRDefault="008E0B7B" w:rsidP="008E0B7B">
      <w:pPr>
        <w:pStyle w:val="Bibliography"/>
      </w:pPr>
      <w:r>
        <w:t xml:space="preserve">Nicola, George. 1993. </w:t>
      </w:r>
      <w:r>
        <w:rPr>
          <w:i/>
          <w:iCs/>
        </w:rPr>
        <w:t>Broadwater Farm Design Team, Building Design Service</w:t>
      </w:r>
      <w:r>
        <w:t>. 925.3 BRO. Haringey Borough Archives.</w:t>
      </w:r>
    </w:p>
    <w:p w14:paraId="17D4ED86" w14:textId="77777777" w:rsidR="008E0B7B" w:rsidRDefault="008E0B7B" w:rsidP="008E0B7B">
      <w:pPr>
        <w:pStyle w:val="Bibliography"/>
      </w:pPr>
      <w:r>
        <w:t xml:space="preserve">Nielsen, Greg Marc. 2008. ‘Answerability with Cosmopolitan Intent: An Ethics-Based Politics for Acts of Urban Citizenship’. In </w:t>
      </w:r>
      <w:r>
        <w:rPr>
          <w:i/>
          <w:iCs/>
        </w:rPr>
        <w:t>Acts of Citizenship</w:t>
      </w:r>
      <w:r>
        <w:t>, edited by Engin Isin and Greg Marc Nielsen. Zed Books Ltd. https://ezphost.dur.ac.uk/login?url=https://search.ebscohost.com/login.aspx?direct=true&amp;scope=site&amp;db=nlebk&amp;AN=260783.</w:t>
      </w:r>
    </w:p>
    <w:p w14:paraId="5EA8FB14" w14:textId="77777777" w:rsidR="008E0B7B" w:rsidRDefault="008E0B7B" w:rsidP="008E0B7B">
      <w:pPr>
        <w:pStyle w:val="Bibliography"/>
      </w:pPr>
      <w:r>
        <w:t xml:space="preserve">Nielsen, Greg Marc. 2012. </w:t>
      </w:r>
      <w:r>
        <w:rPr>
          <w:i/>
          <w:iCs/>
        </w:rPr>
        <w:t>The Norms of Answerability: Social Theory Between Bakhtin and Habermas</w:t>
      </w:r>
      <w:r>
        <w:t>. State University of New York Press.</w:t>
      </w:r>
    </w:p>
    <w:p w14:paraId="13B52076" w14:textId="77777777" w:rsidR="008E0B7B" w:rsidRDefault="008E0B7B" w:rsidP="008E0B7B">
      <w:pPr>
        <w:pStyle w:val="Bibliography"/>
      </w:pPr>
      <w:r>
        <w:t xml:space="preserve">Nowicki, Mel. 2023. </w:t>
      </w:r>
      <w:r>
        <w:rPr>
          <w:i/>
          <w:iCs/>
        </w:rPr>
        <w:t>Bringing Home the Housing Crisis: Politics, Precarity and Domicide in Austerity London</w:t>
      </w:r>
      <w:r>
        <w:t>. Policy Press. https://doi.org/10.51952/9781447361886.</w:t>
      </w:r>
    </w:p>
    <w:p w14:paraId="26AAFB74" w14:textId="77777777" w:rsidR="008E0B7B" w:rsidRDefault="008E0B7B" w:rsidP="008E0B7B">
      <w:pPr>
        <w:pStyle w:val="Bibliography"/>
      </w:pPr>
      <w:r>
        <w:t xml:space="preserve">Nyers, Peter. 2008. ‘No One Is Illegal Between City and Nation’. In </w:t>
      </w:r>
      <w:r>
        <w:rPr>
          <w:i/>
          <w:iCs/>
        </w:rPr>
        <w:t>Acts of Citizenship</w:t>
      </w:r>
      <w:r>
        <w:t>, edited by Engin Isin and Greg Marc Nielsen. Zed Books Ltd.</w:t>
      </w:r>
    </w:p>
    <w:p w14:paraId="087D478B" w14:textId="77777777" w:rsidR="008E0B7B" w:rsidRDefault="008E0B7B" w:rsidP="008E0B7B">
      <w:pPr>
        <w:pStyle w:val="Bibliography"/>
      </w:pPr>
      <w:r>
        <w:t xml:space="preserve">Nyers, Peter. 2015. ‘Migrant Citizenships and Autonomous Mobilities’. </w:t>
      </w:r>
      <w:r>
        <w:rPr>
          <w:i/>
          <w:iCs/>
        </w:rPr>
        <w:t>Migration, Mobility, &amp; Displacement</w:t>
      </w:r>
      <w:r>
        <w:t xml:space="preserve"> 1 (1): 1. https://doi.org/10.18357/mmd11201513521.</w:t>
      </w:r>
    </w:p>
    <w:p w14:paraId="492E4E07" w14:textId="77777777" w:rsidR="008E0B7B" w:rsidRDefault="008E0B7B" w:rsidP="008E0B7B">
      <w:pPr>
        <w:pStyle w:val="Bibliography"/>
      </w:pPr>
      <w:r>
        <w:t xml:space="preserve">Nyers, Peter. 2018. </w:t>
      </w:r>
      <w:r>
        <w:rPr>
          <w:i/>
          <w:iCs/>
        </w:rPr>
        <w:t>Irregular Citizenship, Immigration, and Deportation</w:t>
      </w:r>
      <w:r>
        <w:t>. Routledge. https://doi.org/10.4324/9780429442704.</w:t>
      </w:r>
    </w:p>
    <w:p w14:paraId="107434AB" w14:textId="77777777" w:rsidR="008E0B7B" w:rsidRDefault="008E0B7B" w:rsidP="008E0B7B">
      <w:pPr>
        <w:pStyle w:val="Bibliography"/>
      </w:pPr>
      <w:r>
        <w:t>Office for National Statistics. 2022. ‘Northumberland Park Ward (as of 2022) - 2021 Census Area Profile’. https://www.nomisweb.co.uk/sources/census_2021/report?compare=E09000014,E92000001,E00010221.</w:t>
      </w:r>
    </w:p>
    <w:p w14:paraId="55153A98" w14:textId="77777777" w:rsidR="008E0B7B" w:rsidRDefault="008E0B7B" w:rsidP="008E0B7B">
      <w:pPr>
        <w:pStyle w:val="Bibliography"/>
      </w:pPr>
      <w:r>
        <w:t xml:space="preserve">Office for National Statistics. 2023. ‘Housing, England and Wales: Census 2021’. January 5. </w:t>
      </w:r>
      <w:r>
        <w:lastRenderedPageBreak/>
        <w:t>https://www.ons.gov.uk/peoplepopulationandcommunity/housing/bulletins/housingenglandandwales/census2021#cite-this-statistical-bulletin.</w:t>
      </w:r>
    </w:p>
    <w:p w14:paraId="2A75B515" w14:textId="77777777" w:rsidR="008E0B7B" w:rsidRDefault="008E0B7B" w:rsidP="008E0B7B">
      <w:pPr>
        <w:pStyle w:val="Bibliography"/>
      </w:pPr>
      <w:r>
        <w:t xml:space="preserve">Onapa, Emmanuel. 2021. ‘The Radical Legacy of Bernie Grant’. </w:t>
      </w:r>
      <w:r>
        <w:rPr>
          <w:i/>
          <w:iCs/>
        </w:rPr>
        <w:t>Tribune</w:t>
      </w:r>
      <w:r>
        <w:t>, June 11. https://tribunemag.co.uk/2021/06/the-radical-legacy-of-bernie-grant.</w:t>
      </w:r>
    </w:p>
    <w:p w14:paraId="00B0B4A2" w14:textId="77777777" w:rsidR="008E0B7B" w:rsidRDefault="008E0B7B" w:rsidP="008E0B7B">
      <w:pPr>
        <w:pStyle w:val="Bibliography"/>
      </w:pPr>
      <w:r>
        <w:t>Ormerod, Emma. 2017. ‘The Local State of Housing: Deepening Entrepreneurial Governance and The Place of Politics and Publics’. Doctoral, Durham University. https://etheses.dur.ac.uk/12388/.</w:t>
      </w:r>
    </w:p>
    <w:p w14:paraId="160E61B4" w14:textId="77777777" w:rsidR="008E0B7B" w:rsidRDefault="008E0B7B" w:rsidP="008E0B7B">
      <w:pPr>
        <w:pStyle w:val="Bibliography"/>
      </w:pPr>
      <w:r>
        <w:t xml:space="preserve">Ormerod, Emma. 2021. ‘The Place of Politics and the Politics of Place: Housing, the Labour Party and the Local State in England’. </w:t>
      </w:r>
      <w:r>
        <w:rPr>
          <w:i/>
          <w:iCs/>
        </w:rPr>
        <w:t>Political Geography</w:t>
      </w:r>
      <w:r>
        <w:t xml:space="preserve"> 85 (March). https://doi.org/10.1016/j.polgeo.2020.102308.</w:t>
      </w:r>
    </w:p>
    <w:p w14:paraId="40C6E85F" w14:textId="77777777" w:rsidR="008E0B7B" w:rsidRDefault="008E0B7B" w:rsidP="008E0B7B">
      <w:pPr>
        <w:pStyle w:val="Bibliography"/>
      </w:pPr>
      <w:r>
        <w:t xml:space="preserve">Ormerod, Emma, and Gordon MacLeod. 2019. ‘Beyond Consensus and Conflict in Housing Governance: Returning to the Local State’. </w:t>
      </w:r>
      <w:r>
        <w:rPr>
          <w:i/>
          <w:iCs/>
        </w:rPr>
        <w:t>Planning Theory</w:t>
      </w:r>
      <w:r>
        <w:t xml:space="preserve"> 18 (3): 319–38. https://doi.org/10.1177/1473095218790988.</w:t>
      </w:r>
    </w:p>
    <w:p w14:paraId="29CD4969" w14:textId="77777777" w:rsidR="008E0B7B" w:rsidRDefault="008E0B7B" w:rsidP="008E0B7B">
      <w:pPr>
        <w:pStyle w:val="Bibliography"/>
      </w:pPr>
      <w:r>
        <w:t xml:space="preserve">Osuh, Chris, and Aamna Mohdin. 2025. ‘“I Haven’t Seen Any Change”: Black Labour Voters in Liverpool and London Six Months On’. Politics. </w:t>
      </w:r>
      <w:r>
        <w:rPr>
          <w:i/>
          <w:iCs/>
        </w:rPr>
        <w:t>The Guardian</w:t>
      </w:r>
      <w:r>
        <w:t>, January 7. https://www.theguardian.com/politics/2025/jan/07/black-labour-voters-liverpool-london-six-months-on.</w:t>
      </w:r>
    </w:p>
    <w:p w14:paraId="4386087A" w14:textId="77777777" w:rsidR="008E0B7B" w:rsidRDefault="008E0B7B" w:rsidP="008E0B7B">
      <w:pPr>
        <w:pStyle w:val="Bibliography"/>
      </w:pPr>
      <w:r>
        <w:t>O’Sullivan, M. J. (Michael James). 1991. ‘Trade Unionism and Politics in the London Borough of Haringey’. Phd, University of Warwick. http://webcat.warwick.ac.uk/record=b3228173~S15.</w:t>
      </w:r>
    </w:p>
    <w:p w14:paraId="0800072A" w14:textId="77777777" w:rsidR="008E0B7B" w:rsidRDefault="008E0B7B" w:rsidP="008E0B7B">
      <w:pPr>
        <w:pStyle w:val="Bibliography"/>
      </w:pPr>
      <w:r>
        <w:t xml:space="preserve">Özatağan, Güldem, Gareth Fearn, and Ayda Eraydin. 2025. ‘Neoliberal Crises and the City: Wrestling with Authoritarian Neoliberal Urbanism(s)’. </w:t>
      </w:r>
      <w:r>
        <w:rPr>
          <w:i/>
          <w:iCs/>
        </w:rPr>
        <w:t>Urban Studies</w:t>
      </w:r>
      <w:r>
        <w:t xml:space="preserve"> 62 (15): 2917–34. https://doi.org/10.1177/00420980251361667.</w:t>
      </w:r>
    </w:p>
    <w:p w14:paraId="041F9DBE" w14:textId="77777777" w:rsidR="008E0B7B" w:rsidRDefault="008E0B7B" w:rsidP="008E0B7B">
      <w:pPr>
        <w:pStyle w:val="Bibliography"/>
      </w:pPr>
      <w:r>
        <w:t xml:space="preserve">Özden, Barış Alp, İsmet Akça, and Ahmet Bekmen. 2017. ‘Antinomies of Authoritarian Neoliberalism in Turkey: The Justice and Development Party Era’. In </w:t>
      </w:r>
      <w:r>
        <w:rPr>
          <w:i/>
          <w:iCs/>
        </w:rPr>
        <w:t>States of Discipline: Authoritarian Neoliberalism and the Contested Reproduction of Capitalist Order</w:t>
      </w:r>
      <w:r>
        <w:t>, edited by Cemal Burak Tansel. Transforming Capitalism. Rowman &amp; Littlefield International.</w:t>
      </w:r>
    </w:p>
    <w:p w14:paraId="4BF34070" w14:textId="77777777" w:rsidR="008E0B7B" w:rsidRDefault="008E0B7B" w:rsidP="008E0B7B">
      <w:pPr>
        <w:pStyle w:val="Bibliography"/>
      </w:pPr>
      <w:r>
        <w:t xml:space="preserve">Paccoud, Antoine. 2019. ‘Badiou, Haussmann and Saint-Simon: Opening Spaces for the State and Planning between “Post-Politics” and Urban Insurgencies’. </w:t>
      </w:r>
      <w:r>
        <w:rPr>
          <w:i/>
          <w:iCs/>
        </w:rPr>
        <w:t>Planning Theory</w:t>
      </w:r>
      <w:r>
        <w:t xml:space="preserve"> 18 (3): 339–58. https://doi.org/10.1177/1473095218764224.</w:t>
      </w:r>
    </w:p>
    <w:p w14:paraId="4DFBEE4A" w14:textId="77777777" w:rsidR="008E0B7B" w:rsidRDefault="008E0B7B" w:rsidP="008E0B7B">
      <w:pPr>
        <w:pStyle w:val="Bibliography"/>
      </w:pPr>
      <w:r>
        <w:t xml:space="preserve">Pain, Rachel. 2019. ‘Chronic Urban Trauma: The Slow Violence of Housing Dispossession’. </w:t>
      </w:r>
      <w:r>
        <w:rPr>
          <w:i/>
          <w:iCs/>
        </w:rPr>
        <w:t>Urban Studies</w:t>
      </w:r>
      <w:r>
        <w:t xml:space="preserve"> 56 (2): 385–400. https://doi.org/10.1177/0042098018795796.</w:t>
      </w:r>
    </w:p>
    <w:p w14:paraId="54F17269" w14:textId="77777777" w:rsidR="008E0B7B" w:rsidRDefault="008E0B7B" w:rsidP="008E0B7B">
      <w:pPr>
        <w:pStyle w:val="Bibliography"/>
      </w:pPr>
      <w:r>
        <w:t xml:space="preserve">Painter, Joe. 1991. ‘Regulation Theory and Local Government’. </w:t>
      </w:r>
      <w:r>
        <w:rPr>
          <w:i/>
          <w:iCs/>
        </w:rPr>
        <w:t>Local Government Studies</w:t>
      </w:r>
      <w:r>
        <w:t xml:space="preserve"> 17 (6): 23–44. https://doi.org/10.1080/03003939108433604.</w:t>
      </w:r>
    </w:p>
    <w:p w14:paraId="4DBF04B4" w14:textId="77777777" w:rsidR="008E0B7B" w:rsidRDefault="008E0B7B" w:rsidP="008E0B7B">
      <w:pPr>
        <w:pStyle w:val="Bibliography"/>
      </w:pPr>
      <w:r>
        <w:t xml:space="preserve">Painter, Joe. 2006. ‘Prosaic Geographies of Stateness’. </w:t>
      </w:r>
      <w:r>
        <w:rPr>
          <w:i/>
          <w:iCs/>
        </w:rPr>
        <w:t>Political Geography</w:t>
      </w:r>
      <w:r>
        <w:t xml:space="preserve"> 25 (7): 752–74. https://doi.org/10.1016/j.polgeo.2006.07.004.</w:t>
      </w:r>
    </w:p>
    <w:p w14:paraId="34245012" w14:textId="77777777" w:rsidR="008E0B7B" w:rsidRDefault="008E0B7B" w:rsidP="008E0B7B">
      <w:pPr>
        <w:pStyle w:val="Bibliography"/>
      </w:pPr>
      <w:r>
        <w:lastRenderedPageBreak/>
        <w:t xml:space="preserve">Painter, Joe. 2010. ‘Rethinking Territory’. </w:t>
      </w:r>
      <w:r>
        <w:rPr>
          <w:i/>
          <w:iCs/>
        </w:rPr>
        <w:t>Antipode</w:t>
      </w:r>
      <w:r>
        <w:t xml:space="preserve"> 42 (5): 1090–118. https://doi.org/10.1111/j.1467-8330.2010.00795.x.</w:t>
      </w:r>
    </w:p>
    <w:p w14:paraId="7020A4D8" w14:textId="77777777" w:rsidR="008E0B7B" w:rsidRDefault="008E0B7B" w:rsidP="008E0B7B">
      <w:pPr>
        <w:pStyle w:val="Bibliography"/>
      </w:pPr>
      <w:r>
        <w:t xml:space="preserve">Painter, Joe. 2011. ‘Regulation Theory, Post-Fordism and Urban Politics’. In </w:t>
      </w:r>
      <w:r>
        <w:rPr>
          <w:i/>
          <w:iCs/>
        </w:rPr>
        <w:t>Readings in Urban Theory</w:t>
      </w:r>
      <w:r>
        <w:t>, by Susan S. Fainstein and Scott Campbell. John Wiley &amp; Sons.</w:t>
      </w:r>
    </w:p>
    <w:p w14:paraId="2F60D84C" w14:textId="77777777" w:rsidR="008E0B7B" w:rsidRDefault="008E0B7B" w:rsidP="008E0B7B">
      <w:pPr>
        <w:pStyle w:val="Bibliography"/>
      </w:pPr>
      <w:r>
        <w:t>Panton, Mark, and Geoff Walters. 2018. ‘</w:t>
      </w:r>
      <w:r>
        <w:rPr>
          <w:i/>
          <w:iCs/>
        </w:rPr>
        <w:t>‘It’s Just a Trojan Horse for Gentrification</w:t>
      </w:r>
      <w:r>
        <w:t xml:space="preserve"> ’: Austerity and Stadium-Led Regeneration’. </w:t>
      </w:r>
      <w:r>
        <w:rPr>
          <w:i/>
          <w:iCs/>
        </w:rPr>
        <w:t>International Journal of Sport Policy and Politics</w:t>
      </w:r>
      <w:r>
        <w:t xml:space="preserve"> 10 (1): 163–83. https://doi.org/10.1080/19406940.2017.1398768.</w:t>
      </w:r>
    </w:p>
    <w:p w14:paraId="3156AFC1" w14:textId="77777777" w:rsidR="008E0B7B" w:rsidRDefault="008E0B7B" w:rsidP="008E0B7B">
      <w:pPr>
        <w:pStyle w:val="Bibliography"/>
      </w:pPr>
      <w:r>
        <w:t xml:space="preserve">Papa, Venetia, and Dimitra L. Milioni. 2013. ‘Active Citizenship or Activist Citizenship? A Framework for Studying Citizenship in New Social Movements and the Role of ICTs’. </w:t>
      </w:r>
      <w:r>
        <w:rPr>
          <w:i/>
          <w:iCs/>
        </w:rPr>
        <w:t>Networking Knowledge: Journal of the MeCCSA Postgraduate Network</w:t>
      </w:r>
      <w:r>
        <w:t xml:space="preserve"> 6 (3): 3. https://doi.org/10.31165/nk.2013.63.303.</w:t>
      </w:r>
    </w:p>
    <w:p w14:paraId="65A15847" w14:textId="77777777" w:rsidR="008E0B7B" w:rsidRDefault="008E0B7B" w:rsidP="008E0B7B">
      <w:pPr>
        <w:pStyle w:val="Bibliography"/>
      </w:pPr>
      <w:r>
        <w:t xml:space="preserve">Parker, Charlie, Sam Scott, and Alistair Geddes. 2020. ‘Snowball Sampling’. In </w:t>
      </w:r>
      <w:r>
        <w:rPr>
          <w:i/>
          <w:iCs/>
        </w:rPr>
        <w:t>SAGE Research Methods Foundations</w:t>
      </w:r>
      <w:r>
        <w:t>. SAGE Publications Ltd. https://doi.org/10.4135/9781526421036831710.</w:t>
      </w:r>
    </w:p>
    <w:p w14:paraId="79C47B79" w14:textId="77777777" w:rsidR="008E0B7B" w:rsidRDefault="008E0B7B" w:rsidP="008E0B7B">
      <w:pPr>
        <w:pStyle w:val="Bibliography"/>
      </w:pPr>
      <w:r>
        <w:t xml:space="preserve">Paton, Kirsteen. 2018. ‘Beyond Legacy: Backstage Stigmatisation and “Trickle-up” Politics of Urban Regeneration’. </w:t>
      </w:r>
      <w:r>
        <w:rPr>
          <w:i/>
          <w:iCs/>
        </w:rPr>
        <w:t>The Sociological Review</w:t>
      </w:r>
      <w:r>
        <w:t xml:space="preserve"> 66 (4): 919–34. https://doi.org/10.1177/0038026118777449.</w:t>
      </w:r>
    </w:p>
    <w:p w14:paraId="01C1CF71" w14:textId="77777777" w:rsidR="008E0B7B" w:rsidRDefault="008E0B7B" w:rsidP="008E0B7B">
      <w:pPr>
        <w:pStyle w:val="Bibliography"/>
      </w:pPr>
      <w:r>
        <w:t xml:space="preserve">Paton, Kirsteen, and Vickie Cooper. 2016. ‘It’s the State, Stupid: 21st Gentrification and State-Led Evictions’. </w:t>
      </w:r>
      <w:r>
        <w:rPr>
          <w:i/>
          <w:iCs/>
        </w:rPr>
        <w:t>Sociological Research Online</w:t>
      </w:r>
      <w:r>
        <w:t xml:space="preserve"> 21 (3): 134–40. https://doi.org/10.5153/sro.4064.</w:t>
      </w:r>
    </w:p>
    <w:p w14:paraId="033FC68B" w14:textId="77777777" w:rsidR="008E0B7B" w:rsidRDefault="008E0B7B" w:rsidP="008E0B7B">
      <w:pPr>
        <w:pStyle w:val="Bibliography"/>
      </w:pPr>
      <w:r>
        <w:t xml:space="preserve">Pawson, Hal, and Robert Smith. 2009. ‘Second Generation Stock Transfers in Britain: Impacts on Social Housing Governance and Organisational Culture’. </w:t>
      </w:r>
      <w:r>
        <w:rPr>
          <w:i/>
          <w:iCs/>
        </w:rPr>
        <w:t>European Journal of Housing Policy</w:t>
      </w:r>
      <w:r>
        <w:t xml:space="preserve"> 9 (4): 411–33. https://doi.org/10.1080/14616710903357201.</w:t>
      </w:r>
    </w:p>
    <w:p w14:paraId="40B08795" w14:textId="77777777" w:rsidR="008E0B7B" w:rsidRDefault="008E0B7B" w:rsidP="008E0B7B">
      <w:pPr>
        <w:pStyle w:val="Bibliography"/>
      </w:pPr>
      <w:r>
        <w:t xml:space="preserve">Peck, Jamie. 2010. ‘Zombie Neoliberalism and the Ambidextrous State’. </w:t>
      </w:r>
      <w:r>
        <w:rPr>
          <w:i/>
          <w:iCs/>
        </w:rPr>
        <w:t>Theoretical Criminology</w:t>
      </w:r>
      <w:r>
        <w:t xml:space="preserve"> 14 (1): 104–10. https://doi.org/10.1177/1362480609352784.</w:t>
      </w:r>
    </w:p>
    <w:p w14:paraId="4F4E3BBC" w14:textId="77777777" w:rsidR="008E0B7B" w:rsidRDefault="008E0B7B" w:rsidP="008E0B7B">
      <w:pPr>
        <w:pStyle w:val="Bibliography"/>
      </w:pPr>
      <w:r>
        <w:t xml:space="preserve">Peck, Jamie. 2014. ‘Pushing Austerity: State Failure, Municipal Bankruptcy and the Crises of Fiscal Federalism in the USA’. </w:t>
      </w:r>
      <w:r>
        <w:rPr>
          <w:i/>
          <w:iCs/>
        </w:rPr>
        <w:t>Cambridge Journal of Regions, Economy and Society</w:t>
      </w:r>
      <w:r>
        <w:t xml:space="preserve"> 7 (1): 17–44. https://doi.org/10.1093/cjres/rst018.</w:t>
      </w:r>
    </w:p>
    <w:p w14:paraId="075680FA" w14:textId="77777777" w:rsidR="008E0B7B" w:rsidRDefault="008E0B7B" w:rsidP="008E0B7B">
      <w:pPr>
        <w:pStyle w:val="Bibliography"/>
      </w:pPr>
      <w:r>
        <w:t xml:space="preserve">Peck, Jamie, and Nik Theodore. 2019. ‘Still Neoliberalism?’ </w:t>
      </w:r>
      <w:r>
        <w:rPr>
          <w:i/>
          <w:iCs/>
        </w:rPr>
        <w:t>South Atlantic Quarterly</w:t>
      </w:r>
      <w:r>
        <w:t xml:space="preserve"> 118 (2): 245–65. https://doi.org/10.1215/00382876-7381122.</w:t>
      </w:r>
    </w:p>
    <w:p w14:paraId="1C9EBCF5" w14:textId="77777777" w:rsidR="008E0B7B" w:rsidRDefault="008E0B7B" w:rsidP="008E0B7B">
      <w:pPr>
        <w:pStyle w:val="Bibliography"/>
      </w:pPr>
      <w:r>
        <w:t xml:space="preserve">Peck, Jamie, Nik Theodore, and Neil Brenner. 2009. ‘Neoliberal Urbanism: Models, Moments, Mutations’. </w:t>
      </w:r>
      <w:r>
        <w:rPr>
          <w:i/>
          <w:iCs/>
        </w:rPr>
        <w:t>SAIS Review of International Affairs</w:t>
      </w:r>
      <w:r>
        <w:t xml:space="preserve"> 29 (1): 49–66. https://doi.org/10.1353/sais.0.0028.</w:t>
      </w:r>
    </w:p>
    <w:p w14:paraId="10C3B715" w14:textId="77777777" w:rsidR="008E0B7B" w:rsidRDefault="008E0B7B" w:rsidP="008E0B7B">
      <w:pPr>
        <w:pStyle w:val="Bibliography"/>
      </w:pPr>
      <w:r>
        <w:t xml:space="preserve">Peck, Jamie, and Adam Tickell. 2002. ‘Neoliberalizing Space’. </w:t>
      </w:r>
      <w:r>
        <w:rPr>
          <w:i/>
          <w:iCs/>
        </w:rPr>
        <w:t>Antipode</w:t>
      </w:r>
      <w:r>
        <w:t xml:space="preserve"> 34 (3): 380–404. https://doi.org/10.1111/1467-8330.00247.</w:t>
      </w:r>
    </w:p>
    <w:p w14:paraId="3F535D52" w14:textId="77777777" w:rsidR="008E0B7B" w:rsidRDefault="008E0B7B" w:rsidP="008E0B7B">
      <w:pPr>
        <w:pStyle w:val="Bibliography"/>
      </w:pPr>
      <w:r>
        <w:lastRenderedPageBreak/>
        <w:t xml:space="preserve">Penny, Joe. 2017. ‘Between Coercion and Consent: The Politics of “Cooperative Governance” at a Time of “Austerity Localism” in London’. </w:t>
      </w:r>
      <w:r>
        <w:rPr>
          <w:i/>
          <w:iCs/>
        </w:rPr>
        <w:t>Urban Geography</w:t>
      </w:r>
      <w:r>
        <w:t xml:space="preserve"> 38 (9): 1352–73. https://doi.org/10.1080/02723638.2016.1235932.</w:t>
      </w:r>
    </w:p>
    <w:p w14:paraId="7C2FF192" w14:textId="77777777" w:rsidR="008E0B7B" w:rsidRDefault="008E0B7B" w:rsidP="008E0B7B">
      <w:pPr>
        <w:pStyle w:val="Bibliography"/>
      </w:pPr>
      <w:r>
        <w:t xml:space="preserve">Penny, Joe. 2022. ‘“Revenue Generating Machines”? London’s Local Housing Companies and the Emergence of Local State Rentierism’. </w:t>
      </w:r>
      <w:r>
        <w:rPr>
          <w:i/>
          <w:iCs/>
        </w:rPr>
        <w:t>Antipode</w:t>
      </w:r>
      <w:r>
        <w:t xml:space="preserve"> 54 (2): 545–66. https://doi.org/10.1111/anti.12774.</w:t>
      </w:r>
    </w:p>
    <w:p w14:paraId="565365A0" w14:textId="77777777" w:rsidR="008E0B7B" w:rsidRDefault="008E0B7B" w:rsidP="008E0B7B">
      <w:pPr>
        <w:pStyle w:val="Bibliography"/>
      </w:pPr>
      <w:r>
        <w:t xml:space="preserve">Penny, Joe, and Amy Horton. 2024. ‘Race, Resistance and the Speculative City: Reflections from London’. </w:t>
      </w:r>
      <w:r>
        <w:rPr>
          <w:i/>
          <w:iCs/>
        </w:rPr>
        <w:t>Finance and Space</w:t>
      </w:r>
      <w:r>
        <w:t xml:space="preserve"> 1 (1): 406–12. https://doi.org/10.1080/2833115X.2024.2407334.</w:t>
      </w:r>
    </w:p>
    <w:p w14:paraId="586E8111" w14:textId="77777777" w:rsidR="008E0B7B" w:rsidRDefault="008E0B7B" w:rsidP="008E0B7B">
      <w:pPr>
        <w:pStyle w:val="Bibliography"/>
      </w:pPr>
      <w:r>
        <w:t xml:space="preserve">Perera, Jessica. 2019a. </w:t>
      </w:r>
      <w:r>
        <w:rPr>
          <w:i/>
          <w:iCs/>
        </w:rPr>
        <w:t>The London Clearances: Race, Housing and Policing</w:t>
      </w:r>
      <w:r>
        <w:t>. No. 12. Institute of Race Relations. https://irr.org.uk/wp-content/uploads/2020/09/The-London-Clearances-Race-Housing-and-Policing-1.pdf.</w:t>
      </w:r>
    </w:p>
    <w:p w14:paraId="225A5021" w14:textId="77777777" w:rsidR="008E0B7B" w:rsidRDefault="008E0B7B" w:rsidP="008E0B7B">
      <w:pPr>
        <w:pStyle w:val="Bibliography"/>
      </w:pPr>
      <w:r>
        <w:t xml:space="preserve">Perera, Jessica. 2019b. ‘This Is “Grenfell Britain”, Where If a Fire Does Not Get You, Demolition Will’. </w:t>
      </w:r>
      <w:r>
        <w:rPr>
          <w:i/>
          <w:iCs/>
        </w:rPr>
        <w:t>Institute of Race Relations</w:t>
      </w:r>
      <w:r>
        <w:t>, May 9. https://irr.org.uk/article/this-is-grenfell-britain-where-if-a-fire-does-not-get-you-demolition-will/.</w:t>
      </w:r>
    </w:p>
    <w:p w14:paraId="7DC0CB7D" w14:textId="77777777" w:rsidR="008E0B7B" w:rsidRDefault="008E0B7B" w:rsidP="008E0B7B">
      <w:pPr>
        <w:pStyle w:val="Bibliography"/>
      </w:pPr>
      <w:r>
        <w:t xml:space="preserve">Philo, Chris, and Eric Laurier. 2021. ‘Consent’. In </w:t>
      </w:r>
      <w:r>
        <w:rPr>
          <w:i/>
          <w:iCs/>
        </w:rPr>
        <w:t>Research Ethics for Human Geography: A Handbook for Students</w:t>
      </w:r>
      <w:r>
        <w:t>, by Helen F. Wilson and Jonathan Darling. SAGE Publications, Limited. http://ebookcentral.proquest.com/lib/durham/detail.action?docID=6383656.</w:t>
      </w:r>
    </w:p>
    <w:p w14:paraId="684B81E1" w14:textId="77777777" w:rsidR="008E0B7B" w:rsidRDefault="008E0B7B" w:rsidP="008E0B7B">
      <w:pPr>
        <w:pStyle w:val="Bibliography"/>
      </w:pPr>
      <w:r>
        <w:t xml:space="preserve">Pierce, Joseph, and Mary Lawhon. 2015. ‘Walking as Method: Toward Methodological Forthrightness and Comparability in Urban Geographical Research’. </w:t>
      </w:r>
      <w:r>
        <w:rPr>
          <w:i/>
          <w:iCs/>
        </w:rPr>
        <w:t>The Professional Geographer</w:t>
      </w:r>
      <w:r>
        <w:t xml:space="preserve"> 67 (4): 655–62. https://doi.org/10.1080/00330124.2015.1059401.</w:t>
      </w:r>
    </w:p>
    <w:p w14:paraId="33C27E2A" w14:textId="77777777" w:rsidR="008E0B7B" w:rsidRDefault="008E0B7B" w:rsidP="008E0B7B">
      <w:pPr>
        <w:pStyle w:val="Bibliography"/>
      </w:pPr>
      <w:r>
        <w:t xml:space="preserve">Pile, Steve. 1995. ‘“What We Are Asking for Is Decent Human Life”: SPLASH, Neighbourhood Demands and Citizenship in London’s Docklands’. </w:t>
      </w:r>
      <w:r>
        <w:rPr>
          <w:i/>
          <w:iCs/>
        </w:rPr>
        <w:t>Political Geography</w:t>
      </w:r>
      <w:r>
        <w:t>, Spaces of citizenship, vol. 14 (2): 199–208. https://doi.org/10.1016/0962-6298(95)91666-R.</w:t>
      </w:r>
    </w:p>
    <w:p w14:paraId="476EDA8A" w14:textId="77777777" w:rsidR="008E0B7B" w:rsidRDefault="008E0B7B" w:rsidP="008E0B7B">
      <w:pPr>
        <w:pStyle w:val="Bibliography"/>
      </w:pPr>
      <w:r>
        <w:t xml:space="preserve">Piletić, Aleksandra. 2022. ‘The Role of the Urban Scale in Anchoring Authoritarian Neoliberalism: A Look at Post-2012 Neoliberalization in Belgrade, Serbia’. </w:t>
      </w:r>
      <w:r>
        <w:rPr>
          <w:i/>
          <w:iCs/>
        </w:rPr>
        <w:t>Globalizations</w:t>
      </w:r>
      <w:r>
        <w:t xml:space="preserve"> 19 (2): 285–300. https://doi.org/10.1080/14747731.2021.1882817.</w:t>
      </w:r>
    </w:p>
    <w:p w14:paraId="02C2AC57" w14:textId="77777777" w:rsidR="008E0B7B" w:rsidRDefault="008E0B7B" w:rsidP="008E0B7B">
      <w:pPr>
        <w:pStyle w:val="Bibliography"/>
      </w:pPr>
      <w:r>
        <w:t xml:space="preserve">Platt, Steve. 1986. ‘Return to Broadwater Farm’. </w:t>
      </w:r>
      <w:r>
        <w:rPr>
          <w:i/>
          <w:iCs/>
        </w:rPr>
        <w:t>New Socialist</w:t>
      </w:r>
      <w:r>
        <w:t>, April. 925.3 BRO, pp. 6–8. Haringey Borough Archives.</w:t>
      </w:r>
    </w:p>
    <w:p w14:paraId="015A2EAC" w14:textId="77777777" w:rsidR="008E0B7B" w:rsidRDefault="008E0B7B" w:rsidP="008E0B7B">
      <w:pPr>
        <w:pStyle w:val="Bibliography"/>
      </w:pPr>
      <w:r>
        <w:t xml:space="preserve">Pontrandolfo, Stefania. 2018. ‘Roma “Acts of Citizenship”: Negotiating Categories and Housing Solutions’. </w:t>
      </w:r>
      <w:r>
        <w:rPr>
          <w:i/>
          <w:iCs/>
        </w:rPr>
        <w:t>Nomadic Peoples</w:t>
      </w:r>
      <w:r>
        <w:t xml:space="preserve"> 22 (1): 83–103.</w:t>
      </w:r>
    </w:p>
    <w:p w14:paraId="7BBD1E47" w14:textId="77777777" w:rsidR="008E0B7B" w:rsidRDefault="008E0B7B" w:rsidP="008E0B7B">
      <w:pPr>
        <w:pStyle w:val="Bibliography"/>
      </w:pPr>
      <w:r>
        <w:t xml:space="preserve">Pottinger, Laura. 2017. ‘Planting the Seeds of a Quiet Activism’. </w:t>
      </w:r>
      <w:r>
        <w:rPr>
          <w:i/>
          <w:iCs/>
        </w:rPr>
        <w:t>Area</w:t>
      </w:r>
      <w:r>
        <w:t xml:space="preserve"> 49 (2): 215–22. https://doi.org/10.1111/area.12318.</w:t>
      </w:r>
    </w:p>
    <w:p w14:paraId="213F778F" w14:textId="77777777" w:rsidR="008E0B7B" w:rsidRDefault="008E0B7B" w:rsidP="008E0B7B">
      <w:pPr>
        <w:pStyle w:val="Bibliography"/>
      </w:pPr>
      <w:r>
        <w:lastRenderedPageBreak/>
        <w:t xml:space="preserve">Poulantzas, Nikos A. 1969. ‘The Problem of the Capitalist State’. </w:t>
      </w:r>
      <w:r>
        <w:rPr>
          <w:i/>
          <w:iCs/>
        </w:rPr>
        <w:t>New Left Review</w:t>
      </w:r>
      <w:r>
        <w:t>, no. I/58 (December): 67–78.</w:t>
      </w:r>
    </w:p>
    <w:p w14:paraId="1ADA73A8" w14:textId="77777777" w:rsidR="008E0B7B" w:rsidRDefault="008E0B7B" w:rsidP="008E0B7B">
      <w:pPr>
        <w:pStyle w:val="Bibliography"/>
      </w:pPr>
      <w:r>
        <w:t xml:space="preserve">Poulantzas, Nikos A. (1978) 2014. </w:t>
      </w:r>
      <w:r>
        <w:rPr>
          <w:i/>
          <w:iCs/>
        </w:rPr>
        <w:t>State, Power, Socialism</w:t>
      </w:r>
      <w:r>
        <w:t>. Translated by Patrick Camiller. Radical Thinkers. Verso.</w:t>
      </w:r>
    </w:p>
    <w:p w14:paraId="4993AB2E" w14:textId="77777777" w:rsidR="008E0B7B" w:rsidRDefault="008E0B7B" w:rsidP="008E0B7B">
      <w:pPr>
        <w:pStyle w:val="Bibliography"/>
      </w:pPr>
      <w:r>
        <w:t xml:space="preserve">Proudfoot, Kevin. 2023. ‘Inductive/Deductive Hybrid Thematic Analysis in Mixed Methods Research’. </w:t>
      </w:r>
      <w:r>
        <w:rPr>
          <w:i/>
          <w:iCs/>
        </w:rPr>
        <w:t>Journal of Mixed Methods Research</w:t>
      </w:r>
      <w:r>
        <w:t xml:space="preserve"> 17 (3): 308–26. https://doi.org/10.1177/15586898221126816.</w:t>
      </w:r>
    </w:p>
    <w:p w14:paraId="411AD190" w14:textId="77777777" w:rsidR="008E0B7B" w:rsidRDefault="008E0B7B" w:rsidP="008E0B7B">
      <w:pPr>
        <w:pStyle w:val="Bibliography"/>
      </w:pPr>
      <w:r>
        <w:t xml:space="preserve">Pull, Emil, and Åse Richard. 2021. ‘Domicide: Displacement and Dispossessions in Uppsala, Sweden’. </w:t>
      </w:r>
      <w:r>
        <w:rPr>
          <w:i/>
          <w:iCs/>
        </w:rPr>
        <w:t>Social &amp; Cultural Geography</w:t>
      </w:r>
      <w:r>
        <w:t xml:space="preserve"> 22 (4): 545–64. https://doi.org/10.1080/14649365.2019.1601245.</w:t>
      </w:r>
    </w:p>
    <w:p w14:paraId="3CE65096" w14:textId="77777777" w:rsidR="008E0B7B" w:rsidRDefault="008E0B7B" w:rsidP="008E0B7B">
      <w:pPr>
        <w:pStyle w:val="Bibliography"/>
      </w:pPr>
      <w:r>
        <w:t xml:space="preserve">Raco, Mike. 2016. </w:t>
      </w:r>
      <w:r>
        <w:rPr>
          <w:i/>
          <w:iCs/>
        </w:rPr>
        <w:t>State-Led Privatisation and the Demise of the Democratic State: Welfare Reform and Localism in an Era of Regulatory Capitalism</w:t>
      </w:r>
      <w:r>
        <w:t>. Routledge. https://doi.org/10.4324/9781315610702.</w:t>
      </w:r>
    </w:p>
    <w:p w14:paraId="6AAE6B13" w14:textId="77777777" w:rsidR="008E0B7B" w:rsidRDefault="008E0B7B" w:rsidP="008E0B7B">
      <w:pPr>
        <w:pStyle w:val="Bibliography"/>
      </w:pPr>
      <w:r>
        <w:t xml:space="preserve">Raco, Mike, and Federico Savini, eds. 2019. </w:t>
      </w:r>
      <w:r>
        <w:rPr>
          <w:i/>
          <w:iCs/>
        </w:rPr>
        <w:t>Planning and Knowledge: How New Forms of Technocracy Are Shaping Contemporary Cities</w:t>
      </w:r>
      <w:r>
        <w:t>. Policy Press.</w:t>
      </w:r>
    </w:p>
    <w:p w14:paraId="404E96E9" w14:textId="77777777" w:rsidR="008E0B7B" w:rsidRDefault="008E0B7B" w:rsidP="008E0B7B">
      <w:pPr>
        <w:pStyle w:val="Bibliography"/>
      </w:pPr>
      <w:r>
        <w:t xml:space="preserve">Rao, Nirmala. 1998. ‘Representation in Local Politics: A Reconsideration and Some New Evidence’. </w:t>
      </w:r>
      <w:r>
        <w:rPr>
          <w:i/>
          <w:iCs/>
        </w:rPr>
        <w:t>Political Studies</w:t>
      </w:r>
      <w:r>
        <w:t xml:space="preserve"> 46 (1): 19–35. https://doi.org/10.1111/1467-9248.00127.</w:t>
      </w:r>
    </w:p>
    <w:p w14:paraId="22004EC6" w14:textId="77777777" w:rsidR="008E0B7B" w:rsidRDefault="008E0B7B" w:rsidP="008E0B7B">
      <w:pPr>
        <w:pStyle w:val="Bibliography"/>
      </w:pPr>
      <w:r>
        <w:t xml:space="preserve">Rao, Nirmala, Ken Young, Peter Lynn, and Philippa Hurrell. 1994. ‘Place, Personal Characteristics and Councillor Roles: A Multivariate Analysis of Survey Data’. </w:t>
      </w:r>
      <w:r>
        <w:rPr>
          <w:i/>
          <w:iCs/>
        </w:rPr>
        <w:t>Policy &amp; Politics</w:t>
      </w:r>
      <w:r>
        <w:t xml:space="preserve"> 22 (1): 31–42. https://doi.org/10.1332/030557394782453799.</w:t>
      </w:r>
    </w:p>
    <w:p w14:paraId="00DACB83" w14:textId="77777777" w:rsidR="008E0B7B" w:rsidRDefault="008E0B7B" w:rsidP="008E0B7B">
      <w:pPr>
        <w:pStyle w:val="Bibliography"/>
      </w:pPr>
      <w:r>
        <w:t xml:space="preserve">Ravetz, Alison. 2003. </w:t>
      </w:r>
      <w:r>
        <w:rPr>
          <w:i/>
          <w:iCs/>
        </w:rPr>
        <w:t>Council Housing and Culture: The History of a Social Experiment</w:t>
      </w:r>
      <w:r>
        <w:t>. Routledge. https://doi.org/10.4324/9780203451601.</w:t>
      </w:r>
    </w:p>
    <w:p w14:paraId="64BE224D" w14:textId="77777777" w:rsidR="008E0B7B" w:rsidRDefault="008E0B7B" w:rsidP="008E0B7B">
      <w:pPr>
        <w:pStyle w:val="Bibliography"/>
      </w:pPr>
      <w:r>
        <w:t xml:space="preserve">RCVP. 2012. </w:t>
      </w:r>
      <w:r>
        <w:rPr>
          <w:i/>
          <w:iCs/>
        </w:rPr>
        <w:t>After the Riots: The Final Report of the Riots Communities and Victims Panel</w:t>
      </w:r>
      <w:r>
        <w:t>. Riots, Communities and Victims Panel. https://www.salfordcvs.co.uk/sites/salfordcvs.co.uk/files/Riots-Panel-Final-Report.pdf.</w:t>
      </w:r>
    </w:p>
    <w:p w14:paraId="6D36C946" w14:textId="77777777" w:rsidR="008E0B7B" w:rsidRDefault="008E0B7B" w:rsidP="008E0B7B">
      <w:pPr>
        <w:pStyle w:val="Bibliography"/>
      </w:pPr>
      <w:r>
        <w:t xml:space="preserve">Reeve, Joe. 2022. ‘Homes for Haringey Is Officially Back under Council Control’. News. </w:t>
      </w:r>
      <w:r>
        <w:rPr>
          <w:i/>
          <w:iCs/>
        </w:rPr>
        <w:t>Haringey Community Press</w:t>
      </w:r>
      <w:r>
        <w:t>, June 1. https://haringeycommunitypress.co.uk/2022/06/01/homes-for-haringey-officially-under-council-control/.</w:t>
      </w:r>
    </w:p>
    <w:p w14:paraId="69D47DE9" w14:textId="77777777" w:rsidR="008E0B7B" w:rsidRDefault="008E0B7B" w:rsidP="008E0B7B">
      <w:pPr>
        <w:pStyle w:val="Bibliography"/>
      </w:pPr>
      <w:r>
        <w:t>Reilly, Rachel. 2025. ‘UK: Banning Palestine Action “a Disturbing Legal Overreach” by UK Government, Amnesty International UK Chief Executive Warns’. Press Release. July 2. https://www.amnesty.org.uk/press-releases/uk-banning-palestine-action-disturbing-legal-overreach-uk-government-amnesty.</w:t>
      </w:r>
    </w:p>
    <w:p w14:paraId="17EF3AAC" w14:textId="77777777" w:rsidR="008E0B7B" w:rsidRDefault="008E0B7B" w:rsidP="008E0B7B">
      <w:pPr>
        <w:pStyle w:val="Bibliography"/>
      </w:pPr>
      <w:r>
        <w:lastRenderedPageBreak/>
        <w:t xml:space="preserve">Richardson, Liz. 2012. ‘Handing over the Reins of Power: Making Local Democracy Work’. </w:t>
      </w:r>
      <w:r>
        <w:rPr>
          <w:i/>
          <w:iCs/>
        </w:rPr>
        <w:t>Political Insight</w:t>
      </w:r>
      <w:r>
        <w:t xml:space="preserve"> 3 (3): 32–34. https://doi.org/10.1111/j.2041-9066.2012.00122.x.</w:t>
      </w:r>
    </w:p>
    <w:p w14:paraId="4FAAA8F5" w14:textId="77777777" w:rsidR="008E0B7B" w:rsidRDefault="008E0B7B" w:rsidP="008E0B7B">
      <w:pPr>
        <w:pStyle w:val="Bibliography"/>
      </w:pPr>
      <w:r>
        <w:t xml:space="preserve">Riding, James. 2020. ‘Landscape after Genocide’. </w:t>
      </w:r>
      <w:r>
        <w:rPr>
          <w:i/>
          <w:iCs/>
        </w:rPr>
        <w:t>Cultural Geographies</w:t>
      </w:r>
      <w:r>
        <w:t xml:space="preserve"> 27 (2): 237–59. https://doi.org/10.1177/1474474019876619.</w:t>
      </w:r>
    </w:p>
    <w:p w14:paraId="61209BFD" w14:textId="77777777" w:rsidR="008E0B7B" w:rsidRDefault="008E0B7B" w:rsidP="008E0B7B">
      <w:pPr>
        <w:pStyle w:val="Bibliography"/>
      </w:pPr>
      <w:r>
        <w:t xml:space="preserve">Robbins, Glyn. 2010. ‘Do Mention the Housing Crisis’. Opinion. </w:t>
      </w:r>
      <w:r>
        <w:rPr>
          <w:i/>
          <w:iCs/>
        </w:rPr>
        <w:t>The Guardian</w:t>
      </w:r>
      <w:r>
        <w:t>, April 26. https://www.theguardian.com/commentisfree/2010/apr/26/housing-policy-crisis.</w:t>
      </w:r>
    </w:p>
    <w:p w14:paraId="3B0D22B6" w14:textId="77777777" w:rsidR="008E0B7B" w:rsidRDefault="008E0B7B" w:rsidP="008E0B7B">
      <w:pPr>
        <w:pStyle w:val="Bibliography"/>
      </w:pPr>
      <w:r>
        <w:t>Robbins, Glyn. 2014. ‘Housing, Racism and the Far-Right’. Morning Star, March 17. https://morningstaronline.co.uk/-racism-and-the-far-right.</w:t>
      </w:r>
    </w:p>
    <w:p w14:paraId="01F965E1" w14:textId="77777777" w:rsidR="008E0B7B" w:rsidRDefault="008E0B7B" w:rsidP="008E0B7B">
      <w:pPr>
        <w:pStyle w:val="Bibliography"/>
      </w:pPr>
      <w:r>
        <w:t xml:space="preserve">Robbins, Glyn. 2020. ‘The Fight for Housing Goes On’. </w:t>
      </w:r>
      <w:r>
        <w:rPr>
          <w:i/>
          <w:iCs/>
        </w:rPr>
        <w:t>Tribune</w:t>
      </w:r>
      <w:r>
        <w:t>, January 10. https://tribunemag.co.uk/2020/01/the-fight-for-housing-goes-on.</w:t>
      </w:r>
    </w:p>
    <w:p w14:paraId="57C62055" w14:textId="77777777" w:rsidR="008E0B7B" w:rsidRDefault="008E0B7B" w:rsidP="008E0B7B">
      <w:pPr>
        <w:pStyle w:val="Bibliography"/>
      </w:pPr>
      <w:r>
        <w:t xml:space="preserve">Robinson, David. 2025. ‘Race Equality in Housing: Tracing the Postracial Turn in English Housing Policy’. </w:t>
      </w:r>
      <w:r>
        <w:rPr>
          <w:i/>
          <w:iCs/>
        </w:rPr>
        <w:t>Housing Studies</w:t>
      </w:r>
      <w:r>
        <w:t xml:space="preserve"> 40 (9): 1967–88. https://doi.org/10.1080/02673037.2024.2388189.</w:t>
      </w:r>
    </w:p>
    <w:p w14:paraId="66D3548A" w14:textId="77777777" w:rsidR="008E0B7B" w:rsidRDefault="008E0B7B" w:rsidP="008E0B7B">
      <w:pPr>
        <w:pStyle w:val="Bibliography"/>
      </w:pPr>
      <w:r>
        <w:t xml:space="preserve">Roche, Michael. 2005. ‘Historical Research and Archival Sources’. In </w:t>
      </w:r>
      <w:r>
        <w:rPr>
          <w:i/>
          <w:iCs/>
        </w:rPr>
        <w:t>Qualitative Research Methods in Human Geography</w:t>
      </w:r>
      <w:r>
        <w:t>, edited by Ian Hay. Oxford University Press.</w:t>
      </w:r>
    </w:p>
    <w:p w14:paraId="545F260C" w14:textId="77777777" w:rsidR="008E0B7B" w:rsidRDefault="008E0B7B" w:rsidP="008E0B7B">
      <w:pPr>
        <w:pStyle w:val="Bibliography"/>
      </w:pPr>
      <w:r>
        <w:t xml:space="preserve">Ronald, Richard. 2008. </w:t>
      </w:r>
      <w:r>
        <w:rPr>
          <w:i/>
          <w:iCs/>
        </w:rPr>
        <w:t>The Ideology of Home Ownership: Homeowner Societies and the Role of Housing</w:t>
      </w:r>
      <w:r>
        <w:t>. Palgrave Macmillan.</w:t>
      </w:r>
    </w:p>
    <w:p w14:paraId="6143741F" w14:textId="77777777" w:rsidR="008E0B7B" w:rsidRDefault="008E0B7B" w:rsidP="008E0B7B">
      <w:pPr>
        <w:pStyle w:val="Bibliography"/>
      </w:pPr>
      <w:r>
        <w:t xml:space="preserve">Rose, Gillian. 1997. ‘Situating Knowledges: Positionality, Reflexivities and Other Tactics’. </w:t>
      </w:r>
      <w:r>
        <w:rPr>
          <w:i/>
          <w:iCs/>
        </w:rPr>
        <w:t>Progress in Human Geography</w:t>
      </w:r>
      <w:r>
        <w:t xml:space="preserve"> 21 (3): 305–20. https://doi.org/10.1191/030913297673302122.</w:t>
      </w:r>
    </w:p>
    <w:p w14:paraId="73CABA53" w14:textId="77777777" w:rsidR="008E0B7B" w:rsidRDefault="008E0B7B" w:rsidP="008E0B7B">
      <w:pPr>
        <w:pStyle w:val="Bibliography"/>
      </w:pPr>
      <w:r>
        <w:t xml:space="preserve">Rothstein, Richard. 2017. </w:t>
      </w:r>
      <w:r>
        <w:rPr>
          <w:i/>
          <w:iCs/>
        </w:rPr>
        <w:t>The Color of Law – A Forgotten History of How Our Government Segregated America</w:t>
      </w:r>
      <w:r>
        <w:t>. Liveright.</w:t>
      </w:r>
    </w:p>
    <w:p w14:paraId="435B0607" w14:textId="77777777" w:rsidR="008E0B7B" w:rsidRDefault="008E0B7B" w:rsidP="008E0B7B">
      <w:pPr>
        <w:pStyle w:val="Bibliography"/>
      </w:pPr>
      <w:r>
        <w:t xml:space="preserve">Roulston, Kathryn, and Myungweon Choi. 2018. ‘Qualitative Interviews’. In </w:t>
      </w:r>
      <w:r>
        <w:rPr>
          <w:i/>
          <w:iCs/>
        </w:rPr>
        <w:t>The SAGE Handbook of Qualitative Data Collection</w:t>
      </w:r>
      <w:r>
        <w:t>, by Uwe Flick. SAGE Publications Ltd. https://doi.org/10.4135/9781526416070.n15.</w:t>
      </w:r>
    </w:p>
    <w:p w14:paraId="16030865" w14:textId="77777777" w:rsidR="008E0B7B" w:rsidRDefault="008E0B7B" w:rsidP="008E0B7B">
      <w:pPr>
        <w:pStyle w:val="Bibliography"/>
      </w:pPr>
      <w:r>
        <w:t xml:space="preserve">Roy, Martin, and Catherine Neveu. 2023. ‘A Philosophy of the Theory of “Acts of Citizenship” Woven into the Fabric of a Political Anthropology of Citizenship’. </w:t>
      </w:r>
      <w:r>
        <w:rPr>
          <w:i/>
          <w:iCs/>
        </w:rPr>
        <w:t>Citizenship Studies</w:t>
      </w:r>
      <w:r>
        <w:t xml:space="preserve"> 27 (3): 385–405. https://doi.org/10.1080/13621025.2023.2171254.</w:t>
      </w:r>
    </w:p>
    <w:p w14:paraId="0D65D9F8" w14:textId="77777777" w:rsidR="008E0B7B" w:rsidRDefault="008E0B7B" w:rsidP="008E0B7B">
      <w:pPr>
        <w:pStyle w:val="Bibliography"/>
      </w:pPr>
      <w:r>
        <w:t xml:space="preserve">Ryan, Frances. 2025. ‘“This Isn’t a U-Turn”: Disabled People React to Passing of Watered-down Welfare Bill’. Politics. </w:t>
      </w:r>
      <w:r>
        <w:rPr>
          <w:i/>
          <w:iCs/>
        </w:rPr>
        <w:t>The Guardian</w:t>
      </w:r>
      <w:r>
        <w:t>, July 2. https://www.theguardian.com/politics/2025/jul/02/disabled-people-react-watered-down-welfare-reform-bill-passes.</w:t>
      </w:r>
    </w:p>
    <w:p w14:paraId="1767B951" w14:textId="77777777" w:rsidR="008E0B7B" w:rsidRDefault="008E0B7B" w:rsidP="008E0B7B">
      <w:pPr>
        <w:pStyle w:val="Bibliography"/>
      </w:pPr>
      <w:r>
        <w:lastRenderedPageBreak/>
        <w:t xml:space="preserve">Ryan, Matthew D. J. 2019. ‘Interrogating “Authoritarian Neoliberalism”: The Problem of Periodization’. </w:t>
      </w:r>
      <w:r>
        <w:rPr>
          <w:i/>
          <w:iCs/>
        </w:rPr>
        <w:t>Competition &amp; Change</w:t>
      </w:r>
      <w:r>
        <w:t xml:space="preserve"> (London) 23 (2): 116–37. https://doi.org/10.1177/1024529418797867.</w:t>
      </w:r>
    </w:p>
    <w:p w14:paraId="013D1113" w14:textId="77777777" w:rsidR="008E0B7B" w:rsidRDefault="008E0B7B" w:rsidP="008E0B7B">
      <w:pPr>
        <w:pStyle w:val="Bibliography"/>
      </w:pPr>
      <w:r>
        <w:t xml:space="preserve">Saarijärvi, Markus, and Ewa-Lena Bratt. 2021. ‘When Face-to-Face Interviews Are Not Possible: Tips and Tricks for Video, Telephone, Online Chat, and Email Interviews in Qualitative Research’. </w:t>
      </w:r>
      <w:r>
        <w:rPr>
          <w:i/>
          <w:iCs/>
        </w:rPr>
        <w:t>European Journal of Cardiovascular Nursing</w:t>
      </w:r>
      <w:r>
        <w:t xml:space="preserve"> 20 (4): 392–96. https://doi.org/10.1093/eurjcn/zvab038.</w:t>
      </w:r>
    </w:p>
    <w:p w14:paraId="1EC4C5AB" w14:textId="77777777" w:rsidR="008E0B7B" w:rsidRDefault="008E0B7B" w:rsidP="008E0B7B">
      <w:pPr>
        <w:pStyle w:val="Bibliography"/>
      </w:pPr>
      <w:r>
        <w:t xml:space="preserve">Saeidi, Shirin. 2010. ‘Creating the Islamic Republic of Iran: Wives and Daughters of Martyrs, and Acts of Citizenship’. </w:t>
      </w:r>
      <w:r>
        <w:rPr>
          <w:i/>
          <w:iCs/>
        </w:rPr>
        <w:t>Citizenship Studies</w:t>
      </w:r>
      <w:r>
        <w:t xml:space="preserve"> 14 (2): 113–26. https://doi.org/10.1080/13621021003594734.</w:t>
      </w:r>
    </w:p>
    <w:p w14:paraId="7DDFFAB3" w14:textId="77777777" w:rsidR="008E0B7B" w:rsidRDefault="008E0B7B" w:rsidP="008E0B7B">
      <w:pPr>
        <w:pStyle w:val="Bibliography"/>
      </w:pPr>
      <w:r>
        <w:t xml:space="preserve">Saldaña, Johnny. 2021. </w:t>
      </w:r>
      <w:r>
        <w:rPr>
          <w:i/>
          <w:iCs/>
        </w:rPr>
        <w:t>The Coding Manual for Qualitative Researchers</w:t>
      </w:r>
      <w:r>
        <w:t>. 4E [Fourth edition]. SAGE.</w:t>
      </w:r>
    </w:p>
    <w:p w14:paraId="14A1989B" w14:textId="77777777" w:rsidR="008E0B7B" w:rsidRDefault="008E0B7B" w:rsidP="008E0B7B">
      <w:pPr>
        <w:pStyle w:val="Bibliography"/>
      </w:pPr>
      <w:r>
        <w:t xml:space="preserve">Salmons, Janet. 2014. </w:t>
      </w:r>
      <w:r>
        <w:rPr>
          <w:i/>
          <w:iCs/>
        </w:rPr>
        <w:t>Qualitative Online Interviews: Strategies, Design, and Skills</w:t>
      </w:r>
      <w:r>
        <w:t>. SAGE Publications Ltd. https://doi.org/10.4135/9781071878880.</w:t>
      </w:r>
    </w:p>
    <w:p w14:paraId="16684003" w14:textId="77777777" w:rsidR="008E0B7B" w:rsidRDefault="008E0B7B" w:rsidP="008E0B7B">
      <w:pPr>
        <w:pStyle w:val="Bibliography"/>
      </w:pPr>
      <w:r>
        <w:t xml:space="preserve">Sanyal, Romola. 2021. ‘Positionality’. In </w:t>
      </w:r>
      <w:r>
        <w:rPr>
          <w:i/>
          <w:iCs/>
        </w:rPr>
        <w:t>Research Ethics for Human Geography: A Handbook for Students</w:t>
      </w:r>
      <w:r>
        <w:t>, by Helen F. Wilson and Jonathan Darling. SAGE Publications, Limited. http://ebookcentral.proquest.com/lib/durham/detail.action?docID=6383656.</w:t>
      </w:r>
    </w:p>
    <w:p w14:paraId="386C746E" w14:textId="77777777" w:rsidR="008E0B7B" w:rsidRDefault="008E0B7B" w:rsidP="008E0B7B">
      <w:pPr>
        <w:pStyle w:val="Bibliography"/>
      </w:pPr>
      <w:r>
        <w:t xml:space="preserve">Savage, Luke. 2022. ‘Remembering the Battle of Wood Green’. </w:t>
      </w:r>
      <w:r>
        <w:rPr>
          <w:i/>
          <w:iCs/>
        </w:rPr>
        <w:t>Tribune</w:t>
      </w:r>
      <w:r>
        <w:t>, April 23. https://tribunemag.co.uk/2022/04/remembering-the-battle-of-wood-green.</w:t>
      </w:r>
    </w:p>
    <w:p w14:paraId="33BB626C" w14:textId="77777777" w:rsidR="008E0B7B" w:rsidRDefault="008E0B7B" w:rsidP="008E0B7B">
      <w:pPr>
        <w:pStyle w:val="Bibliography"/>
      </w:pPr>
      <w:r>
        <w:t xml:space="preserve">Scott, James C. 2020. </w:t>
      </w:r>
      <w:r>
        <w:rPr>
          <w:i/>
          <w:iCs/>
        </w:rPr>
        <w:t>Seeing like a State: How Certain Schemes to Improve the Human Condition Have Failed</w:t>
      </w:r>
      <w:r>
        <w:t>. Veritas Paperbacks Ser. Yale University Press.</w:t>
      </w:r>
    </w:p>
    <w:p w14:paraId="36BBA77F" w14:textId="77777777" w:rsidR="008E0B7B" w:rsidRDefault="008E0B7B" w:rsidP="008E0B7B">
      <w:pPr>
        <w:pStyle w:val="Bibliography"/>
      </w:pPr>
      <w:r>
        <w:t xml:space="preserve">Scott, James, and Jane Wills. 2017. ‘The Geography of the Political Party: Lessons from the British Labour Party’s Experiment with Community Organising, 2010 to 2015’. </w:t>
      </w:r>
      <w:r>
        <w:rPr>
          <w:i/>
          <w:iCs/>
        </w:rPr>
        <w:t>Political Geography</w:t>
      </w:r>
      <w:r>
        <w:t xml:space="preserve"> 60 (September): 121–31. https://doi.org/10.1016/j.polgeo.2017.06.001.</w:t>
      </w:r>
    </w:p>
    <w:p w14:paraId="581579F1" w14:textId="77777777" w:rsidR="008E0B7B" w:rsidRDefault="008E0B7B" w:rsidP="008E0B7B">
      <w:pPr>
        <w:pStyle w:val="Bibliography"/>
      </w:pPr>
      <w:r>
        <w:t>Scott, Stafford. 1987a. ‘June 1987 Newsletter’. Newsletter. June. BG/P/2/4/9. Bishopsgate Institute.</w:t>
      </w:r>
    </w:p>
    <w:p w14:paraId="4AF40557" w14:textId="77777777" w:rsidR="008E0B7B" w:rsidRDefault="008E0B7B" w:rsidP="008E0B7B">
      <w:pPr>
        <w:pStyle w:val="Bibliography"/>
      </w:pPr>
      <w:r>
        <w:t xml:space="preserve">Scott, Stafford. 1987b. ‘White Britain, Black Truth’. </w:t>
      </w:r>
      <w:r>
        <w:rPr>
          <w:i/>
          <w:iCs/>
        </w:rPr>
        <w:t>The Guardian (1959-2003)</w:t>
      </w:r>
      <w:r>
        <w:t xml:space="preserve"> (London (UK), United Kingdom), March 30.</w:t>
      </w:r>
    </w:p>
    <w:p w14:paraId="0E7DBEF0" w14:textId="77777777" w:rsidR="008E0B7B" w:rsidRDefault="008E0B7B" w:rsidP="008E0B7B">
      <w:pPr>
        <w:pStyle w:val="Bibliography"/>
      </w:pPr>
      <w:r>
        <w:t>Seddon, Paul. 2025. ‘Labour Plans Further Right to Buy Restrictions in England’. BBC News, July 3. https://www.bbc.com/news/articles/c6257pr3q76o.</w:t>
      </w:r>
    </w:p>
    <w:p w14:paraId="0912B8FC" w14:textId="77777777" w:rsidR="008E0B7B" w:rsidRDefault="008E0B7B" w:rsidP="008E0B7B">
      <w:pPr>
        <w:pStyle w:val="Bibliography"/>
      </w:pPr>
      <w:r>
        <w:t xml:space="preserve">Self, Becky. 2021. ‘Conducting Interviews During the COVID-19 Pandemic and Beyond’. </w:t>
      </w:r>
      <w:r>
        <w:rPr>
          <w:i/>
          <w:iCs/>
        </w:rPr>
        <w:t>Forum Qualitative Sozialforschung / Forum: Qualitative Social Research</w:t>
      </w:r>
      <w:r>
        <w:t xml:space="preserve"> 22 (3). https://doi.org/10.17169/fqs-22.3.3741.</w:t>
      </w:r>
    </w:p>
    <w:p w14:paraId="2E4F4D13" w14:textId="77777777" w:rsidR="008E0B7B" w:rsidRDefault="008E0B7B" w:rsidP="008E0B7B">
      <w:pPr>
        <w:pStyle w:val="Bibliography"/>
      </w:pPr>
      <w:r>
        <w:lastRenderedPageBreak/>
        <w:t xml:space="preserve">Selmini, Rossella, and Anna Di Ronco. 2023. ‘The Criminalization of Dissent and Protest’. </w:t>
      </w:r>
      <w:r>
        <w:rPr>
          <w:i/>
          <w:iCs/>
        </w:rPr>
        <w:t>Crime and Justice</w:t>
      </w:r>
      <w:r>
        <w:t xml:space="preserve"> 52 (November): 197–231. https://doi.org/10.1086/727553.</w:t>
      </w:r>
    </w:p>
    <w:p w14:paraId="334CAE37" w14:textId="77777777" w:rsidR="008E0B7B" w:rsidRDefault="008E0B7B" w:rsidP="008E0B7B">
      <w:pPr>
        <w:pStyle w:val="Bibliography"/>
      </w:pPr>
      <w:r>
        <w:t xml:space="preserve">Severs, Dominic. 2010. ‘Rookeries and No-Go Estates: St. Giles and Broadwater Farm, </w:t>
      </w:r>
      <w:r>
        <w:rPr>
          <w:i/>
          <w:iCs/>
        </w:rPr>
        <w:t>or</w:t>
      </w:r>
      <w:r>
        <w:t xml:space="preserve"> Middle-Class Fear of “Non-Street” Housing’. </w:t>
      </w:r>
      <w:r>
        <w:rPr>
          <w:i/>
          <w:iCs/>
        </w:rPr>
        <w:t>The Journal of Architecture</w:t>
      </w:r>
      <w:r>
        <w:t xml:space="preserve"> 15 (4): 449–97. https://doi.org/10.1080/13602365.2010.507526.</w:t>
      </w:r>
    </w:p>
    <w:p w14:paraId="1FC4456E" w14:textId="77777777" w:rsidR="008E0B7B" w:rsidRDefault="008E0B7B" w:rsidP="008E0B7B">
      <w:pPr>
        <w:pStyle w:val="Bibliography"/>
      </w:pPr>
      <w:r>
        <w:t xml:space="preserve">Shankley, William, and Nissa Finney. 2020. ‘Ethnic Minorities and Housing in Britain’. In </w:t>
      </w:r>
      <w:r>
        <w:rPr>
          <w:i/>
          <w:iCs/>
        </w:rPr>
        <w:t>Ethnicity, Race and Inequality in the UK: State of the Nation</w:t>
      </w:r>
      <w:r>
        <w:t>, edited by Bridget Byrne, Claire E. Alexander, Omar Khan, James Nazroo, and William Shankley. Policy Press.</w:t>
      </w:r>
    </w:p>
    <w:p w14:paraId="47A85172" w14:textId="77777777" w:rsidR="008E0B7B" w:rsidRDefault="008E0B7B" w:rsidP="008E0B7B">
      <w:pPr>
        <w:pStyle w:val="Bibliography"/>
      </w:pPr>
      <w:r>
        <w:t>Shelter England. n.d. ‘What Is Social Housing?’ Shelter England. Accessed 27 October 2025. https://england.shelter.org.uk/support_us/campaigns/social_housing/what_is_social_housing.</w:t>
      </w:r>
    </w:p>
    <w:p w14:paraId="1F495D01" w14:textId="77777777" w:rsidR="008E0B7B" w:rsidRDefault="008E0B7B" w:rsidP="008E0B7B">
      <w:pPr>
        <w:pStyle w:val="Bibliography"/>
      </w:pPr>
      <w:r>
        <w:t xml:space="preserve">Sidaway, James D. 2009. ‘Shadows on the Path: Negotiating Geopolitics on an Urban Section of Britain’s South West Coast Path’. </w:t>
      </w:r>
      <w:r>
        <w:rPr>
          <w:i/>
          <w:iCs/>
        </w:rPr>
        <w:t>Environment and Planning D: Society and Space</w:t>
      </w:r>
      <w:r>
        <w:t xml:space="preserve"> 27 (6): 1091–116. https://doi.org/10.1068/d5508.</w:t>
      </w:r>
    </w:p>
    <w:p w14:paraId="5C81B9FE" w14:textId="77777777" w:rsidR="008E0B7B" w:rsidRDefault="008E0B7B" w:rsidP="008E0B7B">
      <w:pPr>
        <w:pStyle w:val="Bibliography"/>
      </w:pPr>
      <w:r>
        <w:t xml:space="preserve">Siener, Christian D., and Monica W. Varsanyi. 2022. ‘State of the Archives, Archives of the State: Methodological Challenges of Archival Research in Geography’. </w:t>
      </w:r>
      <w:r>
        <w:rPr>
          <w:i/>
          <w:iCs/>
        </w:rPr>
        <w:t>The Professional Geographer</w:t>
      </w:r>
      <w:r>
        <w:t xml:space="preserve"> 74 (3): 549–52. https://doi.org/10.1080/00330124.2022.2048872.</w:t>
      </w:r>
    </w:p>
    <w:p w14:paraId="77C91BD0" w14:textId="77777777" w:rsidR="008E0B7B" w:rsidRDefault="008E0B7B" w:rsidP="008E0B7B">
      <w:pPr>
        <w:pStyle w:val="Bibliography"/>
      </w:pPr>
      <w:r>
        <w:t>Sindhwani, Anil. 2025a. ‘Local Parties, Authoritarian Neoliberalism, and Urban Change in Tottenham, London’. Manuscript under review.</w:t>
      </w:r>
    </w:p>
    <w:p w14:paraId="793CF2E5" w14:textId="77777777" w:rsidR="008E0B7B" w:rsidRDefault="008E0B7B" w:rsidP="008E0B7B">
      <w:pPr>
        <w:pStyle w:val="Bibliography"/>
      </w:pPr>
      <w:r>
        <w:t>Sindhwani, Anil. 2025b. ‘“Personal Connections and Personal Alliances:” Leveraging Local Electoral Politics for Power’. Manuscript under review.</w:t>
      </w:r>
    </w:p>
    <w:p w14:paraId="323F309B" w14:textId="77777777" w:rsidR="008E0B7B" w:rsidRDefault="008E0B7B" w:rsidP="008E0B7B">
      <w:pPr>
        <w:pStyle w:val="Bibliography"/>
      </w:pPr>
      <w:r>
        <w:t>Sindhwani, Anil. 2025c. ‘Time in the Collage of Field and Work’. Manuscript under review.</w:t>
      </w:r>
    </w:p>
    <w:p w14:paraId="3D387610" w14:textId="77777777" w:rsidR="008E0B7B" w:rsidRDefault="008E0B7B" w:rsidP="008E0B7B">
      <w:pPr>
        <w:pStyle w:val="Bibliography"/>
      </w:pPr>
      <w:r>
        <w:t xml:space="preserve">Sindhwani, Anil. 2025d. ‘Working on the Farm: Acts of Citizenship and Accommodative Resistance’. </w:t>
      </w:r>
      <w:r>
        <w:rPr>
          <w:i/>
          <w:iCs/>
        </w:rPr>
        <w:t>Citizenship Studies</w:t>
      </w:r>
      <w:r>
        <w:t>, December 2, 1–17. https://doi.org/10.1080/13621025.2025.2597930.</w:t>
      </w:r>
    </w:p>
    <w:p w14:paraId="3A160FCA" w14:textId="77777777" w:rsidR="008E0B7B" w:rsidRDefault="008E0B7B" w:rsidP="008E0B7B">
      <w:pPr>
        <w:pStyle w:val="Bibliography"/>
      </w:pPr>
      <w:r>
        <w:t xml:space="preserve">Slater, Tom. 2016. ‘Revanchism, Stigma, and the Production of Ignorance: Housing Struggles in Austerity Britain’. In </w:t>
      </w:r>
      <w:r>
        <w:rPr>
          <w:i/>
          <w:iCs/>
        </w:rPr>
        <w:t>Risking Capitalism</w:t>
      </w:r>
      <w:r>
        <w:t>, vol. 31. Research in Political Economy. Emerald Group Publishing Limited. https://doi.org/10.1108/S0161-723020160000031001.</w:t>
      </w:r>
    </w:p>
    <w:p w14:paraId="7B689943" w14:textId="77777777" w:rsidR="008E0B7B" w:rsidRDefault="008E0B7B" w:rsidP="008E0B7B">
      <w:pPr>
        <w:pStyle w:val="Bibliography"/>
      </w:pPr>
      <w:r>
        <w:t xml:space="preserve">Slater, Tom. 2018a. </w:t>
      </w:r>
      <w:r>
        <w:rPr>
          <w:i/>
          <w:iCs/>
        </w:rPr>
        <w:t>Chapter 8: Rent Gaps</w:t>
      </w:r>
      <w:r>
        <w:t>. https://www.elgaronline.com/edcollchap/edcoll/9781785361739/9781785361739.00017.xml.</w:t>
      </w:r>
    </w:p>
    <w:p w14:paraId="76CC9A38" w14:textId="77777777" w:rsidR="008E0B7B" w:rsidRDefault="008E0B7B" w:rsidP="008E0B7B">
      <w:pPr>
        <w:pStyle w:val="Bibliography"/>
      </w:pPr>
      <w:r>
        <w:lastRenderedPageBreak/>
        <w:t xml:space="preserve">Slater, Tom. 2018b. ‘The Invention of the “Sink Estate”: Consequential Categorisation and the UK Housing Crisis’. </w:t>
      </w:r>
      <w:r>
        <w:rPr>
          <w:i/>
          <w:iCs/>
        </w:rPr>
        <w:t>The Sociological Review</w:t>
      </w:r>
      <w:r>
        <w:t xml:space="preserve"> 66 (4): 877–97. https://doi.org/10.1177/0038026118777451.</w:t>
      </w:r>
    </w:p>
    <w:p w14:paraId="2245525A" w14:textId="77777777" w:rsidR="008E0B7B" w:rsidRDefault="008E0B7B" w:rsidP="008E0B7B">
      <w:pPr>
        <w:pStyle w:val="Bibliography"/>
      </w:pPr>
      <w:r>
        <w:t xml:space="preserve">Smith, Julia Llewellyn. 1993. ‘Back from the Brink’. </w:t>
      </w:r>
      <w:r>
        <w:rPr>
          <w:i/>
          <w:iCs/>
        </w:rPr>
        <w:t>The Times</w:t>
      </w:r>
      <w:r>
        <w:t xml:space="preserve"> (London, UK), July 23. The Times Digital Archive.</w:t>
      </w:r>
    </w:p>
    <w:p w14:paraId="587511D9" w14:textId="77777777" w:rsidR="008E0B7B" w:rsidRDefault="008E0B7B" w:rsidP="008E0B7B">
      <w:pPr>
        <w:pStyle w:val="Bibliography"/>
      </w:pPr>
      <w:r>
        <w:t xml:space="preserve">Smith, Katherine E. 2006. ‘Problematising Power Relations in “Elite” Interviews’. </w:t>
      </w:r>
      <w:r>
        <w:rPr>
          <w:i/>
          <w:iCs/>
        </w:rPr>
        <w:t>Geoforum</w:t>
      </w:r>
      <w:r>
        <w:t xml:space="preserve"> 37 (4): 643–53. https://doi.org/10.1016/j.geoforum.2005.11.002.</w:t>
      </w:r>
    </w:p>
    <w:p w14:paraId="1E3A92CB" w14:textId="77777777" w:rsidR="008E0B7B" w:rsidRDefault="008E0B7B" w:rsidP="008E0B7B">
      <w:pPr>
        <w:pStyle w:val="Bibliography"/>
      </w:pPr>
      <w:r>
        <w:t xml:space="preserve">Smith, Neil. 1987. ‘Gentrification and the Rent Gap’. </w:t>
      </w:r>
      <w:r>
        <w:rPr>
          <w:i/>
          <w:iCs/>
        </w:rPr>
        <w:t>Annals of the Association of American Geographers</w:t>
      </w:r>
      <w:r>
        <w:t xml:space="preserve"> 77 (3): 462–65.</w:t>
      </w:r>
    </w:p>
    <w:p w14:paraId="481E2ADF" w14:textId="77777777" w:rsidR="008E0B7B" w:rsidRDefault="008E0B7B" w:rsidP="008E0B7B">
      <w:pPr>
        <w:pStyle w:val="Bibliography"/>
      </w:pPr>
      <w:r>
        <w:t xml:space="preserve">Smith, Neil. 2005. </w:t>
      </w:r>
      <w:r>
        <w:rPr>
          <w:i/>
          <w:iCs/>
        </w:rPr>
        <w:t>The New Urban Frontier: Gentrification and the Revanchist City</w:t>
      </w:r>
      <w:r>
        <w:t>. Routledge. https://doi.org/10.4324/9780203975640.</w:t>
      </w:r>
    </w:p>
    <w:p w14:paraId="485F7E89" w14:textId="77777777" w:rsidR="008E0B7B" w:rsidRDefault="008E0B7B" w:rsidP="008E0B7B">
      <w:pPr>
        <w:pStyle w:val="Bibliography"/>
      </w:pPr>
      <w:r>
        <w:t xml:space="preserve">Smyth, Stewart. 2013. ‘The Privatization of Council Housing: Stock Transfer and the Struggle for Accountable Housing’. </w:t>
      </w:r>
      <w:r>
        <w:rPr>
          <w:i/>
          <w:iCs/>
        </w:rPr>
        <w:t>Critical Social Policy</w:t>
      </w:r>
      <w:r>
        <w:t xml:space="preserve"> 33 (1): 37–56. https://doi.org/10.1177/0261018312457870.</w:t>
      </w:r>
    </w:p>
    <w:p w14:paraId="1286193A" w14:textId="77777777" w:rsidR="008E0B7B" w:rsidRDefault="008E0B7B" w:rsidP="008E0B7B">
      <w:pPr>
        <w:pStyle w:val="Bibliography"/>
      </w:pPr>
      <w:r>
        <w:t xml:space="preserve">Somers, Margaret R. 2022. ‘Dedemocratizing Citizenship: How Neoliberalism Used Market Justice to Move from Welfare Queening to Authoritarianism in 25 Short Years’. </w:t>
      </w:r>
      <w:r>
        <w:rPr>
          <w:i/>
          <w:iCs/>
        </w:rPr>
        <w:t>Citizenship Studies</w:t>
      </w:r>
      <w:r>
        <w:t xml:space="preserve"> 26 (4–5): 661–74. https://doi.org/10.1080/13621025.2022.2091250.</w:t>
      </w:r>
    </w:p>
    <w:p w14:paraId="3D82762D" w14:textId="77777777" w:rsidR="008E0B7B" w:rsidRDefault="008E0B7B" w:rsidP="008E0B7B">
      <w:pPr>
        <w:pStyle w:val="Bibliography"/>
      </w:pPr>
      <w:r>
        <w:t xml:space="preserve">Song, Lin. 2022. ‘Desiring </w:t>
      </w:r>
      <w:r>
        <w:rPr>
          <w:i/>
          <w:iCs/>
        </w:rPr>
        <w:t>Wanghuang</w:t>
      </w:r>
      <w:r>
        <w:rPr>
          <w:rFonts w:ascii="Times New Roman" w:hAnsi="Times New Roman" w:cs="Times New Roman"/>
        </w:rPr>
        <w:t> </w:t>
      </w:r>
      <w:r>
        <w:t xml:space="preserve">: Live Streaming, Porn Consumption and Acts of Citizenship among Gay Men in Digital China’. </w:t>
      </w:r>
      <w:r>
        <w:rPr>
          <w:i/>
          <w:iCs/>
        </w:rPr>
        <w:t>Television &amp; New Media</w:t>
      </w:r>
      <w:r>
        <w:t xml:space="preserve"> 23 (5): 498–508. https://doi.org/10.1177/15274764221080914.</w:t>
      </w:r>
    </w:p>
    <w:p w14:paraId="50FC675A" w14:textId="77777777" w:rsidR="008E0B7B" w:rsidRDefault="008E0B7B" w:rsidP="008E0B7B">
      <w:pPr>
        <w:pStyle w:val="Bibliography"/>
      </w:pPr>
      <w:r>
        <w:t xml:space="preserve">Sparke, Matthew B. 2006. ‘A Neoliberal Nexus: Economy, Security and the Biopolitics of Citizenship on the Border’. </w:t>
      </w:r>
      <w:r>
        <w:rPr>
          <w:i/>
          <w:iCs/>
        </w:rPr>
        <w:t>Political Geography</w:t>
      </w:r>
      <w:r>
        <w:t xml:space="preserve"> 25 (2): 151–80. https://doi.org/10.1016/j.polgeo.2005.10.002.</w:t>
      </w:r>
    </w:p>
    <w:p w14:paraId="7E15BAB6" w14:textId="77777777" w:rsidR="008E0B7B" w:rsidRDefault="008E0B7B" w:rsidP="008E0B7B">
      <w:pPr>
        <w:pStyle w:val="Bibliography"/>
      </w:pPr>
      <w:r>
        <w:t xml:space="preserve">Squire, Vicki. 2017. ‘Unauthorised Migration beyond Structure/Agency? Acts, Interventions, Effects’. </w:t>
      </w:r>
      <w:r>
        <w:rPr>
          <w:i/>
          <w:iCs/>
        </w:rPr>
        <w:t>Politics</w:t>
      </w:r>
      <w:r>
        <w:t xml:space="preserve"> 37 (3): 254–72. https://doi.org/10.1177/0263395716679674.</w:t>
      </w:r>
    </w:p>
    <w:p w14:paraId="22A8E236" w14:textId="77777777" w:rsidR="008E0B7B" w:rsidRDefault="008E0B7B" w:rsidP="008E0B7B">
      <w:pPr>
        <w:pStyle w:val="Bibliography"/>
      </w:pPr>
      <w:r>
        <w:t xml:space="preserve">Staff Reporter. 1985. ‘The Estate That Dolly Kiffin Rescued from Nightmare’. </w:t>
      </w:r>
      <w:r>
        <w:rPr>
          <w:i/>
          <w:iCs/>
        </w:rPr>
        <w:t>The Times</w:t>
      </w:r>
      <w:r>
        <w:t xml:space="preserve"> (London, UK), October 8. The Times Digital Archive.</w:t>
      </w:r>
    </w:p>
    <w:p w14:paraId="43FB0277" w14:textId="77777777" w:rsidR="008E0B7B" w:rsidRDefault="008E0B7B" w:rsidP="008E0B7B">
      <w:pPr>
        <w:pStyle w:val="Bibliography"/>
      </w:pPr>
      <w:r>
        <w:t xml:space="preserve">Stanko, Betsy, and Paul Dawson. 2013. ‘Reflections on the Offending Histories of Those Arrested during the Disorder’. </w:t>
      </w:r>
      <w:r>
        <w:rPr>
          <w:i/>
          <w:iCs/>
        </w:rPr>
        <w:t>Policing</w:t>
      </w:r>
      <w:r>
        <w:t xml:space="preserve"> 7 (1): 3–11. https://doi.org/10.1093/police/pas054.</w:t>
      </w:r>
    </w:p>
    <w:p w14:paraId="0F9A68B3" w14:textId="77777777" w:rsidR="008E0B7B" w:rsidRDefault="008E0B7B" w:rsidP="008E0B7B">
      <w:pPr>
        <w:pStyle w:val="Bibliography"/>
      </w:pPr>
      <w:r>
        <w:t xml:space="preserve">Stavinoha, Ludek. 2019. ‘Communicative Acts of Citizenship: Contesting Europe’s Border in and Through the Media’. </w:t>
      </w:r>
      <w:r>
        <w:rPr>
          <w:i/>
          <w:iCs/>
        </w:rPr>
        <w:t>International Journal of Communication</w:t>
      </w:r>
      <w:r>
        <w:t xml:space="preserve"> 13 (March): 0.</w:t>
      </w:r>
    </w:p>
    <w:p w14:paraId="31AF49DC" w14:textId="77777777" w:rsidR="008E0B7B" w:rsidRDefault="008E0B7B" w:rsidP="008E0B7B">
      <w:pPr>
        <w:pStyle w:val="Bibliography"/>
      </w:pPr>
      <w:r>
        <w:t xml:space="preserve">Steen, Josef. 2025. ‘Green and Independent Socialist Councillors Form New Alliance on Haringey Council’. </w:t>
      </w:r>
      <w:r>
        <w:rPr>
          <w:i/>
          <w:iCs/>
        </w:rPr>
        <w:t>Ham &amp; High</w:t>
      </w:r>
      <w:r>
        <w:t xml:space="preserve">, July 14. </w:t>
      </w:r>
      <w:r>
        <w:lastRenderedPageBreak/>
        <w:t>https://www.hamhigh.co.uk/news/25312820.haringey-council-green-independent-socialist-alliance/.</w:t>
      </w:r>
    </w:p>
    <w:p w14:paraId="2CB1448E" w14:textId="77777777" w:rsidR="008E0B7B" w:rsidRDefault="008E0B7B" w:rsidP="008E0B7B">
      <w:pPr>
        <w:pStyle w:val="Bibliography"/>
      </w:pPr>
      <w:r>
        <w:t xml:space="preserve">Stephens, Mark, and Adam Stephenson. 2016. ‘Housing Policy in the Austerity Age and Beyond’. In </w:t>
      </w:r>
      <w:r>
        <w:rPr>
          <w:i/>
          <w:iCs/>
        </w:rPr>
        <w:t>Social Policy Review 28</w:t>
      </w:r>
      <w:r>
        <w:t>, edited by Menno Fenger, John Hudson, and Catherine Needham. Policy Press. https://doi.org/10.51952/9781447331803.ch004.</w:t>
      </w:r>
    </w:p>
    <w:p w14:paraId="279FC7F1" w14:textId="77777777" w:rsidR="008E0B7B" w:rsidRDefault="008E0B7B" w:rsidP="008E0B7B">
      <w:pPr>
        <w:pStyle w:val="Bibliography"/>
      </w:pPr>
      <w:r>
        <w:t xml:space="preserve">Stewart, Angus. 1995. ‘Two Conceptions of Citizenship’. </w:t>
      </w:r>
      <w:r>
        <w:rPr>
          <w:i/>
          <w:iCs/>
        </w:rPr>
        <w:t>The British Journal of Sociology</w:t>
      </w:r>
      <w:r>
        <w:t xml:space="preserve"> 46 (1): 63–78. https://doi.org/10.2307/591623.</w:t>
      </w:r>
    </w:p>
    <w:p w14:paraId="37C61F8D" w14:textId="77777777" w:rsidR="008E0B7B" w:rsidRDefault="008E0B7B" w:rsidP="008E0B7B">
      <w:pPr>
        <w:pStyle w:val="Bibliography"/>
      </w:pPr>
      <w:r>
        <w:t>Stirling, Clasford. 2022. ‘The Voices of Broadwater Farm - Clasford Stirling MBE’. Interview by Lost Block Collective. August 18. https://www.youtube.com/watch?v=kx6PtEipg0M.</w:t>
      </w:r>
    </w:p>
    <w:p w14:paraId="46B52423" w14:textId="77777777" w:rsidR="008E0B7B" w:rsidRDefault="008E0B7B" w:rsidP="008E0B7B">
      <w:pPr>
        <w:pStyle w:val="Bibliography"/>
      </w:pPr>
      <w:r>
        <w:t xml:space="preserve">Stokke, Kristian. 2017. ‘Politics of Citizenship: Towards an Analytical Framework’. </w:t>
      </w:r>
      <w:r>
        <w:rPr>
          <w:i/>
          <w:iCs/>
        </w:rPr>
        <w:t>Norsk Geografisk Tidsskrift - Norwegian Journal of Geography</w:t>
      </w:r>
      <w:r>
        <w:t xml:space="preserve"> 71 (4): 193–207. https://doi.org/10.1080/00291951.2017.1369454.</w:t>
      </w:r>
    </w:p>
    <w:p w14:paraId="2E382A3C" w14:textId="77777777" w:rsidR="008E0B7B" w:rsidRDefault="008E0B7B" w:rsidP="008E0B7B">
      <w:pPr>
        <w:pStyle w:val="Bibliography"/>
      </w:pPr>
      <w:r>
        <w:t xml:space="preserve">Stone, Clarence N. 1989. </w:t>
      </w:r>
      <w:r>
        <w:rPr>
          <w:i/>
          <w:iCs/>
        </w:rPr>
        <w:t>Regime Politics: Governing Atlanta, 1946-1988</w:t>
      </w:r>
      <w:r>
        <w:t>. Studies in Government and Public Policy. University Press of Kansas.</w:t>
      </w:r>
    </w:p>
    <w:p w14:paraId="3BB8F944" w14:textId="77777777" w:rsidR="008E0B7B" w:rsidRDefault="008E0B7B" w:rsidP="008E0B7B">
      <w:pPr>
        <w:pStyle w:val="Bibliography"/>
      </w:pPr>
      <w:r>
        <w:t xml:space="preserve">Stott, Clifford, John Drury, and Steve Reicher. 2017. ‘On the Role of a Social Identity Analysis in Articulating Structure and Collective Action: The 2011 Riots in Tottenham and Hackney’. </w:t>
      </w:r>
      <w:r>
        <w:rPr>
          <w:i/>
          <w:iCs/>
        </w:rPr>
        <w:t>The British Journal of Criminology</w:t>
      </w:r>
      <w:r>
        <w:t xml:space="preserve"> 57 (4): 964–81. https://doi.org/10.1093/bjc/azw036.</w:t>
      </w:r>
    </w:p>
    <w:p w14:paraId="423F8BC1" w14:textId="77777777" w:rsidR="008E0B7B" w:rsidRDefault="008E0B7B" w:rsidP="008E0B7B">
      <w:pPr>
        <w:pStyle w:val="Bibliography"/>
      </w:pPr>
      <w:r>
        <w:t xml:space="preserve">Strange, Gerard. 2014. ‘Depoliticisation, the Management of Money and the Renewal of Social Democracy: New Labour’s Keynesianism and the Political Economy of “Discretionary Constraint”’. </w:t>
      </w:r>
      <w:r>
        <w:rPr>
          <w:i/>
          <w:iCs/>
        </w:rPr>
        <w:t>New Political Economy</w:t>
      </w:r>
      <w:r>
        <w:t xml:space="preserve"> 19 (1): 138–54. https://doi.org/10.1080/13563467.2013.779648.</w:t>
      </w:r>
    </w:p>
    <w:p w14:paraId="1AE15417" w14:textId="77777777" w:rsidR="008E0B7B" w:rsidRDefault="008E0B7B" w:rsidP="008E0B7B">
      <w:pPr>
        <w:pStyle w:val="Bibliography"/>
      </w:pPr>
      <w:r>
        <w:t xml:space="preserve">Strong, Samuel. 2014. ‘Underclass Ontologies’. </w:t>
      </w:r>
      <w:r>
        <w:rPr>
          <w:i/>
          <w:iCs/>
        </w:rPr>
        <w:t>Political Geography</w:t>
      </w:r>
      <w:r>
        <w:t xml:space="preserve"> 42 (September): 117–20. https://doi.org/10.1016/j.polgeo.2014.07.008.</w:t>
      </w:r>
    </w:p>
    <w:p w14:paraId="5163BC30" w14:textId="77777777" w:rsidR="008E0B7B" w:rsidRDefault="008E0B7B" w:rsidP="008E0B7B">
      <w:pPr>
        <w:pStyle w:val="Bibliography"/>
      </w:pPr>
      <w:r>
        <w:t xml:space="preserve">Stroud, Sam. 2022. ‘The Anti-Migrant Myths That Feed the Housing Crisis’. </w:t>
      </w:r>
      <w:r>
        <w:rPr>
          <w:i/>
          <w:iCs/>
        </w:rPr>
        <w:t>Tribune</w:t>
      </w:r>
      <w:r>
        <w:t>, November 3. https://tribunemag.co.uk/2022/11/the-anti-migrant-myths-that-feed-the-housing-crisis.</w:t>
      </w:r>
    </w:p>
    <w:p w14:paraId="7A37625D" w14:textId="77777777" w:rsidR="008E0B7B" w:rsidRDefault="008E0B7B" w:rsidP="008E0B7B">
      <w:pPr>
        <w:pStyle w:val="Bibliography"/>
      </w:pPr>
      <w:r>
        <w:t xml:space="preserve">Swartz, Sharlene. 2011. ‘“Going Deep” and “Giving Back”: Strategies for Exceeding Ethical Expectations When Researching amongst Vulnerable Youth’. </w:t>
      </w:r>
      <w:r>
        <w:rPr>
          <w:i/>
          <w:iCs/>
        </w:rPr>
        <w:t>Qualitative Research</w:t>
      </w:r>
      <w:r>
        <w:t xml:space="preserve"> 11 (1): 47–68. https://doi.org/10.1177/1468794110385885.</w:t>
      </w:r>
    </w:p>
    <w:p w14:paraId="39C57D53" w14:textId="77777777" w:rsidR="008E0B7B" w:rsidRDefault="008E0B7B" w:rsidP="008E0B7B">
      <w:pPr>
        <w:pStyle w:val="Bibliography"/>
      </w:pPr>
      <w:r>
        <w:t xml:space="preserve">Swerts, Thomas. 2021. ‘Power and Empowerent’. In </w:t>
      </w:r>
      <w:r>
        <w:rPr>
          <w:i/>
          <w:iCs/>
        </w:rPr>
        <w:t>Research Ethics for Human Geography: A Handbook for Students</w:t>
      </w:r>
      <w:r>
        <w:t>, by Helen F. Wilson and Jonathan Darling. SAGE Publications, Limited. http://ebookcentral.proquest.com/lib/durham/detail.action?docID=6383656.</w:t>
      </w:r>
    </w:p>
    <w:p w14:paraId="6865B696" w14:textId="77777777" w:rsidR="008E0B7B" w:rsidRDefault="008E0B7B" w:rsidP="008E0B7B">
      <w:pPr>
        <w:pStyle w:val="Bibliography"/>
      </w:pPr>
      <w:r>
        <w:t xml:space="preserve">Taaffe, Peter, and Tony Mulhearn. 1988. </w:t>
      </w:r>
      <w:r>
        <w:rPr>
          <w:i/>
          <w:iCs/>
        </w:rPr>
        <w:t>Liverpool: A City That Dared to Fight</w:t>
      </w:r>
      <w:r>
        <w:t>. 1. ed. Fortress Books.</w:t>
      </w:r>
    </w:p>
    <w:p w14:paraId="211A85BD" w14:textId="77777777" w:rsidR="008E0B7B" w:rsidRDefault="008E0B7B" w:rsidP="008E0B7B">
      <w:pPr>
        <w:pStyle w:val="Bibliography"/>
      </w:pPr>
      <w:r>
        <w:lastRenderedPageBreak/>
        <w:t xml:space="preserve">Taft, Isabelle. 2024. ‘How Universities Cracked Down on Pro-Palestinian Activism’. U.S. </w:t>
      </w:r>
      <w:r>
        <w:rPr>
          <w:i/>
          <w:iCs/>
        </w:rPr>
        <w:t>The New York Times</w:t>
      </w:r>
      <w:r>
        <w:t>, November 25. https://www.nytimes.com/2024/11/25/us/university-crackdowns-protests-israel-hamas-war.html.</w:t>
      </w:r>
    </w:p>
    <w:p w14:paraId="1189770F" w14:textId="77777777" w:rsidR="008E0B7B" w:rsidRDefault="008E0B7B" w:rsidP="008E0B7B">
      <w:pPr>
        <w:pStyle w:val="Bibliography"/>
      </w:pPr>
      <w:r>
        <w:t xml:space="preserve">Tansel, Cemal Burak. 2017. </w:t>
      </w:r>
      <w:r>
        <w:rPr>
          <w:i/>
          <w:iCs/>
        </w:rPr>
        <w:t>States of Discipline: Authoritarian Neoliberalism and the Contested Reproduction of Capitalist Order</w:t>
      </w:r>
      <w:r>
        <w:t>. Rowman &amp; Littlefield.</w:t>
      </w:r>
    </w:p>
    <w:p w14:paraId="61A9344B" w14:textId="77777777" w:rsidR="008E0B7B" w:rsidRDefault="008E0B7B" w:rsidP="008E0B7B">
      <w:pPr>
        <w:pStyle w:val="Bibliography"/>
      </w:pPr>
      <w:r>
        <w:t xml:space="preserve">Tansel, Cemal Burak. 2019. ‘Reproducing Authoritarian Neoliberalism in Turkey: Urban Governance and State Restructuring in the Shadow of Executive Centralization’. </w:t>
      </w:r>
      <w:r>
        <w:rPr>
          <w:i/>
          <w:iCs/>
        </w:rPr>
        <w:t>Globalizations</w:t>
      </w:r>
      <w:r>
        <w:t xml:space="preserve"> 16 (3): 320–35. https://doi.org/10.1080/14747731.2018.1502494.</w:t>
      </w:r>
    </w:p>
    <w:p w14:paraId="334803C7" w14:textId="77777777" w:rsidR="008E0B7B" w:rsidRDefault="008E0B7B" w:rsidP="008E0B7B">
      <w:pPr>
        <w:pStyle w:val="Bibliography"/>
      </w:pPr>
      <w:r>
        <w:t xml:space="preserve">Teets, Jessica C. 2013. ‘Let Many Civil Societies Bloom: The Rise of Consultative Authoritarianism in China’. </w:t>
      </w:r>
      <w:r>
        <w:rPr>
          <w:i/>
          <w:iCs/>
        </w:rPr>
        <w:t>The China Quarterly</w:t>
      </w:r>
      <w:r>
        <w:t xml:space="preserve"> 213 (March): 19–38. https://doi.org/10.1017/S0305741012001269.</w:t>
      </w:r>
    </w:p>
    <w:p w14:paraId="6CC5BDA9" w14:textId="77777777" w:rsidR="008E0B7B" w:rsidRDefault="008E0B7B" w:rsidP="008E0B7B">
      <w:pPr>
        <w:pStyle w:val="Bibliography"/>
      </w:pPr>
      <w:r>
        <w:t>Thomson, Bernice. 2018. ‘Council Estate Discourses: A Critical Discourse Analysis of Media and Residents’. Phd, University of Gloucestershire. https://eprints.glos.ac.uk/8358/.</w:t>
      </w:r>
    </w:p>
    <w:p w14:paraId="7909EA76" w14:textId="77777777" w:rsidR="008E0B7B" w:rsidRDefault="008E0B7B" w:rsidP="008E0B7B">
      <w:pPr>
        <w:pStyle w:val="Bibliography"/>
      </w:pPr>
      <w:r>
        <w:t xml:space="preserve">Thomson, Charles. 2021. ‘Revealed: How Council Paid £23m for an Office Block Valued at £10m’. Local Government. </w:t>
      </w:r>
      <w:r>
        <w:rPr>
          <w:i/>
          <w:iCs/>
        </w:rPr>
        <w:t>Ham &amp; High</w:t>
      </w:r>
      <w:r>
        <w:t xml:space="preserve"> (London (UK), United Kingdom), April 1. https://www.hamhigh.co.uk/news/local-council/21335115.revealed-council-paid-23m-office-block-valued-10m/.</w:t>
      </w:r>
    </w:p>
    <w:p w14:paraId="0C74AAA1" w14:textId="77777777" w:rsidR="008E0B7B" w:rsidRDefault="008E0B7B" w:rsidP="008E0B7B">
      <w:pPr>
        <w:pStyle w:val="Bibliography"/>
      </w:pPr>
      <w:r>
        <w:t xml:space="preserve">Thrasher, Michael, Galina Borisyuk, Mary Shears, and Colin Rallings. 2015. ‘Councillors in Context: The Impact of Place upon Elected Representatives’. </w:t>
      </w:r>
      <w:r>
        <w:rPr>
          <w:i/>
          <w:iCs/>
        </w:rPr>
        <w:t>Local Government Studies</w:t>
      </w:r>
      <w:r>
        <w:t xml:space="preserve"> 41 (5): 713–34. https://doi.org/10.1080/03003930.2015.1020372.</w:t>
      </w:r>
    </w:p>
    <w:p w14:paraId="72C29C68" w14:textId="77777777" w:rsidR="008E0B7B" w:rsidRDefault="008E0B7B" w:rsidP="008E0B7B">
      <w:pPr>
        <w:pStyle w:val="Bibliography"/>
      </w:pPr>
      <w:r>
        <w:t xml:space="preserve">Tissier, Damian. 2021. ‘Open Letter on the Love Lane Ballot’. </w:t>
      </w:r>
      <w:r>
        <w:rPr>
          <w:i/>
          <w:iCs/>
        </w:rPr>
        <w:t>Haringey Defend Council Housing</w:t>
      </w:r>
      <w:r>
        <w:t>, September 19. https://haringeydefendcouncilhousingblog.wordpress.com/2021/09/19/open-letter-on-the-love-lane-ballot/.</w:t>
      </w:r>
    </w:p>
    <w:p w14:paraId="2EF72B48" w14:textId="77777777" w:rsidR="008E0B7B" w:rsidRDefault="008E0B7B" w:rsidP="008E0B7B">
      <w:pPr>
        <w:pStyle w:val="Bibliography"/>
      </w:pPr>
      <w:r>
        <w:t xml:space="preserve">Toms, Adam. 2024. ‘Shop Owners Distraught as Council ‘forces Them out’ after 50 Years’. North London News. </w:t>
      </w:r>
      <w:r>
        <w:rPr>
          <w:i/>
          <w:iCs/>
        </w:rPr>
        <w:t>MyLondon</w:t>
      </w:r>
      <w:r>
        <w:t>, January 21. https://www.mylondon.news/news/north-london-news/shop-owners-distraught-north-london-28460206.</w:t>
      </w:r>
    </w:p>
    <w:p w14:paraId="5B443967" w14:textId="77777777" w:rsidR="008E0B7B" w:rsidRDefault="008E0B7B" w:rsidP="008E0B7B">
      <w:pPr>
        <w:pStyle w:val="Bibliography"/>
      </w:pPr>
      <w:r>
        <w:rPr>
          <w:i/>
          <w:iCs/>
        </w:rPr>
        <w:t>Tottenham and Wood Green Independent</w:t>
      </w:r>
      <w:r>
        <w:t>. 2021. ‘“We Are Stuck with It” - High Road West Redevelopment to Go Ahead’. July 13. https://www.thetottenhamindependent.co.uk/news/19438438.haringey-council-stuck-with-high-road-west-redevelopment/.</w:t>
      </w:r>
    </w:p>
    <w:p w14:paraId="635B12DC" w14:textId="77777777" w:rsidR="008E0B7B" w:rsidRDefault="008E0B7B" w:rsidP="008E0B7B">
      <w:pPr>
        <w:pStyle w:val="Bibliography"/>
      </w:pPr>
      <w:r>
        <w:t xml:space="preserve">Treadwell, James, Daniel Briggs, Simon Winlow, and Steve Hall. 2013. ‘Shopocalypse Now: Consumer Culture and the English Riots of 2011’. </w:t>
      </w:r>
      <w:r>
        <w:rPr>
          <w:i/>
          <w:iCs/>
        </w:rPr>
        <w:t>The British Journal of Criminology</w:t>
      </w:r>
      <w:r>
        <w:t xml:space="preserve"> 53 (1): 1–17. https://doi.org/10.1093/bjc/azs054.</w:t>
      </w:r>
    </w:p>
    <w:p w14:paraId="37EF7816" w14:textId="77777777" w:rsidR="008E0B7B" w:rsidRDefault="008E0B7B" w:rsidP="008E0B7B">
      <w:pPr>
        <w:pStyle w:val="Bibliography"/>
      </w:pPr>
      <w:r>
        <w:lastRenderedPageBreak/>
        <w:t xml:space="preserve">Tuck, Eve. 2009. ‘Suspending Damage: A Letter to Communities’. </w:t>
      </w:r>
      <w:r>
        <w:rPr>
          <w:i/>
          <w:iCs/>
        </w:rPr>
        <w:t>Harvard Educational Review</w:t>
      </w:r>
      <w:r>
        <w:t xml:space="preserve"> 79 (3): 409–28. https://doi.org/10.17763/haer.79.3.n0016675661t3n15.</w:t>
      </w:r>
    </w:p>
    <w:p w14:paraId="78DEA8A0" w14:textId="77777777" w:rsidR="008E0B7B" w:rsidRDefault="008E0B7B" w:rsidP="008E0B7B">
      <w:pPr>
        <w:pStyle w:val="Bibliography"/>
      </w:pPr>
      <w:r>
        <w:t xml:space="preserve">Turnberry Real Estate, Bilfinger GVA, and Pinsent Masons. 2015. </w:t>
      </w:r>
      <w:r>
        <w:rPr>
          <w:i/>
          <w:iCs/>
        </w:rPr>
        <w:t>Haringey Development Vehicle Business Case</w:t>
      </w:r>
      <w:r>
        <w:t>. Haringey Borough Council. https://www.minutes.haringey.gov.uk/documents/s81584/151028%20HDV%20APPENDIX%20A1%20-%20Business%20Case%20public%20version.pdf.</w:t>
      </w:r>
    </w:p>
    <w:p w14:paraId="10F7EAA7" w14:textId="77777777" w:rsidR="008E0B7B" w:rsidRDefault="008E0B7B" w:rsidP="008E0B7B">
      <w:pPr>
        <w:pStyle w:val="Bibliography"/>
      </w:pPr>
      <w:r>
        <w:t xml:space="preserve">Turner, Bryan S. 2001. ‘The Erosion of Citizenship’. </w:t>
      </w:r>
      <w:r>
        <w:rPr>
          <w:i/>
          <w:iCs/>
        </w:rPr>
        <w:t>The British Journal of Sociology</w:t>
      </w:r>
      <w:r>
        <w:t xml:space="preserve"> 52 (2): 189–209. https://doi.org/10.1080/00071310120044944.</w:t>
      </w:r>
    </w:p>
    <w:p w14:paraId="11F1CB22" w14:textId="77777777" w:rsidR="008E0B7B" w:rsidRDefault="008E0B7B" w:rsidP="008E0B7B">
      <w:pPr>
        <w:pStyle w:val="Bibliography"/>
      </w:pPr>
      <w:r>
        <w:t xml:space="preserve">Tyler, Imogen. 2008. ‘“Chav Mum Chav Scum”’. </w:t>
      </w:r>
      <w:r>
        <w:rPr>
          <w:i/>
          <w:iCs/>
        </w:rPr>
        <w:t>Feminist Media Studies</w:t>
      </w:r>
      <w:r>
        <w:t xml:space="preserve"> 8 (1): 17–34. https://doi.org/10.1080/14680770701824779.</w:t>
      </w:r>
    </w:p>
    <w:p w14:paraId="040A8F41" w14:textId="77777777" w:rsidR="008E0B7B" w:rsidRDefault="008E0B7B" w:rsidP="008E0B7B">
      <w:pPr>
        <w:pStyle w:val="Bibliography"/>
      </w:pPr>
      <w:r>
        <w:t xml:space="preserve">Tyler, Imogen. 2010. ‘Designed to Fail: A Biopolitics of British Citizenship’. </w:t>
      </w:r>
      <w:r>
        <w:rPr>
          <w:i/>
          <w:iCs/>
        </w:rPr>
        <w:t>Citizenship Studies</w:t>
      </w:r>
      <w:r>
        <w:t xml:space="preserve"> 14 (1): 61–74. https://doi.org/10.1080/13621020903466357.</w:t>
      </w:r>
    </w:p>
    <w:p w14:paraId="2426510F" w14:textId="77777777" w:rsidR="008E0B7B" w:rsidRDefault="008E0B7B" w:rsidP="008E0B7B">
      <w:pPr>
        <w:pStyle w:val="Bibliography"/>
      </w:pPr>
      <w:r>
        <w:t xml:space="preserve">Tyler, Imogen. 2013. </w:t>
      </w:r>
      <w:r>
        <w:rPr>
          <w:i/>
          <w:iCs/>
        </w:rPr>
        <w:t>Revolting Subjects: Social Abjection and Resistance in Neoliberal Britain</w:t>
      </w:r>
      <w:r>
        <w:t>. 1st edition. Zed Books Ltd.</w:t>
      </w:r>
    </w:p>
    <w:p w14:paraId="6D0078E0" w14:textId="77777777" w:rsidR="008E0B7B" w:rsidRDefault="008E0B7B" w:rsidP="008E0B7B">
      <w:pPr>
        <w:pStyle w:val="Bibliography"/>
      </w:pPr>
      <w:r>
        <w:t>UK Independence Party. 2026. ‘No council houses for migrants.’ Facebook, January 10. https://www.facebook.com/TheUKIndependenceParty/photos/no-council-houses-for-migrants/1441759547318743/.</w:t>
      </w:r>
    </w:p>
    <w:p w14:paraId="462A0DB4" w14:textId="77777777" w:rsidR="008E0B7B" w:rsidRDefault="008E0B7B" w:rsidP="008E0B7B">
      <w:pPr>
        <w:pStyle w:val="Bibliography"/>
      </w:pPr>
      <w:r>
        <w:t>UNITE Politics. 2015. ‘A Guide to How the Labour Party Works’. UNITE The Union, December. https://www.unitetheunion.org/media/1375/guide-to-labour-party-structures.pdf.</w:t>
      </w:r>
    </w:p>
    <w:p w14:paraId="565C949F" w14:textId="77777777" w:rsidR="008E0B7B" w:rsidRDefault="008E0B7B" w:rsidP="008E0B7B">
      <w:pPr>
        <w:pStyle w:val="Bibliography"/>
      </w:pPr>
      <w:r>
        <w:t xml:space="preserve">Valentine, Gill. 2005. ‘Tell Me about . . .: Using Interviews as a Research Methodology’. In </w:t>
      </w:r>
      <w:r>
        <w:rPr>
          <w:i/>
          <w:iCs/>
        </w:rPr>
        <w:t>Methods in Human Geography</w:t>
      </w:r>
      <w:r>
        <w:t>, 2nd edn. Routledge.</w:t>
      </w:r>
    </w:p>
    <w:p w14:paraId="38BE769F" w14:textId="77777777" w:rsidR="008E0B7B" w:rsidRDefault="008E0B7B" w:rsidP="008E0B7B">
      <w:pPr>
        <w:pStyle w:val="Bibliography"/>
      </w:pPr>
      <w:r>
        <w:t xml:space="preserve">Vertovec, Steven. 2007. ‘Super-Diversity and Its Implications’. </w:t>
      </w:r>
      <w:r>
        <w:rPr>
          <w:i/>
          <w:iCs/>
        </w:rPr>
        <w:t>Ethnic and Racial Studies</w:t>
      </w:r>
      <w:r>
        <w:t xml:space="preserve"> 30 (6): 1024–54. https://doi.org/10.1080/01419870701599465.</w:t>
      </w:r>
    </w:p>
    <w:p w14:paraId="7DD989F3" w14:textId="77777777" w:rsidR="008E0B7B" w:rsidRDefault="008E0B7B" w:rsidP="008E0B7B">
      <w:pPr>
        <w:pStyle w:val="Bibliography"/>
      </w:pPr>
      <w:r>
        <w:t xml:space="preserve">Villiers, Charl de, Muhammad Bilal Farooq, and Matteo Molinari. 2021. ‘Qualitative Research Interviews Using Online Video Technology – Challenges and Opportunities’. </w:t>
      </w:r>
      <w:r>
        <w:rPr>
          <w:i/>
          <w:iCs/>
        </w:rPr>
        <w:t>Meditari Accountancy Research</w:t>
      </w:r>
      <w:r>
        <w:t xml:space="preserve"> 30 (6): 1764–82. https://doi.org/10.1108/MEDAR-03-2021-1252.</w:t>
      </w:r>
    </w:p>
    <w:p w14:paraId="1D8E2777" w14:textId="77777777" w:rsidR="008E0B7B" w:rsidRDefault="008E0B7B" w:rsidP="008E0B7B">
      <w:pPr>
        <w:pStyle w:val="Bibliography"/>
      </w:pPr>
      <w:r>
        <w:t xml:space="preserve">Visser, Kirsten. 2020. ‘“Because We’re All Different” – Everyday Experiences of Belonging among Young People from Immigrant Backgrounds in Tottenham’. </w:t>
      </w:r>
      <w:r>
        <w:rPr>
          <w:i/>
          <w:iCs/>
        </w:rPr>
        <w:t>Geoforum</w:t>
      </w:r>
      <w:r>
        <w:t xml:space="preserve"> 116 (November): 322–30. https://doi.org/10.1016/j.geoforum.2017.02.002.</w:t>
      </w:r>
    </w:p>
    <w:p w14:paraId="718CC131" w14:textId="77777777" w:rsidR="008E0B7B" w:rsidRDefault="008E0B7B" w:rsidP="008E0B7B">
      <w:pPr>
        <w:pStyle w:val="Bibliography"/>
      </w:pPr>
      <w:r>
        <w:t xml:space="preserve">Wacquant, Loïc. 2009. </w:t>
      </w:r>
      <w:r>
        <w:rPr>
          <w:i/>
          <w:iCs/>
        </w:rPr>
        <w:t>Punishing the Poor: The Neoliberal Government of Social Insecurity</w:t>
      </w:r>
      <w:r>
        <w:t>. Illustrated edition. Duke University Press.</w:t>
      </w:r>
    </w:p>
    <w:p w14:paraId="3FDC6126" w14:textId="77777777" w:rsidR="008E0B7B" w:rsidRDefault="008E0B7B" w:rsidP="008E0B7B">
      <w:pPr>
        <w:pStyle w:val="Bibliography"/>
      </w:pPr>
      <w:r>
        <w:lastRenderedPageBreak/>
        <w:t xml:space="preserve">Wacquant, Loïc, Tom Slater, and Virgílio Borges Pereira. 2014. ‘Territorial Stigmatization in Action’. </w:t>
      </w:r>
      <w:r>
        <w:rPr>
          <w:i/>
          <w:iCs/>
        </w:rPr>
        <w:t>Environment and Planning A: Economy and Space</w:t>
      </w:r>
      <w:r>
        <w:t xml:space="preserve"> 46 (6): 1270–80. https://doi.org/10.1068/a4606ge.</w:t>
      </w:r>
    </w:p>
    <w:p w14:paraId="0487BB76" w14:textId="77777777" w:rsidR="008E0B7B" w:rsidRDefault="008E0B7B" w:rsidP="008E0B7B">
      <w:pPr>
        <w:pStyle w:val="Bibliography"/>
      </w:pPr>
      <w:r>
        <w:t xml:space="preserve">Wainwright, Hilary. 1987. </w:t>
      </w:r>
      <w:r>
        <w:rPr>
          <w:i/>
          <w:iCs/>
        </w:rPr>
        <w:t>Labour: A Tale of Two Parties</w:t>
      </w:r>
      <w:r>
        <w:t>. Hogarth.</w:t>
      </w:r>
    </w:p>
    <w:p w14:paraId="662F4A5F" w14:textId="77777777" w:rsidR="008E0B7B" w:rsidRDefault="008E0B7B" w:rsidP="008E0B7B">
      <w:pPr>
        <w:pStyle w:val="Bibliography"/>
      </w:pPr>
      <w:r>
        <w:t xml:space="preserve">Wainwright, Hilary. 2022. ‘A Tale of Two Parties Revisited’. In </w:t>
      </w:r>
      <w:r>
        <w:rPr>
          <w:i/>
          <w:iCs/>
        </w:rPr>
        <w:t>Neil Kinnock</w:t>
      </w:r>
      <w:r>
        <w:t>. Routledge.</w:t>
      </w:r>
    </w:p>
    <w:p w14:paraId="3F451AAB" w14:textId="77777777" w:rsidR="008E0B7B" w:rsidRDefault="008E0B7B" w:rsidP="008E0B7B">
      <w:pPr>
        <w:pStyle w:val="Bibliography"/>
      </w:pPr>
      <w:r>
        <w:t xml:space="preserve">Walters, William. 2008. ‘Acts of Demonstration: Mapping the Territory of (Non-)Citizenship’. In </w:t>
      </w:r>
      <w:r>
        <w:rPr>
          <w:i/>
          <w:iCs/>
        </w:rPr>
        <w:t>Acts of Citizenship</w:t>
      </w:r>
      <w:r>
        <w:t>, edited by Engin Isin and Greg Marc Nielsen. Zed Books Ltd.</w:t>
      </w:r>
    </w:p>
    <w:p w14:paraId="591CEB22" w14:textId="77777777" w:rsidR="008E0B7B" w:rsidRDefault="008E0B7B" w:rsidP="008E0B7B">
      <w:pPr>
        <w:pStyle w:val="Bibliography"/>
      </w:pPr>
      <w:r>
        <w:t xml:space="preserve">Ward, Bradley. 2022. ‘Managing Democracy in Corbyn’s Labour Party: Faction-Fighting or Movement-Building?’ </w:t>
      </w:r>
      <w:r>
        <w:rPr>
          <w:i/>
          <w:iCs/>
        </w:rPr>
        <w:t>British Politics</w:t>
      </w:r>
      <w:r>
        <w:t xml:space="preserve"> 17 (3): 353–65. https://doi.org/10.1057/s41293-021-00158-8.</w:t>
      </w:r>
    </w:p>
    <w:p w14:paraId="45756F76" w14:textId="77777777" w:rsidR="008E0B7B" w:rsidRDefault="008E0B7B" w:rsidP="008E0B7B">
      <w:pPr>
        <w:pStyle w:val="Bibliography"/>
      </w:pPr>
      <w:r>
        <w:t xml:space="preserve">Ward, Joseph, and Thomas Da Costa Vieira. 2024. ‘Authoritarian Neoliberalism between Johnson and Jupiter: Declining Legitimacy and the Elevation of Home Affairs in Post-Brexit Britain and Macron’s France’. </w:t>
      </w:r>
      <w:r>
        <w:rPr>
          <w:i/>
          <w:iCs/>
        </w:rPr>
        <w:t>Geoforum</w:t>
      </w:r>
      <w:r>
        <w:t xml:space="preserve"> 149 (February): 103942. https://doi.org/10.1016/j.geoforum.2024.103942.</w:t>
      </w:r>
    </w:p>
    <w:p w14:paraId="4541E23A" w14:textId="77777777" w:rsidR="008E0B7B" w:rsidRDefault="008E0B7B" w:rsidP="008E0B7B">
      <w:pPr>
        <w:pStyle w:val="Bibliography"/>
      </w:pPr>
      <w:r>
        <w:t xml:space="preserve">Ward, Joseph, and Bradley Ward. 2023. ‘From Brexit to COVID-19: The Johnson Government, Executive Centralisation and Authoritarian Populism’. </w:t>
      </w:r>
      <w:r>
        <w:rPr>
          <w:i/>
          <w:iCs/>
        </w:rPr>
        <w:t>Political Studies</w:t>
      </w:r>
      <w:r>
        <w:t xml:space="preserve"> 71 (4): 1171–89. https://doi.org/10.1177/00323217211063730.</w:t>
      </w:r>
    </w:p>
    <w:p w14:paraId="0B90952E" w14:textId="77777777" w:rsidR="008E0B7B" w:rsidRDefault="008E0B7B" w:rsidP="008E0B7B">
      <w:pPr>
        <w:pStyle w:val="Bibliography"/>
      </w:pPr>
      <w:r>
        <w:t xml:space="preserve">Wargent, Matthew, Gavin Parker, and Emma Street. 2020. ‘Public-Private Entanglements: Consultant Use by Local Planning Authorities in England’. </w:t>
      </w:r>
      <w:r>
        <w:rPr>
          <w:i/>
          <w:iCs/>
        </w:rPr>
        <w:t>European Planning Studies</w:t>
      </w:r>
      <w:r>
        <w:t xml:space="preserve"> 28 (1): 192–210. https://doi.org/10.1080/09654313.2019.1677565.</w:t>
      </w:r>
    </w:p>
    <w:p w14:paraId="44B7AB7A" w14:textId="77777777" w:rsidR="008E0B7B" w:rsidRDefault="008E0B7B" w:rsidP="008E0B7B">
      <w:pPr>
        <w:pStyle w:val="Bibliography"/>
      </w:pPr>
      <w:r>
        <w:t xml:space="preserve">Watkins, Case. 2020. ‘The Field and the Work: Hybridity as Mantra and Method’. </w:t>
      </w:r>
      <w:r>
        <w:rPr>
          <w:i/>
          <w:iCs/>
        </w:rPr>
        <w:t>Geographical Review</w:t>
      </w:r>
      <w:r>
        <w:t xml:space="preserve"> 110 (1–2): 8–22. https://doi.org/10.1111/gere.12353.</w:t>
      </w:r>
    </w:p>
    <w:p w14:paraId="553A2FC6" w14:textId="77777777" w:rsidR="008E0B7B" w:rsidRDefault="008E0B7B" w:rsidP="008E0B7B">
      <w:pPr>
        <w:pStyle w:val="Bibliography"/>
      </w:pPr>
      <w:r>
        <w:t xml:space="preserve">Watson, Iain. 2018. ‘Labour NEC Intervenes in Haringey Development Row’. UK Politics. </w:t>
      </w:r>
      <w:r>
        <w:rPr>
          <w:i/>
          <w:iCs/>
        </w:rPr>
        <w:t>BBC News</w:t>
      </w:r>
      <w:r>
        <w:t>, January 23. https://www.bbc.com/news/uk-politics-42795708.</w:t>
      </w:r>
    </w:p>
    <w:p w14:paraId="3447B192" w14:textId="77777777" w:rsidR="008E0B7B" w:rsidRDefault="008E0B7B" w:rsidP="008E0B7B">
      <w:pPr>
        <w:pStyle w:val="Bibliography"/>
      </w:pPr>
      <w:r>
        <w:t xml:space="preserve">Watt, Paul. 2008. ‘“Underclass” and “Ordinary People” Discourses: Representing/Re-Presenting Council Tenants in a Housing Campaign’. </w:t>
      </w:r>
      <w:r>
        <w:rPr>
          <w:i/>
          <w:iCs/>
        </w:rPr>
        <w:t>Critical Discourse Studies</w:t>
      </w:r>
      <w:r>
        <w:t xml:space="preserve"> 5 (4): 345–57. https://doi.org/10.1080/17405900802405288.</w:t>
      </w:r>
    </w:p>
    <w:p w14:paraId="3D74046F" w14:textId="77777777" w:rsidR="008E0B7B" w:rsidRDefault="008E0B7B" w:rsidP="008E0B7B">
      <w:pPr>
        <w:pStyle w:val="Bibliography"/>
      </w:pPr>
      <w:r>
        <w:t xml:space="preserve">Watt, Paul. 2021a. ‘Displacement and Estate Demolition: Multi-Scalar Place Attachment among Relocated Social Housing Residents in London’. </w:t>
      </w:r>
      <w:r>
        <w:rPr>
          <w:i/>
          <w:iCs/>
        </w:rPr>
        <w:t>Housing Studies</w:t>
      </w:r>
      <w:r>
        <w:t>, March 18, 1–24. https://doi.org/10.1080/02673037.2020.1867081.</w:t>
      </w:r>
    </w:p>
    <w:p w14:paraId="26DADA5C" w14:textId="77777777" w:rsidR="008E0B7B" w:rsidRDefault="008E0B7B" w:rsidP="008E0B7B">
      <w:pPr>
        <w:pStyle w:val="Bibliography"/>
      </w:pPr>
      <w:r>
        <w:t xml:space="preserve">Watt, Paul. 2021b. </w:t>
      </w:r>
      <w:r>
        <w:rPr>
          <w:i/>
          <w:iCs/>
        </w:rPr>
        <w:t>Estate Regeneration and Its Discontents: Public Housing, Place and Inequality in London</w:t>
      </w:r>
      <w:r>
        <w:t>. Policy Press.</w:t>
      </w:r>
    </w:p>
    <w:p w14:paraId="34F7D291" w14:textId="77777777" w:rsidR="008E0B7B" w:rsidRDefault="008E0B7B" w:rsidP="008E0B7B">
      <w:pPr>
        <w:pStyle w:val="Bibliography"/>
      </w:pPr>
      <w:r>
        <w:lastRenderedPageBreak/>
        <w:t>Webber, Ester. 2025. ‘Keir Starmer’s Cautious Approach on Gaza Is Leaving Him Isolated’. POLITICO, July 29. https://www.politico.eu/article/keir-starmer-war-in-gaza-israel-palestinian-statehood-uk-labour-party/.</w:t>
      </w:r>
    </w:p>
    <w:p w14:paraId="2255C1AB" w14:textId="77777777" w:rsidR="008E0B7B" w:rsidRDefault="008E0B7B" w:rsidP="008E0B7B">
      <w:pPr>
        <w:pStyle w:val="Bibliography"/>
      </w:pPr>
      <w:r>
        <w:t xml:space="preserve">Webber, Frances. 2022. </w:t>
      </w:r>
      <w:r>
        <w:rPr>
          <w:i/>
          <w:iCs/>
        </w:rPr>
        <w:t>Citizenship: From Right to Privilege</w:t>
      </w:r>
      <w:r>
        <w:t>. London. https://irr.org.uk/wp-content/uploads/2022/09/Deprivation-of-citizenship-Final-LR.pdf.</w:t>
      </w:r>
    </w:p>
    <w:p w14:paraId="4EF3916A" w14:textId="77777777" w:rsidR="008E0B7B" w:rsidRDefault="008E0B7B" w:rsidP="008E0B7B">
      <w:pPr>
        <w:pStyle w:val="Bibliography"/>
      </w:pPr>
      <w:r>
        <w:t xml:space="preserve">Weir, Adrian. 2023. ‘Labour’s Haringey Stitch-Up’. </w:t>
      </w:r>
      <w:r>
        <w:rPr>
          <w:i/>
          <w:iCs/>
        </w:rPr>
        <w:t>Tribune</w:t>
      </w:r>
      <w:r>
        <w:t>, June. https://tribunemag.co.uk/2023/06/labours-haringey-stich-up.</w:t>
      </w:r>
    </w:p>
    <w:p w14:paraId="711E769B" w14:textId="77777777" w:rsidR="008E0B7B" w:rsidRDefault="008E0B7B" w:rsidP="008E0B7B">
      <w:pPr>
        <w:pStyle w:val="Bibliography"/>
      </w:pPr>
      <w:r>
        <w:t xml:space="preserve">Welsh, Elaine. 2002. ‘Dealing with Data: Using NVivo in the Qualitative Data Analysis Process’. </w:t>
      </w:r>
      <w:r>
        <w:rPr>
          <w:i/>
          <w:iCs/>
        </w:rPr>
        <w:t>Forum Qualitative Sozialforschung / Forum: Qualitative Social Research</w:t>
      </w:r>
      <w:r>
        <w:t xml:space="preserve"> 3 (2): 2. https://doi.org/10.17169/fqs-3.2.865.</w:t>
      </w:r>
    </w:p>
    <w:p w14:paraId="38B9161D" w14:textId="77777777" w:rsidR="008E0B7B" w:rsidRDefault="008E0B7B" w:rsidP="008E0B7B">
      <w:pPr>
        <w:pStyle w:val="Bibliography"/>
      </w:pPr>
      <w:r>
        <w:t xml:space="preserve">Wetherell, Sam. 2020. ‘“Redlining” the British City.’ </w:t>
      </w:r>
      <w:r>
        <w:rPr>
          <w:i/>
          <w:iCs/>
        </w:rPr>
        <w:t>Renewal</w:t>
      </w:r>
      <w:r>
        <w:t xml:space="preserve"> 28 (2): 81–90.</w:t>
      </w:r>
    </w:p>
    <w:p w14:paraId="2F922F7A" w14:textId="77777777" w:rsidR="008E0B7B" w:rsidRDefault="008E0B7B" w:rsidP="008E0B7B">
      <w:pPr>
        <w:pStyle w:val="Bibliography"/>
      </w:pPr>
      <w:r>
        <w:t xml:space="preserve">Wetherell, Sam. 2025. </w:t>
      </w:r>
      <w:r>
        <w:rPr>
          <w:i/>
          <w:iCs/>
        </w:rPr>
        <w:t>Liverpool and the Unmaking of Britain</w:t>
      </w:r>
      <w:r>
        <w:t>. Apollo.</w:t>
      </w:r>
    </w:p>
    <w:p w14:paraId="1634261A" w14:textId="77777777" w:rsidR="008E0B7B" w:rsidRDefault="008E0B7B" w:rsidP="008E0B7B">
      <w:pPr>
        <w:pStyle w:val="Bibliography"/>
      </w:pPr>
      <w:r>
        <w:t xml:space="preserve">Wilkinson, Eleanor, and Iliana Ortega-Alcázar. 2019. ‘The Right to Be Weary? Endurance and Exhaustion in Austere Times’. </w:t>
      </w:r>
      <w:r>
        <w:rPr>
          <w:i/>
          <w:iCs/>
        </w:rPr>
        <w:t>Transactions of the Institute of British Geographers</w:t>
      </w:r>
      <w:r>
        <w:t xml:space="preserve"> 44 (1): 155–67. https://doi.org/10.1111/tran.12266.</w:t>
      </w:r>
    </w:p>
    <w:p w14:paraId="69A6718F" w14:textId="77777777" w:rsidR="008E0B7B" w:rsidRDefault="008E0B7B" w:rsidP="008E0B7B">
      <w:pPr>
        <w:pStyle w:val="Bibliography"/>
      </w:pPr>
      <w:r>
        <w:t xml:space="preserve">Williams, Paul. 1994. </w:t>
      </w:r>
      <w:r>
        <w:rPr>
          <w:i/>
          <w:iCs/>
        </w:rPr>
        <w:t>Keeper of the Dream: The Story of Dolly Kiffin of Broadwater Farm</w:t>
      </w:r>
      <w:r>
        <w:t>. International Community Talk Publishing.</w:t>
      </w:r>
    </w:p>
    <w:p w14:paraId="315F6B0B" w14:textId="77777777" w:rsidR="008E0B7B" w:rsidRDefault="008E0B7B" w:rsidP="008E0B7B">
      <w:pPr>
        <w:pStyle w:val="Bibliography"/>
      </w:pPr>
      <w:r>
        <w:t xml:space="preserve">Willis, Rebecca. 2019. ‘The Use of Composite Narratives to Present Interview Findings’. </w:t>
      </w:r>
      <w:r>
        <w:rPr>
          <w:i/>
          <w:iCs/>
        </w:rPr>
        <w:t>Qualitative Research</w:t>
      </w:r>
      <w:r>
        <w:t xml:space="preserve"> 19 (4): 471–80. https://doi.org/10.1177/1468794118787711.</w:t>
      </w:r>
    </w:p>
    <w:p w14:paraId="349A54A5" w14:textId="77777777" w:rsidR="008E0B7B" w:rsidRDefault="008E0B7B" w:rsidP="008E0B7B">
      <w:pPr>
        <w:pStyle w:val="Bibliography"/>
      </w:pPr>
      <w:r>
        <w:t xml:space="preserve">Wilson, David. 2004. ‘Toward A Contingent Urban Neoliberalism’. </w:t>
      </w:r>
      <w:r>
        <w:rPr>
          <w:i/>
          <w:iCs/>
        </w:rPr>
        <w:t>Urban Geography</w:t>
      </w:r>
      <w:r>
        <w:t xml:space="preserve"> 25 (8): 771–83. https://doi.org/10.2747/0272-3638.25.8.771.</w:t>
      </w:r>
    </w:p>
    <w:p w14:paraId="1FAE1B01" w14:textId="77777777" w:rsidR="008E0B7B" w:rsidRDefault="008E0B7B" w:rsidP="008E0B7B">
      <w:pPr>
        <w:pStyle w:val="Bibliography"/>
      </w:pPr>
      <w:r>
        <w:t xml:space="preserve">Wilson, David J., and Chris Game. 2011. </w:t>
      </w:r>
      <w:r>
        <w:rPr>
          <w:i/>
          <w:iCs/>
        </w:rPr>
        <w:t>Local Government in the United Kingdom</w:t>
      </w:r>
      <w:r>
        <w:t>. Bloomsbury Publishing.</w:t>
      </w:r>
    </w:p>
    <w:p w14:paraId="754EBFC4" w14:textId="77777777" w:rsidR="008E0B7B" w:rsidRDefault="008E0B7B" w:rsidP="008E0B7B">
      <w:pPr>
        <w:pStyle w:val="Bibliography"/>
      </w:pPr>
      <w:r>
        <w:t xml:space="preserve">Wilson, Helen F., and Jonathan Darling. 2021. </w:t>
      </w:r>
      <w:r>
        <w:rPr>
          <w:i/>
          <w:iCs/>
        </w:rPr>
        <w:t>Research Ethics for Human Geography: A Handbook for Students</w:t>
      </w:r>
      <w:r>
        <w:t>. SAGE Publications, Limited. http://ebookcentral.proquest.com/lib/durham/detail.action?docID=6383656.</w:t>
      </w:r>
    </w:p>
    <w:p w14:paraId="691FAA34" w14:textId="77777777" w:rsidR="008E0B7B" w:rsidRDefault="008E0B7B" w:rsidP="008E0B7B">
      <w:pPr>
        <w:pStyle w:val="Bibliography"/>
      </w:pPr>
      <w:r>
        <w:t xml:space="preserve">Wimmer, Andreas, and Nina Glick Schiller. 2002. ‘Methodological Nationalism and beyond: Nation–State Building, Migration and the Social Sciences’. </w:t>
      </w:r>
      <w:r>
        <w:rPr>
          <w:i/>
          <w:iCs/>
        </w:rPr>
        <w:t>Global Networks</w:t>
      </w:r>
      <w:r>
        <w:t xml:space="preserve"> 2 (4): 301–34. https://doi.org/10.1111/1471-0374.00043.</w:t>
      </w:r>
    </w:p>
    <w:p w14:paraId="7ED16B39" w14:textId="77777777" w:rsidR="008E0B7B" w:rsidRDefault="008E0B7B" w:rsidP="008E0B7B">
      <w:pPr>
        <w:pStyle w:val="Bibliography"/>
      </w:pPr>
      <w:r>
        <w:t xml:space="preserve">Wright, Charles. 2021. ‘Haringey: Opponents Line up against Council’s Long-Delayed Love Lane Estate Redevelopment Plans’. </w:t>
      </w:r>
      <w:r>
        <w:rPr>
          <w:i/>
          <w:iCs/>
        </w:rPr>
        <w:t>OnLondon</w:t>
      </w:r>
      <w:r>
        <w:t>, August 17. https://www.onlondon.co.uk/haringey-opponents-line-up-against-councils-long-delayed-love-lane-estate-redevelopment-plans/.</w:t>
      </w:r>
    </w:p>
    <w:p w14:paraId="430B5DD9" w14:textId="77777777" w:rsidR="008E0B7B" w:rsidRDefault="008E0B7B" w:rsidP="008E0B7B">
      <w:pPr>
        <w:pStyle w:val="Bibliography"/>
      </w:pPr>
      <w:r>
        <w:lastRenderedPageBreak/>
        <w:t xml:space="preserve">Yelling, Jim. 2000. ‘The Incidence of Slum Clearance in England and Wales, 1955–85’. </w:t>
      </w:r>
      <w:r>
        <w:rPr>
          <w:i/>
          <w:iCs/>
        </w:rPr>
        <w:t>Urban History</w:t>
      </w:r>
      <w:r>
        <w:t xml:space="preserve"> 27 (2): 234–54. https://doi.org/10.1017/S0963926800000249.</w:t>
      </w:r>
    </w:p>
    <w:p w14:paraId="261C164A" w14:textId="77777777" w:rsidR="008E0B7B" w:rsidRDefault="008E0B7B" w:rsidP="008E0B7B">
      <w:pPr>
        <w:pStyle w:val="Bibliography"/>
      </w:pPr>
      <w:r>
        <w:t xml:space="preserve">Yesil, Bilge. 2016. </w:t>
      </w:r>
      <w:r>
        <w:rPr>
          <w:i/>
          <w:iCs/>
        </w:rPr>
        <w:t>Media in New Turkey: The Origins of an Authoritarian Neoliberal State</w:t>
      </w:r>
      <w:r>
        <w:t>. University of Illinois Press.</w:t>
      </w:r>
    </w:p>
    <w:p w14:paraId="1E8FE12A" w14:textId="77777777" w:rsidR="008E0B7B" w:rsidRDefault="008E0B7B" w:rsidP="008E0B7B">
      <w:pPr>
        <w:pStyle w:val="Bibliography"/>
      </w:pPr>
      <w:r>
        <w:t xml:space="preserve">Youatt, Rafi. 2022. ‘Walking the International’. </w:t>
      </w:r>
      <w:r>
        <w:rPr>
          <w:i/>
          <w:iCs/>
        </w:rPr>
        <w:t>International Political Sociology</w:t>
      </w:r>
      <w:r>
        <w:t xml:space="preserve"> 16 (4): olac018. https://doi.org/10.1093/ips/olac018.</w:t>
      </w:r>
    </w:p>
    <w:p w14:paraId="10BDB84A" w14:textId="77777777" w:rsidR="008E0B7B" w:rsidRDefault="008E0B7B" w:rsidP="008E0B7B">
      <w:pPr>
        <w:pStyle w:val="Bibliography"/>
      </w:pPr>
      <w:r>
        <w:t xml:space="preserve">Young, John. 1992. ‘Tenants Build a Better Future for Broadwater Farm’. </w:t>
      </w:r>
      <w:r>
        <w:rPr>
          <w:i/>
          <w:iCs/>
        </w:rPr>
        <w:t>The Times</w:t>
      </w:r>
      <w:r>
        <w:t>, July 6. The Times Digital Archive.</w:t>
      </w:r>
    </w:p>
    <w:p w14:paraId="5953B2EB" w14:textId="77777777" w:rsidR="008E0B7B" w:rsidRDefault="008E0B7B" w:rsidP="008E0B7B">
      <w:pPr>
        <w:pStyle w:val="Bibliography"/>
      </w:pPr>
      <w:r>
        <w:t xml:space="preserve">Yrigoy, Ismael. 2014. ‘The Production of Tourist Spaces as a Spatial Fix’. </w:t>
      </w:r>
      <w:r>
        <w:rPr>
          <w:i/>
          <w:iCs/>
        </w:rPr>
        <w:t>Tourism Geographies</w:t>
      </w:r>
      <w:r>
        <w:t xml:space="preserve"> 16 (4): 636–52. https://doi.org/10.1080/14616688.2014.915876.</w:t>
      </w:r>
    </w:p>
    <w:p w14:paraId="7B03B882" w14:textId="77777777" w:rsidR="008E0B7B" w:rsidRDefault="008E0B7B" w:rsidP="008E0B7B">
      <w:pPr>
        <w:pStyle w:val="Bibliography"/>
      </w:pPr>
      <w:r>
        <w:t xml:space="preserve">Yusoff, Kathryn. 2007. ‘Antarctic Exposure: Archives of the Feeling Body’. </w:t>
      </w:r>
      <w:r>
        <w:rPr>
          <w:i/>
          <w:iCs/>
        </w:rPr>
        <w:t>Cultural Geographies</w:t>
      </w:r>
      <w:r>
        <w:t xml:space="preserve"> 14 (2): 211–33. https://doi.org/10.1177/1474474007075355.</w:t>
      </w:r>
    </w:p>
    <w:p w14:paraId="58CA5CF2" w14:textId="77777777" w:rsidR="008E0B7B" w:rsidRDefault="008E0B7B" w:rsidP="008E0B7B">
      <w:pPr>
        <w:pStyle w:val="Bibliography"/>
      </w:pPr>
      <w:r>
        <w:t xml:space="preserve">Zhang, Chenchen. 2018. ‘Governing Neoliberal Authoritarian Citizenship: Theorizing Hukou and the Changing Mobility Regime in China’. </w:t>
      </w:r>
      <w:r>
        <w:rPr>
          <w:i/>
          <w:iCs/>
        </w:rPr>
        <w:t>Citizenship Studies</w:t>
      </w:r>
      <w:r>
        <w:t xml:space="preserve"> 22 (8): 855–81. https://doi.org/10.1080/13621025.2018.1531824.</w:t>
      </w:r>
    </w:p>
    <w:p w14:paraId="665C845B" w14:textId="77777777" w:rsidR="008E0B7B" w:rsidRDefault="008E0B7B" w:rsidP="008E0B7B">
      <w:pPr>
        <w:pStyle w:val="Bibliography"/>
      </w:pPr>
      <w:r>
        <w:t xml:space="preserve">Žižek, Slavoj. 2011. ‘Shoplifters of the World Unite’. Politics &amp; Economics. </w:t>
      </w:r>
      <w:r>
        <w:rPr>
          <w:i/>
          <w:iCs/>
        </w:rPr>
        <w:t>London Review of Books</w:t>
      </w:r>
      <w:r>
        <w:t>, August 19. https://www.lrb.co.uk/the-paper/v33/n16/slavoj-zizek/shoplifters-of-the-world-unite.</w:t>
      </w:r>
    </w:p>
    <w:p w14:paraId="3FE257F7" w14:textId="0E616A49" w:rsidR="003303CC" w:rsidRPr="00662E51" w:rsidRDefault="003303CC" w:rsidP="003303CC">
      <w:pPr>
        <w:rPr>
          <w:szCs w:val="24"/>
        </w:rPr>
      </w:pPr>
      <w:r w:rsidRPr="00662E51">
        <w:rPr>
          <w:szCs w:val="24"/>
        </w:rPr>
        <w:fldChar w:fldCharType="end"/>
      </w:r>
    </w:p>
    <w:p w14:paraId="529D357E" w14:textId="25E624AB" w:rsidR="003303CC" w:rsidRPr="00825955" w:rsidRDefault="003303CC" w:rsidP="005533A9">
      <w:pPr>
        <w:ind w:left="0"/>
      </w:pPr>
    </w:p>
    <w:sectPr w:rsidR="003303CC" w:rsidRPr="00825955" w:rsidSect="00166943">
      <w:footerReference w:type="default" r:id="rId5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A0263F" w14:textId="77777777" w:rsidR="008E74EA" w:rsidRPr="00662E51" w:rsidRDefault="008E74EA" w:rsidP="000F3E6B">
      <w:r w:rsidRPr="00662E51">
        <w:separator/>
      </w:r>
    </w:p>
  </w:endnote>
  <w:endnote w:type="continuationSeparator" w:id="0">
    <w:p w14:paraId="2387B80B" w14:textId="77777777" w:rsidR="008E74EA" w:rsidRPr="00662E51" w:rsidRDefault="008E74EA" w:rsidP="000F3E6B">
      <w:r w:rsidRPr="00662E5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entury Schoolbook" w:hAnsi="Century Schoolbook"/>
      </w:rPr>
      <w:id w:val="575559135"/>
      <w:docPartObj>
        <w:docPartGallery w:val="Page Numbers (Bottom of Page)"/>
        <w:docPartUnique/>
      </w:docPartObj>
    </w:sdtPr>
    <w:sdtContent>
      <w:p w14:paraId="14E3BD4B" w14:textId="4AE01235" w:rsidR="00E82137" w:rsidRPr="00571E2E" w:rsidRDefault="00E82137">
        <w:pPr>
          <w:pStyle w:val="Footer"/>
          <w:jc w:val="right"/>
          <w:rPr>
            <w:rFonts w:ascii="Century Schoolbook" w:hAnsi="Century Schoolbook"/>
          </w:rPr>
        </w:pPr>
        <w:r w:rsidRPr="00571E2E">
          <w:rPr>
            <w:rFonts w:ascii="Century Schoolbook" w:hAnsi="Century Schoolbook"/>
          </w:rPr>
          <w:fldChar w:fldCharType="begin"/>
        </w:r>
        <w:r w:rsidRPr="00571E2E">
          <w:rPr>
            <w:rFonts w:ascii="Century Schoolbook" w:hAnsi="Century Schoolbook"/>
          </w:rPr>
          <w:instrText xml:space="preserve"> PAGE   \* MERGEFORMAT </w:instrText>
        </w:r>
        <w:r w:rsidRPr="00571E2E">
          <w:rPr>
            <w:rFonts w:ascii="Century Schoolbook" w:hAnsi="Century Schoolbook"/>
          </w:rPr>
          <w:fldChar w:fldCharType="separate"/>
        </w:r>
        <w:r w:rsidRPr="00571E2E">
          <w:rPr>
            <w:rFonts w:ascii="Century Schoolbook" w:hAnsi="Century Schoolbook"/>
          </w:rPr>
          <w:t>2</w:t>
        </w:r>
        <w:r w:rsidRPr="00571E2E">
          <w:rPr>
            <w:rFonts w:ascii="Century Schoolbook" w:hAnsi="Century Schoolbook"/>
          </w:rPr>
          <w:fldChar w:fldCharType="end"/>
        </w:r>
      </w:p>
    </w:sdtContent>
  </w:sdt>
  <w:p w14:paraId="63110222" w14:textId="64E58712" w:rsidR="00166943" w:rsidRPr="00662E51" w:rsidRDefault="00166943" w:rsidP="00E82137">
    <w:pPr>
      <w:pStyle w:val="Footer"/>
      <w:jc w:val="right"/>
      <w:rPr>
        <w:rFonts w:ascii="Century Schoolbook" w:hAnsi="Century Schoolbook"/>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FD663" w14:textId="213DAEA3" w:rsidR="008158B5" w:rsidRPr="00662E51" w:rsidRDefault="008158B5">
    <w:pPr>
      <w:pStyle w:val="Footer"/>
      <w:jc w:val="right"/>
      <w:rPr>
        <w:rFonts w:ascii="Century Schoolbook" w:hAnsi="Century Schoolbook"/>
      </w:rPr>
    </w:pPr>
  </w:p>
  <w:p w14:paraId="31506138" w14:textId="77777777" w:rsidR="008158B5" w:rsidRPr="00662E51" w:rsidRDefault="008158B5">
    <w:pPr>
      <w:pStyle w:val="Footer"/>
      <w:rPr>
        <w:rFonts w:ascii="Century Schoolbook" w:hAnsi="Century Schoolbook"/>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4866287"/>
      <w:docPartObj>
        <w:docPartGallery w:val="Page Numbers (Bottom of Page)"/>
        <w:docPartUnique/>
      </w:docPartObj>
    </w:sdtPr>
    <w:sdtContent>
      <w:p w14:paraId="32D7535C" w14:textId="2A83FCAA" w:rsidR="008158B5" w:rsidRPr="00662E51" w:rsidRDefault="008158B5">
        <w:pPr>
          <w:pStyle w:val="Footer"/>
          <w:jc w:val="right"/>
        </w:pPr>
        <w:r w:rsidRPr="00662E51">
          <w:fldChar w:fldCharType="begin"/>
        </w:r>
        <w:r w:rsidRPr="00662E51">
          <w:instrText xml:space="preserve"> PAGE   \* MERGEFORMAT </w:instrText>
        </w:r>
        <w:r w:rsidRPr="00662E51">
          <w:fldChar w:fldCharType="separate"/>
        </w:r>
        <w:r w:rsidRPr="00662E51">
          <w:t>2</w:t>
        </w:r>
        <w:r w:rsidRPr="00662E51">
          <w:fldChar w:fldCharType="end"/>
        </w:r>
      </w:p>
    </w:sdtContent>
  </w:sdt>
  <w:p w14:paraId="3858D798" w14:textId="77777777" w:rsidR="008158B5" w:rsidRPr="00662E51" w:rsidRDefault="008158B5">
    <w:pPr>
      <w:pStyle w:val="Footer"/>
      <w:rPr>
        <w:rFonts w:ascii="Century Schoolbook" w:hAnsi="Century Schoolbook"/>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D2AC49" w14:textId="77777777" w:rsidR="008E74EA" w:rsidRPr="00662E51" w:rsidRDefault="008E74EA" w:rsidP="000F3E6B">
      <w:r w:rsidRPr="00662E51">
        <w:separator/>
      </w:r>
    </w:p>
  </w:footnote>
  <w:footnote w:type="continuationSeparator" w:id="0">
    <w:p w14:paraId="054436EC" w14:textId="77777777" w:rsidR="008E74EA" w:rsidRPr="00662E51" w:rsidRDefault="008E74EA" w:rsidP="000F3E6B">
      <w:r w:rsidRPr="00662E51">
        <w:continuationSeparator/>
      </w:r>
    </w:p>
  </w:footnote>
  <w:footnote w:id="1">
    <w:p w14:paraId="70B513AF" w14:textId="77777777" w:rsidR="00EF70A9" w:rsidRPr="00D3031B" w:rsidRDefault="00EF70A9" w:rsidP="003F489C">
      <w:pPr>
        <w:pStyle w:val="FootnoteText"/>
      </w:pPr>
      <w:r w:rsidRPr="00BD17AF">
        <w:rPr>
          <w:rStyle w:val="FootnoteReference"/>
        </w:rPr>
        <w:footnoteRef/>
      </w:r>
      <w:r w:rsidRPr="00D3031B">
        <w:t xml:space="preserve"> Council and social tenancies are two related, but different, forms of public housing in the United Kingdom. Social tenants include not only council tenants, but also those who rent from a housing charity or association as well as the council. Council tenants rent from the council only. Council tenants have strong security of tenure and low rent rates while non-council, social tenants exist along a gradation of security and rent rates </w:t>
      </w:r>
      <w:r w:rsidRPr="00D3031B">
        <w:fldChar w:fldCharType="begin"/>
      </w:r>
      <w:r w:rsidRPr="00D3031B">
        <w:instrText xml:space="preserve"> ADDIN ZOTERO_ITEM CSL_CITATION {"citationID":"EXr8rCqA","properties":{"formattedCitation":"(Shelter England, n.d.)","plainCitation":"(Shelter England, n.d.)","noteIndex":1},"citationItems":[{"id":7070,"uris":["http://zotero.org/users/8977980/items/PC3DVTVQ"],"itemData":{"id":7070,"type":"webpage","abstract":"By social housing we mean social rent homes, which have rents linked to local incomes and are a truly affordable, secure housing option for people.","container-title":"Shelter England","language":"en","title":"What is social housing?","URL":"https://england.shelter.org.uk/support_us/campaigns/social_housing/what_is_social_housing","author":[{"literal":"Shelter England"}],"accessed":{"date-parts":[["2025",10,27]]}}}],"schema":"https://github.com/citation-style-language/schema/raw/master/csl-citation.json"} </w:instrText>
      </w:r>
      <w:r w:rsidRPr="00D3031B">
        <w:fldChar w:fldCharType="separate"/>
      </w:r>
      <w:r w:rsidRPr="00D3031B">
        <w:t>(Shelter England, n.d.)</w:t>
      </w:r>
      <w:r w:rsidRPr="00D3031B">
        <w:fldChar w:fldCharType="end"/>
      </w:r>
      <w:r w:rsidRPr="00D3031B">
        <w:t>.</w:t>
      </w:r>
    </w:p>
  </w:footnote>
  <w:footnote w:id="2">
    <w:p w14:paraId="6DC10726" w14:textId="77777777" w:rsidR="00EF70A9" w:rsidRPr="00D3031B" w:rsidRDefault="00EF70A9" w:rsidP="003F489C">
      <w:pPr>
        <w:pStyle w:val="FootnoteText"/>
      </w:pPr>
      <w:r w:rsidRPr="00BD17AF">
        <w:rPr>
          <w:rStyle w:val="FootnoteReference"/>
        </w:rPr>
        <w:footnoteRef/>
      </w:r>
      <w:r w:rsidRPr="00D3031B">
        <w:t xml:space="preserve"> Haringey is one of thirty-two different London boroughs. A borough is a London-specific subdivision of local government, which are generally called ‘local authorities.’ </w:t>
      </w:r>
    </w:p>
  </w:footnote>
  <w:footnote w:id="3">
    <w:p w14:paraId="107C78B9" w14:textId="02F54815" w:rsidR="00BD708F" w:rsidRPr="00D3031B" w:rsidRDefault="00BD708F" w:rsidP="003F489C">
      <w:pPr>
        <w:pStyle w:val="FootnoteText"/>
      </w:pPr>
      <w:r w:rsidRPr="00BD17AF">
        <w:rPr>
          <w:rStyle w:val="FootnoteReference"/>
        </w:rPr>
        <w:footnoteRef/>
      </w:r>
      <w:r w:rsidRPr="00D3031B">
        <w:t xml:space="preserve"> Politicians elected to be </w:t>
      </w:r>
      <w:r>
        <w:t xml:space="preserve">members </w:t>
      </w:r>
      <w:r w:rsidRPr="00D3031B">
        <w:t>of a council.</w:t>
      </w:r>
    </w:p>
  </w:footnote>
  <w:footnote w:id="4">
    <w:p w14:paraId="213C3045" w14:textId="77777777" w:rsidR="00EF70A9" w:rsidRPr="00D3031B" w:rsidRDefault="00EF70A9" w:rsidP="003F489C">
      <w:pPr>
        <w:pStyle w:val="FootnoteText"/>
      </w:pPr>
      <w:r w:rsidRPr="00BD17AF">
        <w:rPr>
          <w:rStyle w:val="FootnoteReference"/>
        </w:rPr>
        <w:footnoteRef/>
      </w:r>
      <w:r w:rsidRPr="00D3031B">
        <w:t xml:space="preserve"> The lowest level of the British state.</w:t>
      </w:r>
    </w:p>
  </w:footnote>
  <w:footnote w:id="5">
    <w:p w14:paraId="048E8FED" w14:textId="33F5E661" w:rsidR="00CA7554" w:rsidRPr="00D3031B" w:rsidRDefault="00CA7554" w:rsidP="003F489C">
      <w:pPr>
        <w:pStyle w:val="FootnoteText"/>
      </w:pPr>
      <w:r w:rsidRPr="00BD17AF">
        <w:rPr>
          <w:rStyle w:val="FootnoteReference"/>
        </w:rPr>
        <w:footnoteRef/>
      </w:r>
      <w:r w:rsidRPr="00D3031B">
        <w:t xml:space="preserve"> A policy that allows council housing tenants the right to purchase their home at a </w:t>
      </w:r>
      <w:r w:rsidR="00306DEB" w:rsidRPr="00D3031B">
        <w:t>discount</w:t>
      </w:r>
      <w:r w:rsidR="006A1B72" w:rsidRPr="00D3031B">
        <w:t>.</w:t>
      </w:r>
      <w:r w:rsidR="00C56FE7">
        <w:t xml:space="preserve"> See Chapter 2 for more detail.</w:t>
      </w:r>
    </w:p>
  </w:footnote>
  <w:footnote w:id="6">
    <w:p w14:paraId="3AE97BE7" w14:textId="77777777" w:rsidR="00EF70A9" w:rsidRPr="00D3031B" w:rsidRDefault="00EF70A9" w:rsidP="003F489C">
      <w:pPr>
        <w:pStyle w:val="FootnoteText"/>
      </w:pPr>
      <w:r w:rsidRPr="00BD17AF">
        <w:rPr>
          <w:rStyle w:val="FootnoteReference"/>
        </w:rPr>
        <w:footnoteRef/>
      </w:r>
      <w:r w:rsidRPr="00D3031B">
        <w:t xml:space="preserve"> In New York, the Democratic Party. </w:t>
      </w:r>
    </w:p>
  </w:footnote>
  <w:footnote w:id="7">
    <w:p w14:paraId="035B4819" w14:textId="77777777" w:rsidR="00527AFB" w:rsidRPr="00D3031B" w:rsidRDefault="00527AFB" w:rsidP="003F489C">
      <w:pPr>
        <w:pStyle w:val="FootnoteText"/>
      </w:pPr>
      <w:r w:rsidRPr="00BD17AF">
        <w:rPr>
          <w:rStyle w:val="FootnoteReference"/>
        </w:rPr>
        <w:footnoteRef/>
      </w:r>
      <w:r w:rsidRPr="00D3031B">
        <w:t xml:space="preserve"> Greater London refers to the urban administrative area commonly referred to as the city of London. This is different than the City of London, which is a separate entity and has a longer, more complex history. </w:t>
      </w:r>
    </w:p>
  </w:footnote>
  <w:footnote w:id="8">
    <w:p w14:paraId="5FE9A50C" w14:textId="77777777" w:rsidR="00527AFB" w:rsidRPr="00D3031B" w:rsidRDefault="00527AFB" w:rsidP="003F489C">
      <w:pPr>
        <w:pStyle w:val="FootnoteText"/>
      </w:pPr>
      <w:r w:rsidRPr="00BD17AF">
        <w:rPr>
          <w:rStyle w:val="FootnoteReference"/>
        </w:rPr>
        <w:footnoteRef/>
      </w:r>
      <w:r w:rsidRPr="00D3031B">
        <w:t xml:space="preserve"> The lowest unit for electoral geography for boroughs in England. They are also used, as they are here, for statistical division.</w:t>
      </w:r>
    </w:p>
  </w:footnote>
  <w:footnote w:id="9">
    <w:p w14:paraId="216D9F85" w14:textId="77777777" w:rsidR="00527AFB" w:rsidRPr="00D3031B" w:rsidRDefault="00527AFB" w:rsidP="003F489C">
      <w:pPr>
        <w:pStyle w:val="FootnoteText"/>
      </w:pPr>
      <w:r w:rsidRPr="00BD17AF">
        <w:rPr>
          <w:rStyle w:val="FootnoteReference"/>
        </w:rPr>
        <w:footnoteRef/>
      </w:r>
      <w:r w:rsidRPr="00D3031B">
        <w:t xml:space="preserve">  An ethnic classification that describes people who identify as white persons who are not of English, Welsh, Scottish, Roma, Irish or Irish Traveller ethnicities</w:t>
      </w:r>
    </w:p>
  </w:footnote>
  <w:footnote w:id="10">
    <w:p w14:paraId="058D62D9" w14:textId="2C62EE96" w:rsidR="00527AFB" w:rsidRPr="00D3031B" w:rsidRDefault="00527AFB" w:rsidP="003F489C">
      <w:pPr>
        <w:pStyle w:val="FootnoteText"/>
      </w:pPr>
      <w:r w:rsidRPr="00BD17AF">
        <w:rPr>
          <w:rStyle w:val="FootnoteReference"/>
        </w:rPr>
        <w:footnoteRef/>
      </w:r>
      <w:r w:rsidRPr="00D3031B">
        <w:t xml:space="preserve"> The legal status that determines how a household occupies a dwelling, classifying whether they own or rent the accommodation—and from whom they rent</w:t>
      </w:r>
      <w:r w:rsidR="00FE3B8C">
        <w:t xml:space="preserve"> (private landlord or council)</w:t>
      </w:r>
      <w:r w:rsidRPr="00D3031B">
        <w:t>.</w:t>
      </w:r>
    </w:p>
  </w:footnote>
  <w:footnote w:id="11">
    <w:p w14:paraId="0209254E" w14:textId="77777777" w:rsidR="004D0039" w:rsidRPr="00D3031B" w:rsidRDefault="004D0039" w:rsidP="003F489C">
      <w:pPr>
        <w:pStyle w:val="FootnoteText"/>
      </w:pPr>
      <w:r w:rsidRPr="00BD17AF">
        <w:rPr>
          <w:rStyle w:val="FootnoteReference"/>
        </w:rPr>
        <w:footnoteRef/>
      </w:r>
      <w:r w:rsidRPr="00D3031B">
        <w:t xml:space="preserve"> Grant was the first Black leader of a local authority in the UK and would eventually become one of the first Black MPs since the 19th century. Also elected in this batch is former Leader of the Labour Party, MP Jeremy Corbyn.</w:t>
      </w:r>
    </w:p>
  </w:footnote>
  <w:footnote w:id="12">
    <w:p w14:paraId="0C90CE1B" w14:textId="77777777" w:rsidR="00527AFB" w:rsidRPr="00D3031B" w:rsidRDefault="00527AFB" w:rsidP="003F489C">
      <w:pPr>
        <w:pStyle w:val="FootnoteText"/>
      </w:pPr>
      <w:r w:rsidRPr="00BD17AF">
        <w:rPr>
          <w:rStyle w:val="FootnoteReference"/>
        </w:rPr>
        <w:footnoteRef/>
      </w:r>
      <w:r w:rsidRPr="00D3031B">
        <w:t xml:space="preserve"> A failed attempt by left-wing councils to force Margaret Thatcher’s Conservative government to change rules that restricted the spending powers of councils </w:t>
      </w:r>
      <w:r w:rsidRPr="00D3031B">
        <w:fldChar w:fldCharType="begin"/>
      </w:r>
      <w:r w:rsidRPr="00D3031B">
        <w:instrText xml:space="preserve"> ADDIN ZOTERO_ITEM CSL_CITATION {"citationID":"vDTwZyT8","properties":{"formattedCitation":"(Wetherell 2025)","plainCitation":"(Wetherell 2025)","noteIndex":12},"citationItems":[{"id":6494,"uris":["http://zotero.org/users/8977980/items/JDTFD4IU"],"itemData":{"id":6494,"type":"book","abstract":"The city is equally notorious for its poverty, its ethnic and racial divides and, above all, its decline. For Liverpool was once a major port, growing rich on slavery, on trade with the Americas and the British Empire's outposts in Africa and Asia. In the 1980s, it was described as 'obsolete'. Yet the city fights on. This is the epic history of Liverpool since the Second World War. It is a story of vast docklands shrinking and eventually vanishing when corporations discovered they could shift goods in containers and dispense with human workers, of industries like car manufacturing mushrooming and disappearing, of huge new suburbs being built and neglected. It is a moving and horrifying narrative of casual racism - Chinese sailors deported en masse in the aftermath of the war, systematic discrimination against the city's Black population - and of resistance, culminating in the Toxteth riots in 1981. It is the story of a city fighting against a descent into obsolescence. Liverpool also becomes a prism through which recent British history is brought into a new focus. It is the fascinating history of a single, iconic city. But it is also a warning of what the future may hold for many more communities","ISBN":"978-1-80110-888-1","language":"eng","number-of-pages":"438","publisher":"Apollo","publisher-place":"London","source":"K10plus ISBN","title":"Liverpool and the Unmaking of Britain","title-short":"Liverpool","author":[{"family":"Wetherell","given":"Sam"}],"issued":{"date-parts":[["2025"]]}}}],"schema":"https://github.com/citation-style-language/schema/raw/master/csl-citation.json"} </w:instrText>
      </w:r>
      <w:r w:rsidRPr="00D3031B">
        <w:fldChar w:fldCharType="separate"/>
      </w:r>
      <w:r w:rsidRPr="00D3031B">
        <w:t>(Wetherell 2025)</w:t>
      </w:r>
      <w:r w:rsidRPr="00D3031B">
        <w:fldChar w:fldCharType="end"/>
      </w:r>
      <w:r w:rsidRPr="00D3031B">
        <w:t>.</w:t>
      </w:r>
    </w:p>
  </w:footnote>
  <w:footnote w:id="13">
    <w:p w14:paraId="2A3FA64B" w14:textId="77777777" w:rsidR="00527AFB" w:rsidRPr="00D3031B" w:rsidRDefault="00527AFB" w:rsidP="003F489C">
      <w:pPr>
        <w:pStyle w:val="FootnoteText"/>
      </w:pPr>
      <w:r w:rsidRPr="00BD17AF">
        <w:rPr>
          <w:rStyle w:val="FootnoteReference"/>
        </w:rPr>
        <w:footnoteRef/>
      </w:r>
      <w:r w:rsidRPr="00D3031B">
        <w:t xml:space="preserve"> Now Lord Harris of Haringey.</w:t>
      </w:r>
    </w:p>
  </w:footnote>
  <w:footnote w:id="14">
    <w:p w14:paraId="66DB65D5" w14:textId="77777777" w:rsidR="00527AFB" w:rsidRPr="00D3031B" w:rsidRDefault="00527AFB" w:rsidP="003F489C">
      <w:pPr>
        <w:pStyle w:val="FootnoteText"/>
      </w:pPr>
      <w:r w:rsidRPr="00BD17AF">
        <w:rPr>
          <w:rStyle w:val="FootnoteReference"/>
        </w:rPr>
        <w:footnoteRef/>
      </w:r>
      <w:r w:rsidRPr="00D3031B">
        <w:t xml:space="preserve"> A large sports and entertainment venue sitting between Wood Green and Muswell Hill.</w:t>
      </w:r>
    </w:p>
  </w:footnote>
  <w:footnote w:id="15">
    <w:p w14:paraId="09DE8D60" w14:textId="77777777" w:rsidR="00527AFB" w:rsidRPr="00D3031B" w:rsidRDefault="00527AFB" w:rsidP="003F489C">
      <w:pPr>
        <w:pStyle w:val="FootnoteText"/>
      </w:pPr>
      <w:r w:rsidRPr="00BD17AF">
        <w:rPr>
          <w:rStyle w:val="FootnoteReference"/>
        </w:rPr>
        <w:footnoteRef/>
      </w:r>
      <w:r w:rsidRPr="00D3031B">
        <w:t xml:space="preserve"> The name for the London-wide local government unit from 1965 to 1986. Replaced by the Greater London Authority in 2000.</w:t>
      </w:r>
    </w:p>
  </w:footnote>
  <w:footnote w:id="16">
    <w:p w14:paraId="39E24C0E" w14:textId="77777777" w:rsidR="00527AFB" w:rsidRPr="00D3031B" w:rsidRDefault="00527AFB" w:rsidP="003F489C">
      <w:pPr>
        <w:pStyle w:val="FootnoteText"/>
      </w:pPr>
      <w:r w:rsidRPr="00BD17AF">
        <w:rPr>
          <w:rStyle w:val="FootnoteReference"/>
        </w:rPr>
        <w:footnoteRef/>
      </w:r>
      <w:r w:rsidRPr="00D3031B">
        <w:t xml:space="preserve"> The ministries of Tony Blair (1997-2007) and Gordon Brown (2007-2010)</w:t>
      </w:r>
    </w:p>
  </w:footnote>
  <w:footnote w:id="17">
    <w:p w14:paraId="398C870F" w14:textId="77777777" w:rsidR="00527AFB" w:rsidRPr="00D3031B" w:rsidRDefault="00527AFB" w:rsidP="003F489C">
      <w:pPr>
        <w:pStyle w:val="FootnoteText"/>
      </w:pPr>
      <w:r w:rsidRPr="00BD17AF">
        <w:rPr>
          <w:rStyle w:val="FootnoteReference"/>
        </w:rPr>
        <w:footnoteRef/>
      </w:r>
      <w:r w:rsidRPr="00D3031B">
        <w:t xml:space="preserve"> The collection of Haringey’s Labour councillors </w:t>
      </w:r>
    </w:p>
  </w:footnote>
  <w:footnote w:id="18">
    <w:p w14:paraId="5F261959" w14:textId="77777777" w:rsidR="00527AFB" w:rsidRPr="00D3031B" w:rsidRDefault="00527AFB" w:rsidP="003F489C">
      <w:pPr>
        <w:pStyle w:val="FootnoteText"/>
      </w:pPr>
      <w:r w:rsidRPr="00BD17AF">
        <w:rPr>
          <w:rStyle w:val="FootnoteReference"/>
        </w:rPr>
        <w:footnoteRef/>
      </w:r>
      <w:r w:rsidRPr="00D3031B">
        <w:t xml:space="preserve"> Leader of the Labour Party from 2020 and Prime Minister from 2024</w:t>
      </w:r>
    </w:p>
  </w:footnote>
  <w:footnote w:id="19">
    <w:p w14:paraId="53A74F6F" w14:textId="77777777" w:rsidR="00527AFB" w:rsidRPr="00D3031B" w:rsidRDefault="00527AFB" w:rsidP="003F489C">
      <w:pPr>
        <w:pStyle w:val="FootnoteText"/>
      </w:pPr>
      <w:r w:rsidRPr="00BD17AF">
        <w:rPr>
          <w:rStyle w:val="FootnoteReference"/>
        </w:rPr>
        <w:footnoteRef/>
      </w:r>
      <w:r w:rsidRPr="00D3031B">
        <w:t xml:space="preserve"> Conservative Prime Minister from 2010 to 2016. </w:t>
      </w:r>
    </w:p>
  </w:footnote>
  <w:footnote w:id="20">
    <w:p w14:paraId="549F48F0" w14:textId="77777777" w:rsidR="00527AFB" w:rsidRPr="00D3031B" w:rsidRDefault="00527AFB" w:rsidP="003F489C">
      <w:pPr>
        <w:pStyle w:val="FootnoteText"/>
      </w:pPr>
      <w:r w:rsidRPr="00BD17AF">
        <w:rPr>
          <w:rStyle w:val="FootnoteReference"/>
        </w:rPr>
        <w:footnoteRef/>
      </w:r>
      <w:r w:rsidRPr="00D3031B">
        <w:t xml:space="preserve"> Mayor of London from 2008 to 2016; Conservative Prime Minister from 2019 to 2022.</w:t>
      </w:r>
    </w:p>
  </w:footnote>
  <w:footnote w:id="21">
    <w:p w14:paraId="7DBE0370" w14:textId="77777777" w:rsidR="00527AFB" w:rsidRPr="00D3031B" w:rsidRDefault="00527AFB" w:rsidP="003F489C">
      <w:pPr>
        <w:pStyle w:val="FootnoteText"/>
      </w:pPr>
      <w:r w:rsidRPr="00BD17AF">
        <w:rPr>
          <w:rStyle w:val="FootnoteReference"/>
        </w:rPr>
        <w:footnoteRef/>
      </w:r>
      <w:r w:rsidRPr="00D3031B">
        <w:t xml:space="preserve"> LendLease is an Australian multinational real estate and construction company that has undertaken large regeneration projects across the world. In London, LendLease is redeveloping Elephant and Castle, one of the longest and most destructive schemes in the city </w:t>
      </w:r>
      <w:r w:rsidRPr="00D3031B">
        <w:fldChar w:fldCharType="begin"/>
      </w:r>
      <w:r w:rsidRPr="00D3031B">
        <w:instrText xml:space="preserve"> ADDIN ZOTERO_ITEM CSL_CITATION {"citationID":"Kw1w8epe","properties":{"formattedCitation":"(Flynn 2016)","plainCitation":"(Flynn 2016)","noteIndex":21},"citationItems":[{"id":6962,"uris":["http://zotero.org/users/8977980/items/U6KRTYBB"],"itemData":{"id":6962,"type":"article-journal","abstract":"Regeneration has for several years been the favoured term of developers and local authorities for house building programmes in London. Regeneration promises new homes in rejuvenated neighbourhoods. This article tells of how such promises were instead used to lever the residents of one south London council estate, the Heygate, from their homes, leaving the benefits of regeneration for the more affluent to enjoy. It is also a case study of how private developers profit from regeneration, without building homes that most people could actually afford to either rent or buy, and how they evade a local authority's planning requirements for affordable housing by means of secret financial reports, so-called ‘viability assessments’. Finally it briefly recounts how some local communities are starting to challenge this so-far unchallenged power that puts developer profit above the need for truly affordable housing.","container-title":"City","DOI":"10.1080/13604813.2016.1143685","ISSN":"1360-4813","issue":"2","note":"_eprint: https://doi.org/10.1080/13604813.2016.1143685","page":"278-286","publisher":"RSA Website","source":"Taylor and Francis+NEJM","title":"Complete control: Developers, financial viability and regeneration at the Elephant and Castle","title-short":"Complete control","volume":"20","author":[{"family":"Flynn","given":"Jerry"}],"issued":{"date-parts":[["2016",3,3]]}}}],"schema":"https://github.com/citation-style-language/schema/raw/master/csl-citation.json"} </w:instrText>
      </w:r>
      <w:r w:rsidRPr="00D3031B">
        <w:fldChar w:fldCharType="separate"/>
      </w:r>
      <w:r w:rsidRPr="00D3031B">
        <w:t>(Flynn 2016)</w:t>
      </w:r>
      <w:r w:rsidRPr="00D3031B">
        <w:fldChar w:fldCharType="end"/>
      </w:r>
      <w:r w:rsidRPr="00D3031B">
        <w:t>.</w:t>
      </w:r>
    </w:p>
  </w:footnote>
  <w:footnote w:id="22">
    <w:p w14:paraId="7D96E13C" w14:textId="77777777" w:rsidR="00527AFB" w:rsidRPr="00D3031B" w:rsidRDefault="00527AFB" w:rsidP="003F489C">
      <w:pPr>
        <w:pStyle w:val="FootnoteText"/>
      </w:pPr>
      <w:r w:rsidRPr="00BD17AF">
        <w:rPr>
          <w:rStyle w:val="FootnoteReference"/>
        </w:rPr>
        <w:footnoteRef/>
      </w:r>
      <w:r w:rsidRPr="00D3031B">
        <w:t xml:space="preserve"> A planned—but now indefinitely suspended—high-capacity rail line that would have connected this part of Haringey directly with central London </w:t>
      </w:r>
      <w:r w:rsidRPr="00D3031B">
        <w:fldChar w:fldCharType="begin"/>
      </w:r>
      <w:r w:rsidRPr="00D3031B">
        <w:instrText xml:space="preserve"> ADDIN ZOTERO_ITEM CSL_CITATION {"citationID":"KvKHDYI6","properties":{"formattedCitation":"(Crossrail 2, n.d.)","plainCitation":"(Crossrail 2, n.d.)","noteIndex":22},"citationItems":[{"id":6964,"uris":["http://zotero.org/users/8977980/items/RTNJS3BK"],"itemData":{"id":6964,"type":"webpage","abstract":"Transport for London and Network Rail are investing heavily in London's transport infrastructure to accommodate future growth.","language":"en-GB","title":"Crossrail 2 - Supporting Growth in the South East","URL":"https://crossrail2.co.uk/","author":[{"literal":"Crossrail 2"}],"accessed":{"date-parts":[["2025",9,16]]}}}],"schema":"https://github.com/citation-style-language/schema/raw/master/csl-citation.json"} </w:instrText>
      </w:r>
      <w:r w:rsidRPr="00D3031B">
        <w:fldChar w:fldCharType="separate"/>
      </w:r>
      <w:r w:rsidRPr="00D3031B">
        <w:t>(Crossrail 2, n.d.)</w:t>
      </w:r>
      <w:r w:rsidRPr="00D3031B">
        <w:fldChar w:fldCharType="end"/>
      </w:r>
      <w:r w:rsidRPr="00D3031B">
        <w:t>.</w:t>
      </w:r>
    </w:p>
  </w:footnote>
  <w:footnote w:id="23">
    <w:p w14:paraId="204BBD40" w14:textId="6B978FBE" w:rsidR="00527AFB" w:rsidRPr="00D3031B" w:rsidRDefault="00527AFB" w:rsidP="003F489C">
      <w:pPr>
        <w:pStyle w:val="FootnoteText"/>
      </w:pPr>
      <w:r w:rsidRPr="00BD17AF">
        <w:rPr>
          <w:rStyle w:val="FootnoteReference"/>
        </w:rPr>
        <w:footnoteRef/>
      </w:r>
      <w:r w:rsidRPr="00D3031B">
        <w:t xml:space="preserve"> Per the Housing Act 1996, Councils are required to provide assistance to </w:t>
      </w:r>
      <w:r w:rsidR="003B393E">
        <w:t xml:space="preserve">most individuals </w:t>
      </w:r>
      <w:r w:rsidRPr="00D3031B">
        <w:t xml:space="preserve">registered as homeless. </w:t>
      </w:r>
    </w:p>
  </w:footnote>
  <w:footnote w:id="24">
    <w:p w14:paraId="14A7FCDF" w14:textId="77777777" w:rsidR="00527AFB" w:rsidRPr="00D3031B" w:rsidRDefault="00527AFB" w:rsidP="003F489C">
      <w:pPr>
        <w:pStyle w:val="FootnoteText"/>
      </w:pPr>
      <w:r w:rsidRPr="00BD17AF">
        <w:rPr>
          <w:rStyle w:val="FootnoteReference"/>
        </w:rPr>
        <w:footnoteRef/>
      </w:r>
      <w:r w:rsidRPr="00D3031B">
        <w:t xml:space="preserve"> All councils that use Greater London Authority funding for a regeneration scheme that requires the demolition of social homes and the subsequent construction of 150 or more homes of any tenure </w:t>
      </w:r>
      <w:r w:rsidRPr="00D3031B">
        <w:fldChar w:fldCharType="begin"/>
      </w:r>
      <w:r w:rsidRPr="00D3031B">
        <w:instrText xml:space="preserve"> ADDIN ZOTERO_ITEM CSL_CITATION {"citationID":"nsoVgusZ","properties":{"formattedCitation":"(Greater London Authority, n.d.)","plainCitation":"(Greater London Authority, n.d.)","noteIndex":24},"citationItems":[{"id":6992,"uris":["http://zotero.org/users/8977980/items/BT2B5ASC"],"itemData":{"id":6992,"type":"webpage","abstract":"Find out how the Mayor is ensuring residents are involved in estate regeneration.","language":"en-gb","title":"Estate Regeneration","URL":"https://www.london.gov.uk/programmes-strategies/housing-and-land/mayors-priorities-londons-housing-and-land/estate-regeneration","author":[{"literal":"Greater London Authority"}],"accessed":{"date-parts":[["2025",9,22]]}}}],"schema":"https://github.com/citation-style-language/schema/raw/master/csl-citation.json"} </w:instrText>
      </w:r>
      <w:r w:rsidRPr="00D3031B">
        <w:fldChar w:fldCharType="separate"/>
      </w:r>
      <w:r w:rsidRPr="00D3031B">
        <w:t>(Greater London Authority, n.d.)</w:t>
      </w:r>
      <w:r w:rsidRPr="00D3031B">
        <w:fldChar w:fldCharType="end"/>
      </w:r>
      <w:r w:rsidRPr="00D3031B">
        <w:t>.</w:t>
      </w:r>
    </w:p>
  </w:footnote>
  <w:footnote w:id="25">
    <w:p w14:paraId="0B9CA878" w14:textId="77777777" w:rsidR="00527AFB" w:rsidRPr="00D3031B" w:rsidRDefault="00527AFB" w:rsidP="003F489C">
      <w:pPr>
        <w:pStyle w:val="FootnoteText"/>
      </w:pPr>
      <w:r w:rsidRPr="00BD17AF">
        <w:rPr>
          <w:rStyle w:val="FootnoteReference"/>
        </w:rPr>
        <w:footnoteRef/>
      </w:r>
      <w:r w:rsidRPr="00D3031B">
        <w:t xml:space="preserve"> An impartial advisor who assists tenants experiencing regeneration </w:t>
      </w:r>
    </w:p>
  </w:footnote>
  <w:footnote w:id="26">
    <w:p w14:paraId="13F7B294" w14:textId="77777777" w:rsidR="00527AFB" w:rsidRPr="00D3031B" w:rsidRDefault="00527AFB" w:rsidP="003F489C">
      <w:pPr>
        <w:pStyle w:val="FootnoteText"/>
      </w:pPr>
      <w:r w:rsidRPr="00BD17AF">
        <w:rPr>
          <w:rStyle w:val="FootnoteReference"/>
        </w:rPr>
        <w:footnoteRef/>
      </w:r>
      <w:r w:rsidRPr="00D3031B">
        <w:t xml:space="preserve"> When a council can forcibly purchase a property at fair market value to redevelop the property. There is a legal process through which the order can be contested and granted. </w:t>
      </w:r>
    </w:p>
  </w:footnote>
  <w:footnote w:id="27">
    <w:p w14:paraId="7F33C964" w14:textId="77777777" w:rsidR="00CA6F09" w:rsidRPr="00D3031B" w:rsidRDefault="00CA6F09" w:rsidP="003F489C">
      <w:pPr>
        <w:pStyle w:val="FootnoteText"/>
      </w:pPr>
      <w:r w:rsidRPr="00BD17AF">
        <w:rPr>
          <w:rStyle w:val="FootnoteReference"/>
        </w:rPr>
        <w:footnoteRef/>
      </w:r>
      <w:r w:rsidRPr="00D3031B">
        <w:t xml:space="preserve"> Labour Prime Minister from 1945 to 1951.</w:t>
      </w:r>
    </w:p>
  </w:footnote>
  <w:footnote w:id="28">
    <w:p w14:paraId="00C2108F" w14:textId="77777777" w:rsidR="00CA6F09" w:rsidRPr="00D3031B" w:rsidRDefault="00CA6F09" w:rsidP="003F489C">
      <w:pPr>
        <w:pStyle w:val="FootnoteText"/>
      </w:pPr>
      <w:r w:rsidRPr="00BD17AF">
        <w:rPr>
          <w:rStyle w:val="FootnoteReference"/>
        </w:rPr>
        <w:footnoteRef/>
      </w:r>
      <w:r w:rsidRPr="00D3031B">
        <w:t xml:space="preserve"> Conservative Prime Minister from 1941 to 1945 and 1951 to 1955.</w:t>
      </w:r>
    </w:p>
  </w:footnote>
  <w:footnote w:id="29">
    <w:p w14:paraId="3001E630" w14:textId="77777777" w:rsidR="00CA6F09" w:rsidRPr="00D3031B" w:rsidRDefault="00CA6F09" w:rsidP="003F489C">
      <w:pPr>
        <w:pStyle w:val="FootnoteText"/>
      </w:pPr>
      <w:r w:rsidRPr="00BD17AF">
        <w:rPr>
          <w:rStyle w:val="FootnoteReference"/>
        </w:rPr>
        <w:footnoteRef/>
      </w:r>
      <w:r w:rsidRPr="00D3031B">
        <w:t xml:space="preserve"> Conservative Prime Minister from 1979 to 1990.</w:t>
      </w:r>
    </w:p>
  </w:footnote>
  <w:footnote w:id="30">
    <w:p w14:paraId="53E887AB" w14:textId="77777777" w:rsidR="00CA6F09" w:rsidRPr="00D3031B" w:rsidRDefault="00CA6F09" w:rsidP="003F489C">
      <w:pPr>
        <w:pStyle w:val="FootnoteText"/>
      </w:pPr>
      <w:r w:rsidRPr="00BD17AF">
        <w:rPr>
          <w:rStyle w:val="FootnoteReference"/>
        </w:rPr>
        <w:footnoteRef/>
      </w:r>
      <w:r w:rsidRPr="00D3031B">
        <w:t xml:space="preserve"> Led by David Cameron (Conservative; Prime Minister) and Nick Clegg (Liberal Democrat; Deputy Prime Minister), which lasted from 2010 to 2015.</w:t>
      </w:r>
    </w:p>
  </w:footnote>
  <w:footnote w:id="31">
    <w:p w14:paraId="1AA9945C" w14:textId="77777777" w:rsidR="00CA6F09" w:rsidRPr="00D3031B" w:rsidRDefault="00CA6F09" w:rsidP="003F489C">
      <w:pPr>
        <w:pStyle w:val="FootnoteText"/>
      </w:pPr>
      <w:r w:rsidRPr="00BD17AF">
        <w:rPr>
          <w:rStyle w:val="FootnoteReference"/>
        </w:rPr>
        <w:footnoteRef/>
      </w:r>
      <w:r w:rsidRPr="00D3031B">
        <w:t xml:space="preserve"> Lasting from 2015-2016.</w:t>
      </w:r>
    </w:p>
  </w:footnote>
  <w:footnote w:id="32">
    <w:p w14:paraId="76AD587F" w14:textId="29FD492B" w:rsidR="00CA6F09" w:rsidRPr="00D3031B" w:rsidRDefault="00CA6F09" w:rsidP="003F489C">
      <w:pPr>
        <w:pStyle w:val="FootnoteText"/>
      </w:pPr>
      <w:r w:rsidRPr="00BD17AF">
        <w:rPr>
          <w:rStyle w:val="FootnoteReference"/>
        </w:rPr>
        <w:footnoteRef/>
      </w:r>
      <w:r w:rsidRPr="00D3031B">
        <w:t xml:space="preserve"> </w:t>
      </w:r>
      <w:r w:rsidR="00EA5A8A">
        <w:t>See Section 1.4.2 for more detail on SPVs.</w:t>
      </w:r>
    </w:p>
  </w:footnote>
  <w:footnote w:id="33">
    <w:p w14:paraId="7329007C" w14:textId="77777777" w:rsidR="00CA6F09" w:rsidRPr="00D3031B" w:rsidRDefault="00CA6F09" w:rsidP="003F489C">
      <w:pPr>
        <w:pStyle w:val="FootnoteText"/>
      </w:pPr>
      <w:r w:rsidRPr="00BD17AF">
        <w:rPr>
          <w:rStyle w:val="FootnoteReference"/>
        </w:rPr>
        <w:footnoteRef/>
      </w:r>
      <w:r w:rsidRPr="00D3031B">
        <w:t xml:space="preserve"> Those who are temporarily housed as part of a council’s obligation to support its unhoused population.</w:t>
      </w:r>
    </w:p>
  </w:footnote>
  <w:footnote w:id="34">
    <w:p w14:paraId="4C1A1CEE" w14:textId="6604B6FA" w:rsidR="008649E2" w:rsidRPr="00D3031B" w:rsidRDefault="008649E2" w:rsidP="003F489C">
      <w:pPr>
        <w:pStyle w:val="FootnoteText"/>
      </w:pPr>
      <w:r w:rsidRPr="00BD17AF">
        <w:rPr>
          <w:rStyle w:val="FootnoteReference"/>
        </w:rPr>
        <w:footnoteRef/>
      </w:r>
      <w:r w:rsidRPr="00D3031B">
        <w:t xml:space="preserve"> I utilise both terms interchangeably to emphasise the interrelation of the two concepts and to foreground the legacies of colonialism and imperialism in the contemporary United Kingdom </w:t>
      </w:r>
      <w:r w:rsidRPr="00D3031B">
        <w:fldChar w:fldCharType="begin"/>
      </w:r>
      <w:r w:rsidR="00213B80">
        <w:instrText xml:space="preserve"> ADDIN ZOTERO_ITEM CSL_CITATION {"citationID":"r3SEI0M2","properties":{"formattedCitation":"(Gilroy 2002; S. Hall 2021)","plainCitation":"(Gilroy 2002; S. Hall 2021)","noteIndex":34},"citationItems":[{"id":3194,"uris":["http://zotero.org/users/8977980/items/UCQZ5MBA"],"itemData":{"id":3194,"type":"book","call-number":"DA125.N4 G55 2002","collection-title":"Routledge classics","ISBN":"978-0-415-28980-1","note":"OCLC: ocm50100824","number-of-pages":"366","publisher":"Routledge","publisher-place":"London ; New York","source":"Library of Congress ISBN","title":"There ain't no black in the Union Jack: the cultural politics of race and nation","title-short":"There ain't no black in the Union Jack","author":[{"family":"Gilroy","given":"Paul"}],"issued":{"date-parts":[["2002"]]}}},{"id":4631,"uris":["http://zotero.org/users/8977980/items/D8EQ5GNU"],"itemData":{"id":4631,"type":"book","abstract":"\"Stuart Hall famously argued that \"race is the modality through which class is lived.\" This collection demonstrates the remarkable range in which a committed thinker constantly sharpened his understanding of contemporary challenges, and sought to articulate problems and opportunities across space and struggles. In a variety of formats, long and short, lecture and essay, scholarly and popular, Hall shows readers not what to think but rather how and why particular approaches might offer usable insights and models for further thought and action\"--","call-number":"HT1523","collection-title":"Stuart hall: selected writings","ISBN":"978-1-4780-2122-3","number-of-pages":"1","publisher":"Duke University Press","publisher-place":"Durham","source":"Library of Congress ISBN","title":"Selected writings on race and difference","author":[{"family":"Hall","given":"Stuart"}],"editor":[{"family":"Gilroy","given":"Paul"},{"family":"Gilmore","given":"Ruth Wilson"}],"issued":{"date-parts":[["2021"]]}}}],"schema":"https://github.com/citation-style-language/schema/raw/master/csl-citation.json"} </w:instrText>
      </w:r>
      <w:r w:rsidRPr="00D3031B">
        <w:fldChar w:fldCharType="separate"/>
      </w:r>
      <w:r w:rsidR="00213B80" w:rsidRPr="00213B80">
        <w:t>(Gilroy 2002; S. Hall 2021)</w:t>
      </w:r>
      <w:r w:rsidRPr="00D3031B">
        <w:fldChar w:fldCharType="end"/>
      </w:r>
      <w:r w:rsidRPr="00D3031B">
        <w:t xml:space="preserve">. </w:t>
      </w:r>
    </w:p>
  </w:footnote>
  <w:footnote w:id="35">
    <w:p w14:paraId="56BEBFE9" w14:textId="475DA139" w:rsidR="00CA6F09" w:rsidRPr="00D3031B" w:rsidRDefault="00CA6F09" w:rsidP="003F489C">
      <w:pPr>
        <w:pStyle w:val="FootnoteText"/>
      </w:pPr>
      <w:r w:rsidRPr="00BD17AF">
        <w:rPr>
          <w:rStyle w:val="FootnoteReference"/>
        </w:rPr>
        <w:footnoteRef/>
      </w:r>
      <w:r w:rsidRPr="00D3031B">
        <w:t xml:space="preserve"> This law required local authorities house groups previously deemed unfit for council housing like the homeless or the physically ill</w:t>
      </w:r>
      <w:r w:rsidR="00F87095">
        <w:t>.</w:t>
      </w:r>
    </w:p>
  </w:footnote>
  <w:footnote w:id="36">
    <w:p w14:paraId="481689D1" w14:textId="77777777" w:rsidR="00B05ED7" w:rsidRPr="00D3031B" w:rsidRDefault="00B05ED7" w:rsidP="003F489C">
      <w:pPr>
        <w:pStyle w:val="FootnoteText"/>
      </w:pPr>
      <w:r w:rsidRPr="00BD17AF">
        <w:rPr>
          <w:rStyle w:val="FootnoteReference"/>
        </w:rPr>
        <w:footnoteRef/>
      </w:r>
      <w:r w:rsidRPr="00D3031B">
        <w:t xml:space="preserve"> From the French for regularisation of social processes rather than just laws and norms established by a state. </w:t>
      </w:r>
    </w:p>
  </w:footnote>
  <w:footnote w:id="37">
    <w:p w14:paraId="6D8E03DB" w14:textId="74655B30" w:rsidR="00AD75CC" w:rsidRPr="00D3031B" w:rsidRDefault="00AD75CC" w:rsidP="003F489C">
      <w:pPr>
        <w:pStyle w:val="FootnoteText"/>
      </w:pPr>
      <w:r w:rsidRPr="00BD17AF">
        <w:rPr>
          <w:rStyle w:val="FootnoteReference"/>
        </w:rPr>
        <w:footnoteRef/>
      </w:r>
      <w:r w:rsidRPr="00D3031B">
        <w:t xml:space="preserve"> Fordism refers to the period of stable economic growth from 1945 to 1975, in which Global North economies were sustained by a combination of assembly-line mass production and new mass consumption </w:t>
      </w:r>
      <w:r w:rsidRPr="00D3031B">
        <w:fldChar w:fldCharType="begin"/>
      </w:r>
      <w:r w:rsidR="00213B80">
        <w:instrText xml:space="preserve"> ADDIN ZOTERO_ITEM CSL_CITATION {"citationID":"Q8nua1XB","properties":{"formattedCitation":"(Painter 2011)","plainCitation":"(Painter 2011)","noteIndex":37},"citationItems":[{"id":6795,"uris":["http://zotero.org/users/8977980/items/S2J6QPGT"],"itemData":{"id":6795,"type":"chapter","container-title":"Readings in Urban Theory","ISBN":"978-1-4443-3081-6","language":"en","note":"Google-Books-ID: mqdVEAAAQBAJ","publisher":"John Wiley &amp; Sons","source":"Google Books","title":"Regulation theory, post-Fordism and urban politics","container-author":[{"family":"Fainstein","given":"Susan S."},{"family":"Campbell","given":"Scott"}],"author":[{"family":"Painter","given":"Joe"}],"issued":{"date-parts":[["2011",3,7]]}}}],"schema":"https://github.com/citation-style-language/schema/raw/master/csl-citation.json"} </w:instrText>
      </w:r>
      <w:r w:rsidRPr="00D3031B">
        <w:fldChar w:fldCharType="separate"/>
      </w:r>
      <w:r w:rsidRPr="00D3031B">
        <w:t>(Painter 2011)</w:t>
      </w:r>
      <w:r w:rsidRPr="00D3031B">
        <w:fldChar w:fldCharType="end"/>
      </w:r>
      <w:r w:rsidRPr="00D3031B">
        <w:t xml:space="preserve">. </w:t>
      </w:r>
    </w:p>
  </w:footnote>
  <w:footnote w:id="38">
    <w:p w14:paraId="0D48D1E6" w14:textId="77777777" w:rsidR="007B4EA4" w:rsidRPr="00D3031B" w:rsidRDefault="007B4EA4" w:rsidP="003F489C">
      <w:pPr>
        <w:pStyle w:val="FootnoteText"/>
      </w:pPr>
      <w:r w:rsidRPr="00BD17AF">
        <w:rPr>
          <w:rStyle w:val="FootnoteReference"/>
        </w:rPr>
        <w:footnoteRef/>
      </w:r>
      <w:r w:rsidRPr="00D3031B">
        <w:t xml:space="preserve"> Quasi-autonomous non-governmental organisations</w:t>
      </w:r>
    </w:p>
  </w:footnote>
  <w:footnote w:id="39">
    <w:p w14:paraId="6D40CF2D" w14:textId="1730FCF3" w:rsidR="009C01B8" w:rsidRPr="009C01B8" w:rsidRDefault="009C01B8">
      <w:pPr>
        <w:pStyle w:val="FootnoteText"/>
        <w:rPr>
          <w:lang w:val="en-US"/>
        </w:rPr>
      </w:pPr>
      <w:r>
        <w:rPr>
          <w:rStyle w:val="FootnoteReference"/>
        </w:rPr>
        <w:footnoteRef/>
      </w:r>
      <w:r>
        <w:t xml:space="preserve"> </w:t>
      </w:r>
      <w:r w:rsidR="00BA376C">
        <w:t>A</w:t>
      </w:r>
      <w:r w:rsidR="00BA376C" w:rsidRPr="00BA376C">
        <w:t>n ethno-nationalist</w:t>
      </w:r>
      <w:r w:rsidR="009464A6">
        <w:t xml:space="preserve"> and sectarian</w:t>
      </w:r>
      <w:r w:rsidR="00BA376C">
        <w:t xml:space="preserve"> </w:t>
      </w:r>
      <w:r w:rsidR="00BA376C" w:rsidRPr="00BA376C">
        <w:t xml:space="preserve">conflict in </w:t>
      </w:r>
      <w:r w:rsidR="00BA376C">
        <w:t xml:space="preserve">the </w:t>
      </w:r>
      <w:r w:rsidR="00BA376C" w:rsidRPr="00BA376C">
        <w:t>North</w:t>
      </w:r>
      <w:r w:rsidR="00BA376C">
        <w:t xml:space="preserve"> of </w:t>
      </w:r>
      <w:r w:rsidR="00BA376C" w:rsidRPr="00BA376C">
        <w:t>Ireland that lasted for about</w:t>
      </w:r>
      <w:r w:rsidR="00BA376C">
        <w:t xml:space="preserve"> three decades </w:t>
      </w:r>
      <w:r w:rsidR="00BA376C" w:rsidRPr="00BA376C">
        <w:t>from the late 1960s to 1998</w:t>
      </w:r>
      <w:r w:rsidR="00BA376C">
        <w:t>.</w:t>
      </w:r>
    </w:p>
  </w:footnote>
  <w:footnote w:id="40">
    <w:p w14:paraId="1121EC1A" w14:textId="125A3FEE" w:rsidR="00193A97" w:rsidRPr="00D3031B" w:rsidRDefault="00193A97" w:rsidP="003F489C">
      <w:pPr>
        <w:pStyle w:val="Footnotes"/>
        <w:spacing w:before="0" w:line="240" w:lineRule="auto"/>
        <w:rPr>
          <w:rFonts w:ascii="Century Schoolbook" w:hAnsi="Century Schoolbook"/>
          <w:sz w:val="20"/>
          <w:szCs w:val="20"/>
        </w:rPr>
      </w:pPr>
      <w:r w:rsidRPr="00BD17AF">
        <w:rPr>
          <w:rStyle w:val="FootnoteReference"/>
        </w:rPr>
        <w:footnoteRef/>
      </w:r>
      <w:r w:rsidRPr="00D3031B">
        <w:rPr>
          <w:rFonts w:ascii="Century Schoolbook" w:hAnsi="Century Schoolbook"/>
          <w:sz w:val="20"/>
          <w:szCs w:val="20"/>
        </w:rPr>
        <w:t xml:space="preserve"> A group of current BF young residents</w:t>
      </w:r>
      <w:r w:rsidR="002A4F60">
        <w:rPr>
          <w:rFonts w:ascii="Century Schoolbook" w:hAnsi="Century Schoolbook"/>
          <w:sz w:val="20"/>
          <w:szCs w:val="20"/>
        </w:rPr>
        <w:t xml:space="preserve">: </w:t>
      </w:r>
      <w:hyperlink r:id="rId1" w:history="1">
        <w:r w:rsidR="002A4F60" w:rsidRPr="002A4F60">
          <w:rPr>
            <w:rStyle w:val="Hyperlink"/>
            <w:rFonts w:ascii="Century Schoolbook" w:hAnsi="Century Schoolbook"/>
            <w:sz w:val="20"/>
            <w:szCs w:val="20"/>
          </w:rPr>
          <w:t>https://www.youtube.com/@beyondtheboxcic</w:t>
        </w:r>
      </w:hyperlink>
    </w:p>
  </w:footnote>
  <w:footnote w:id="41">
    <w:p w14:paraId="61968C0F" w14:textId="28AB0D3C" w:rsidR="009978BF" w:rsidRPr="009978BF" w:rsidRDefault="009978BF" w:rsidP="003F489C">
      <w:pPr>
        <w:pStyle w:val="FootnoteText"/>
        <w:rPr>
          <w:lang w:val="en-US"/>
        </w:rPr>
      </w:pPr>
      <w:r>
        <w:rPr>
          <w:rStyle w:val="FootnoteReference"/>
        </w:rPr>
        <w:footnoteRef/>
      </w:r>
      <w:r>
        <w:t xml:space="preserve"> </w:t>
      </w:r>
      <w:r>
        <w:rPr>
          <w:lang w:val="en-US"/>
        </w:rPr>
        <w:t>I contacted the local Conservative Party several times but did not hear back.</w:t>
      </w:r>
    </w:p>
  </w:footnote>
  <w:footnote w:id="42">
    <w:p w14:paraId="77FC13AB" w14:textId="7FA0BD16" w:rsidR="00095557" w:rsidRPr="00D3031B" w:rsidRDefault="00095557" w:rsidP="003F489C">
      <w:pPr>
        <w:pStyle w:val="FootnoteText"/>
      </w:pPr>
      <w:r w:rsidRPr="00BD17AF">
        <w:rPr>
          <w:rStyle w:val="FootnoteReference"/>
        </w:rPr>
        <w:footnoteRef/>
      </w:r>
      <w:r w:rsidRPr="00D3031B">
        <w:t xml:space="preserve"> All former councillors who were interviewed were Labour councillors during their tenure. </w:t>
      </w:r>
    </w:p>
  </w:footnote>
  <w:footnote w:id="43">
    <w:p w14:paraId="7BC5E12E" w14:textId="6103F344" w:rsidR="001A544B" w:rsidRPr="00D3031B" w:rsidRDefault="001A544B" w:rsidP="003F489C">
      <w:pPr>
        <w:pStyle w:val="FootnoteText"/>
      </w:pPr>
      <w:r w:rsidRPr="00BD17AF">
        <w:rPr>
          <w:rStyle w:val="FootnoteReference"/>
        </w:rPr>
        <w:footnoteRef/>
      </w:r>
      <w:r w:rsidRPr="00D3031B">
        <w:t xml:space="preserve"> Party correct at time of interview. See Section 1.</w:t>
      </w:r>
      <w:r w:rsidR="00F063E3">
        <w:t>3</w:t>
      </w:r>
      <w:r w:rsidRPr="00D3031B">
        <w:t xml:space="preserve">.1 for more information. </w:t>
      </w:r>
    </w:p>
  </w:footnote>
  <w:footnote w:id="44">
    <w:p w14:paraId="1B7E08B4" w14:textId="5973C83A" w:rsidR="00142A8B" w:rsidRPr="00D3031B" w:rsidRDefault="00142A8B" w:rsidP="003F489C">
      <w:pPr>
        <w:pStyle w:val="FootnoteText"/>
      </w:pPr>
      <w:r w:rsidRPr="00BD17AF">
        <w:rPr>
          <w:rStyle w:val="FootnoteReference"/>
        </w:rPr>
        <w:footnoteRef/>
      </w:r>
      <w:r w:rsidRPr="00D3031B">
        <w:t xml:space="preserve"> Anti-social behaviour</w:t>
      </w:r>
    </w:p>
  </w:footnote>
  <w:footnote w:id="45">
    <w:p w14:paraId="166E1793" w14:textId="21675691" w:rsidR="00247774" w:rsidRPr="00D3031B" w:rsidRDefault="00247774" w:rsidP="003F489C">
      <w:pPr>
        <w:pStyle w:val="FootnoteText"/>
      </w:pPr>
      <w:r w:rsidRPr="00BD17AF">
        <w:rPr>
          <w:rStyle w:val="FootnoteReference"/>
        </w:rPr>
        <w:footnoteRef/>
      </w:r>
      <w:r w:rsidRPr="00D3031B">
        <w:t xml:space="preserve"> </w:t>
      </w:r>
      <w:r w:rsidR="00662E51" w:rsidRPr="00D3031B">
        <w:t xml:space="preserve">Compulsory purchase order. See </w:t>
      </w:r>
      <w:r w:rsidR="00FC4A08">
        <w:t xml:space="preserve">Section 1.4.3 and </w:t>
      </w:r>
      <w:r w:rsidR="00662E51" w:rsidRPr="00D3031B">
        <w:t>Chapter 7.</w:t>
      </w:r>
    </w:p>
  </w:footnote>
  <w:footnote w:id="46">
    <w:p w14:paraId="38AC24BC" w14:textId="77777777" w:rsidR="0088231B" w:rsidRPr="00D3031B" w:rsidRDefault="0088231B" w:rsidP="003F489C">
      <w:pPr>
        <w:pStyle w:val="FootnoteText"/>
      </w:pPr>
      <w:r w:rsidRPr="00BD17AF">
        <w:rPr>
          <w:rStyle w:val="FootnoteReference"/>
        </w:rPr>
        <w:footnoteRef/>
      </w:r>
      <w:r w:rsidRPr="00D3031B">
        <w:t xml:space="preserve"> Councillor or Activist </w:t>
      </w:r>
    </w:p>
  </w:footnote>
  <w:footnote w:id="47">
    <w:p w14:paraId="204C65C6" w14:textId="0175FCD8" w:rsidR="00D2464B" w:rsidRPr="00D3031B" w:rsidRDefault="00D2464B" w:rsidP="003F489C">
      <w:pPr>
        <w:pStyle w:val="FootnoteText"/>
      </w:pPr>
      <w:r w:rsidRPr="00BD17AF">
        <w:rPr>
          <w:rStyle w:val="FootnoteReference"/>
        </w:rPr>
        <w:footnoteRef/>
      </w:r>
      <w:r w:rsidRPr="00D3031B">
        <w:t xml:space="preserve"> </w:t>
      </w:r>
      <w:r w:rsidR="009250F6">
        <w:t xml:space="preserve">Another version of </w:t>
      </w:r>
      <w:r w:rsidRPr="00D3031B">
        <w:t xml:space="preserve">this chapter </w:t>
      </w:r>
      <w:r w:rsidR="00F15BDE" w:rsidRPr="00D3031B">
        <w:t>has been</w:t>
      </w:r>
      <w:r w:rsidR="00A26287" w:rsidRPr="00D3031B">
        <w:t xml:space="preserve"> published in</w:t>
      </w:r>
      <w:r w:rsidR="00352B38" w:rsidRPr="00D3031B">
        <w:t xml:space="preserve"> </w:t>
      </w:r>
      <w:r w:rsidR="00A26287" w:rsidRPr="00D3031B">
        <w:t xml:space="preserve">the </w:t>
      </w:r>
      <w:r w:rsidR="00595F36" w:rsidRPr="00D3031B">
        <w:rPr>
          <w:i/>
          <w:iCs/>
        </w:rPr>
        <w:t>Citizenship Studies</w:t>
      </w:r>
      <w:r w:rsidR="00595F36" w:rsidRPr="00D3031B">
        <w:t xml:space="preserve"> journal</w:t>
      </w:r>
      <w:r w:rsidR="00022DF7" w:rsidRPr="00D3031B">
        <w:t xml:space="preserve"> </w:t>
      </w:r>
      <w:r w:rsidR="00421807" w:rsidRPr="00D3031B">
        <w:fldChar w:fldCharType="begin"/>
      </w:r>
      <w:r w:rsidR="00E3175C">
        <w:instrText xml:space="preserve"> ADDIN ZOTERO_ITEM CSL_CITATION {"citationID":"pFNGfeAy","properties":{"formattedCitation":"(Sindhwani 2025d)","plainCitation":"(Sindhwani 2025d)","noteIndex":47},"citationItems":[{"id":7103,"uris":["http://zotero.org/users/8977980/items/45JA9IWC"],"itemData":{"id":7103,"type":"article-journal","container-title":"Citizenship Studies","DOI":"10.1080/13621025.2025.2597930","ISSN":"1362-1025, 1469-3593","journalAbbreviation":"Citizenship Studies","language":"en","page":"1-17","source":"DOI.org (Crossref)","title":"Working on the farm: acts of citizenship and accommodative resistance","title-short":"Working on the farm","author":[{"family":"Sindhwani","given":"Anil"}],"issued":{"date-parts":[["2025",12,2]]}}}],"schema":"https://github.com/citation-style-language/schema/raw/master/csl-citation.json"} </w:instrText>
      </w:r>
      <w:r w:rsidR="00421807" w:rsidRPr="00D3031B">
        <w:fldChar w:fldCharType="separate"/>
      </w:r>
      <w:r w:rsidR="00A10C26" w:rsidRPr="00A10C26">
        <w:t>(Sindhwani 2025d)</w:t>
      </w:r>
      <w:r w:rsidR="00421807" w:rsidRPr="00D3031B">
        <w:fldChar w:fldCharType="end"/>
      </w:r>
      <w:r w:rsidR="00022DF7" w:rsidRPr="00D3031B">
        <w:t>.</w:t>
      </w:r>
      <w:r w:rsidR="00595F36" w:rsidRPr="00D3031B">
        <w:t xml:space="preserve"> </w:t>
      </w:r>
      <w:r w:rsidR="009250F6">
        <w:t xml:space="preserve">The paper version </w:t>
      </w:r>
      <w:r w:rsidR="0094756F" w:rsidRPr="00D3031B">
        <w:t xml:space="preserve">has been edited to ensure coherence with the rest of the </w:t>
      </w:r>
      <w:r w:rsidR="00DC1DA1" w:rsidRPr="00D3031B">
        <w:t xml:space="preserve">thesis </w:t>
      </w:r>
      <w:r w:rsidR="0094756F" w:rsidRPr="00D3031B">
        <w:t xml:space="preserve">and </w:t>
      </w:r>
      <w:r w:rsidR="00DC1DA1" w:rsidRPr="00D3031B">
        <w:t xml:space="preserve">to </w:t>
      </w:r>
      <w:r w:rsidR="0094756F" w:rsidRPr="00D3031B">
        <w:t xml:space="preserve">avoid repetition. </w:t>
      </w:r>
    </w:p>
  </w:footnote>
  <w:footnote w:id="48">
    <w:p w14:paraId="623152DC" w14:textId="77777777" w:rsidR="00DE5968" w:rsidRPr="00D3031B" w:rsidRDefault="00DE5968" w:rsidP="003F489C">
      <w:pPr>
        <w:pStyle w:val="Footnotes"/>
        <w:spacing w:before="0" w:line="240" w:lineRule="auto"/>
        <w:rPr>
          <w:rFonts w:ascii="Century Schoolbook" w:hAnsi="Century Schoolbook"/>
          <w:sz w:val="20"/>
          <w:szCs w:val="20"/>
        </w:rPr>
      </w:pPr>
      <w:r w:rsidRPr="00BD17AF">
        <w:rPr>
          <w:rStyle w:val="FootnoteReference"/>
        </w:rPr>
        <w:footnoteRef/>
      </w:r>
      <w:r w:rsidRPr="00D3031B">
        <w:rPr>
          <w:rFonts w:ascii="Century Schoolbook" w:hAnsi="Century Schoolbook"/>
          <w:sz w:val="20"/>
          <w:szCs w:val="20"/>
        </w:rPr>
        <w:t xml:space="preserve"> I use ‘Black’ or its variants to primarily describe both British-born and foreign-born individuals with Afro-Caribbean heritage.</w:t>
      </w:r>
    </w:p>
  </w:footnote>
  <w:footnote w:id="49">
    <w:p w14:paraId="799F47EC" w14:textId="77777777" w:rsidR="00DE5968" w:rsidRPr="00D3031B" w:rsidRDefault="00DE5968" w:rsidP="003F489C">
      <w:pPr>
        <w:pStyle w:val="Footnotes"/>
        <w:spacing w:before="0" w:line="240" w:lineRule="auto"/>
        <w:rPr>
          <w:rFonts w:ascii="Century Schoolbook" w:hAnsi="Century Schoolbook"/>
          <w:sz w:val="20"/>
          <w:szCs w:val="20"/>
        </w:rPr>
      </w:pPr>
      <w:r w:rsidRPr="00BD17AF">
        <w:rPr>
          <w:rStyle w:val="FootnoteReference"/>
        </w:rPr>
        <w:footnoteRef/>
      </w:r>
      <w:r w:rsidRPr="00D3031B">
        <w:rPr>
          <w:rFonts w:ascii="Century Schoolbook" w:hAnsi="Century Schoolbook"/>
          <w:sz w:val="20"/>
          <w:szCs w:val="20"/>
        </w:rPr>
        <w:t xml:space="preserve"> This replaced the previous, white-led Tenants’ Association </w:t>
      </w:r>
    </w:p>
  </w:footnote>
  <w:footnote w:id="50">
    <w:p w14:paraId="0945EB1C" w14:textId="559A316D" w:rsidR="00DD1F4D" w:rsidRPr="00D3031B" w:rsidRDefault="00DD1F4D" w:rsidP="003F489C">
      <w:pPr>
        <w:pStyle w:val="FootnoteText"/>
      </w:pPr>
      <w:r w:rsidRPr="00BD17AF">
        <w:rPr>
          <w:rStyle w:val="FootnoteReference"/>
        </w:rPr>
        <w:footnoteRef/>
      </w:r>
      <w:r w:rsidR="00EC7589" w:rsidRPr="00D3031B">
        <w:t xml:space="preserve"> The text of this chapter is under review </w:t>
      </w:r>
      <w:r w:rsidR="00A057D8" w:rsidRPr="00D3031B">
        <w:t xml:space="preserve">for a special issue in </w:t>
      </w:r>
      <w:r w:rsidR="00A057D8" w:rsidRPr="00D3031B">
        <w:rPr>
          <w:i/>
          <w:iCs/>
        </w:rPr>
        <w:t>Territory, Politics, Governance</w:t>
      </w:r>
      <w:r w:rsidR="00C60C69">
        <w:t xml:space="preserve"> </w:t>
      </w:r>
      <w:r w:rsidR="00A10C26">
        <w:fldChar w:fldCharType="begin"/>
      </w:r>
      <w:r w:rsidR="00E3175C">
        <w:instrText xml:space="preserve"> ADDIN ZOTERO_ITEM CSL_CITATION {"citationID":"nVIR96ZU","properties":{"formattedCitation":"(Sindhwani 2025b)","plainCitation":"(Sindhwani 2025b)","noteIndex":50},"citationItems":[{"id":7182,"uris":["http://zotero.org/users/8977980/items/B6JXQM3S"],"itemData":{"id":7182,"type":"manuscript","genre":"Manuscript under review","title":"“Personal Connections and Personal Alliances:” Leveraging Local Electoral Politics for Power","author":[{"family":"Sindhwani","given":"Anil"}],"issued":{"date-parts":[["2025"]]}}}],"schema":"https://github.com/citation-style-language/schema/raw/master/csl-citation.json"} </w:instrText>
      </w:r>
      <w:r w:rsidR="00A10C26">
        <w:fldChar w:fldCharType="separate"/>
      </w:r>
      <w:r w:rsidR="00A10C26" w:rsidRPr="00A10C26">
        <w:t>(Sindhwani 2025b)</w:t>
      </w:r>
      <w:r w:rsidR="00A10C26">
        <w:fldChar w:fldCharType="end"/>
      </w:r>
      <w:r w:rsidR="00D23A6F" w:rsidRPr="00D3031B">
        <w:t>.</w:t>
      </w:r>
      <w:r w:rsidR="005C5475" w:rsidRPr="00D3031B">
        <w:t xml:space="preserve"> It has been edited to ensure coherence with the rest of the thesis and to avoid repetition.</w:t>
      </w:r>
    </w:p>
  </w:footnote>
  <w:footnote w:id="51">
    <w:p w14:paraId="6692698D" w14:textId="62BC4844" w:rsidR="00312068" w:rsidRPr="00312068" w:rsidRDefault="00312068" w:rsidP="003F489C">
      <w:pPr>
        <w:pStyle w:val="FootnoteText"/>
        <w:rPr>
          <w:lang w:val="en-US"/>
        </w:rPr>
      </w:pPr>
      <w:r>
        <w:rPr>
          <w:rStyle w:val="FootnoteReference"/>
        </w:rPr>
        <w:footnoteRef/>
      </w:r>
      <w:r>
        <w:t xml:space="preserve"> </w:t>
      </w:r>
      <w:r>
        <w:rPr>
          <w:lang w:val="en-US"/>
        </w:rPr>
        <w:t>See Section 1.4.2 for more detail.</w:t>
      </w:r>
    </w:p>
  </w:footnote>
  <w:footnote w:id="52">
    <w:p w14:paraId="67D43453" w14:textId="77777777" w:rsidR="00AE3C6E" w:rsidRPr="00D3031B" w:rsidRDefault="00AE3C6E" w:rsidP="003F489C">
      <w:pPr>
        <w:pStyle w:val="FootnoteText"/>
      </w:pPr>
      <w:r w:rsidRPr="00BD17AF">
        <w:rPr>
          <w:rStyle w:val="FootnoteReference"/>
        </w:rPr>
        <w:footnoteRef/>
      </w:r>
      <w:r w:rsidRPr="00D3031B">
        <w:t xml:space="preserve"> Deliberately vague for anonymity </w:t>
      </w:r>
    </w:p>
  </w:footnote>
  <w:footnote w:id="53">
    <w:p w14:paraId="7E439802" w14:textId="40F45F30" w:rsidR="00770016" w:rsidRPr="00770016" w:rsidRDefault="00770016" w:rsidP="003F489C">
      <w:pPr>
        <w:pStyle w:val="FootnoteText"/>
        <w:rPr>
          <w:lang w:val="en-US"/>
        </w:rPr>
      </w:pPr>
      <w:r>
        <w:rPr>
          <w:rStyle w:val="FootnoteReference"/>
        </w:rPr>
        <w:footnoteRef/>
      </w:r>
      <w:r>
        <w:t xml:space="preserve"> </w:t>
      </w:r>
      <w:r w:rsidR="00ED06FA">
        <w:rPr>
          <w:lang w:val="en-US"/>
        </w:rPr>
        <w:t>Ahmet resigned in January 2018 before the election</w:t>
      </w:r>
      <w:r w:rsidR="001A0523">
        <w:rPr>
          <w:lang w:val="en-US"/>
        </w:rPr>
        <w:t xml:space="preserve">, </w:t>
      </w:r>
      <w:r w:rsidR="0055737A">
        <w:rPr>
          <w:lang w:val="en-US"/>
        </w:rPr>
        <w:t xml:space="preserve">in protest of </w:t>
      </w:r>
      <w:r w:rsidR="001A0523">
        <w:rPr>
          <w:lang w:val="en-US"/>
        </w:rPr>
        <w:t xml:space="preserve">the Kober administration’s handling of the </w:t>
      </w:r>
      <w:r w:rsidR="0055737A">
        <w:rPr>
          <w:lang w:val="en-US"/>
        </w:rPr>
        <w:t>HDV</w:t>
      </w:r>
      <w:r w:rsidR="001A0523">
        <w:rPr>
          <w:lang w:val="en-US"/>
        </w:rPr>
        <w:t xml:space="preserve"> </w:t>
      </w:r>
      <w:r w:rsidR="004C034F">
        <w:rPr>
          <w:lang w:val="en-US"/>
        </w:rPr>
        <w:fldChar w:fldCharType="begin"/>
      </w:r>
      <w:r w:rsidR="00E3175C">
        <w:rPr>
          <w:lang w:val="en-US"/>
        </w:rPr>
        <w:instrText xml:space="preserve"> ADDIN ZOTERO_ITEM CSL_CITATION {"citationID":"XdKUXi0s","properties":{"formattedCitation":"(Barratt 2018a)","plainCitation":"(Barratt 2018a)","noteIndex":53},"citationItems":[{"id":7206,"uris":["http://zotero.org/users/8977980/items/5QPJ4TQE"],"itemData":{"id":7206,"type":"article-newspaper","abstract":"A trusted source of up-to-date news for social housing professionals – the only place to get comprehensive coverage of all the big topics.","container-title":"Inside Housing","language":"En","publisher-place":"London (UK), United Kingdom","section":"News","title":"Haringey cabinet member resigns over development vehicle","URL":"https://www.insidehousing.co.uk/news/haringey-cabinet-member-resigns-over-development-vehicle-53720","author":[{"family":"Barratt","given":"Luke"}],"accessed":{"date-parts":[["2026",2,11]]},"issued":{"date-parts":[["2018",1,3]]}}}],"schema":"https://github.com/citation-style-language/schema/raw/master/csl-citation.json"} </w:instrText>
      </w:r>
      <w:r w:rsidR="004C034F">
        <w:rPr>
          <w:lang w:val="en-US"/>
        </w:rPr>
        <w:fldChar w:fldCharType="separate"/>
      </w:r>
      <w:r w:rsidR="004C034F" w:rsidRPr="004C034F">
        <w:t>(Barratt 2018a)</w:t>
      </w:r>
      <w:r w:rsidR="004C034F">
        <w:rPr>
          <w:lang w:val="en-US"/>
        </w:rPr>
        <w:fldChar w:fldCharType="end"/>
      </w:r>
      <w:r w:rsidR="001A0523">
        <w:rPr>
          <w:lang w:val="en-US"/>
        </w:rPr>
        <w:t>.</w:t>
      </w:r>
    </w:p>
  </w:footnote>
  <w:footnote w:id="54">
    <w:p w14:paraId="67182257" w14:textId="53307050" w:rsidR="00A23C86" w:rsidRPr="00D3031B" w:rsidRDefault="00A23C86" w:rsidP="003F489C">
      <w:pPr>
        <w:pStyle w:val="FootnoteText"/>
      </w:pPr>
      <w:r w:rsidRPr="00BD17AF">
        <w:rPr>
          <w:rStyle w:val="FootnoteReference"/>
        </w:rPr>
        <w:footnoteRef/>
      </w:r>
      <w:r w:rsidRPr="00D3031B">
        <w:t xml:space="preserve"> Redacted for privacy purposes. </w:t>
      </w:r>
      <w:r w:rsidR="00FC1B9B" w:rsidRPr="00D3031B">
        <w:t>Constituency Labour Parties</w:t>
      </w:r>
      <w:r w:rsidR="00550B68" w:rsidRPr="00D3031B">
        <w:t xml:space="preserve"> are coterminous with parliamentary electoral districts of the same name, and are above wards in the Labour Party hierarchy. See Section 3.3.3 for more detail.</w:t>
      </w:r>
    </w:p>
  </w:footnote>
  <w:footnote w:id="55">
    <w:p w14:paraId="49E33734" w14:textId="43D8B802" w:rsidR="00A1577B" w:rsidRPr="00D3031B" w:rsidRDefault="00A1577B" w:rsidP="003F489C">
      <w:pPr>
        <w:pStyle w:val="FootnoteText"/>
      </w:pPr>
      <w:r w:rsidRPr="00BD17AF">
        <w:rPr>
          <w:rStyle w:val="FootnoteReference"/>
        </w:rPr>
        <w:footnoteRef/>
      </w:r>
      <w:r w:rsidRPr="00D3031B">
        <w:t xml:space="preserve"> Melissa specified the tragic killing of </w:t>
      </w:r>
      <w:r w:rsidR="005A2BD0" w:rsidRPr="00D3031B">
        <w:t xml:space="preserve">two-year old </w:t>
      </w:r>
      <w:r w:rsidR="00CD487D" w:rsidRPr="00D3031B">
        <w:t xml:space="preserve">Peter Connelly (also known as </w:t>
      </w:r>
      <w:r w:rsidRPr="00D3031B">
        <w:t>Baby P</w:t>
      </w:r>
      <w:r w:rsidR="00CD487D" w:rsidRPr="00D3031B">
        <w:t>)</w:t>
      </w:r>
      <w:r w:rsidRPr="00D3031B">
        <w:t xml:space="preserve"> in 2007.</w:t>
      </w:r>
      <w:r w:rsidR="00DF68E7" w:rsidRPr="00D3031B">
        <w:t xml:space="preserve"> See Section 1.</w:t>
      </w:r>
      <w:r w:rsidR="00F063E3">
        <w:t>3</w:t>
      </w:r>
      <w:r w:rsidR="00C319DB" w:rsidRPr="00D3031B">
        <w:t>.1</w:t>
      </w:r>
      <w:r w:rsidR="00CD487D" w:rsidRPr="00D3031B">
        <w:t xml:space="preserve"> for more detail</w:t>
      </w:r>
      <w:r w:rsidR="002155F5" w:rsidRPr="00D3031B">
        <w:t>s</w:t>
      </w:r>
      <w:r w:rsidR="00CD487D" w:rsidRPr="00D3031B">
        <w:t xml:space="preserve">. </w:t>
      </w:r>
    </w:p>
  </w:footnote>
  <w:footnote w:id="56">
    <w:p w14:paraId="655170F9" w14:textId="3556BEF7" w:rsidR="001B2BFE" w:rsidRPr="001B2BFE" w:rsidRDefault="001B2BFE">
      <w:pPr>
        <w:pStyle w:val="FootnoteText"/>
        <w:rPr>
          <w:lang w:val="en-US"/>
        </w:rPr>
      </w:pPr>
      <w:r>
        <w:rPr>
          <w:rStyle w:val="FootnoteReference"/>
        </w:rPr>
        <w:footnoteRef/>
      </w:r>
      <w:r>
        <w:t xml:space="preserve"> The </w:t>
      </w:r>
      <w:r>
        <w:rPr>
          <w:szCs w:val="24"/>
        </w:rPr>
        <w:t>discussion of such relationships is left deliberately vague throughout the work due to ethical limitations. As this chapter and thesis are publicly available</w:t>
      </w:r>
      <w:r w:rsidR="00886367">
        <w:rPr>
          <w:szCs w:val="24"/>
        </w:rPr>
        <w:t xml:space="preserve">, revealing intimate details might unmask them, risking significant ethical harm </w:t>
      </w:r>
      <w:r w:rsidR="008E0B7B">
        <w:rPr>
          <w:szCs w:val="24"/>
        </w:rPr>
        <w:fldChar w:fldCharType="begin"/>
      </w:r>
      <w:r w:rsidR="008E0B7B">
        <w:rPr>
          <w:szCs w:val="24"/>
        </w:rPr>
        <w:instrText xml:space="preserve"> ADDIN ZOTERO_ITEM CSL_CITATION {"citationID":"lkUtvLww","properties":{"formattedCitation":"(Dawson 2014)","plainCitation":"(Dawson 2014)","noteIndex":56},"citationItems":[{"id":7267,"uris":["http://zotero.org/users/8977980/items/ZLJYK4GL"],"itemData":{"id":7267,"type":"article-journal","abstract":"When educational research is conducted online, we sometimes promise our participants that they will be anonymous—but do we deliver on this promise? We have been warned since 1996 to be careful when using direct quotes in Internet research, as full-text web search engines make it easy to find chunks of text online. This paper details an empirical study into the prevalence of direct quotes from participants in a subset of the educational technology literature. Using basic web search techniques, the source of direct quotes could be found in 10 of 112 articles. Analysis of the articles revealed previously undiscussed threats from data triangulation and expert analysis/diagnosis. Issues of ethical obliviousness, obscurity and concern for future privacy-invasive technologies are also discussed. Recommendations for researchers, journals and institutional ethics review boards are made for how to better protect participants' anonymity against current and future threats.","container-title":"British Journal of Educational Technology","DOI":"10.1111/bjet.12144","ISSN":"1467-8535","issue":"3","language":"en","license":"© 2014 British Educational Research Association","note":"_eprint: https://bera-journals.onlinelibrary.wiley.com/doi/pdf/10.1111/bjet.12144","page":"428-437","source":"Wiley Online Library","title":"Our anonymous online research participants are not always anonymous: Is this a problem?","title-short":"Our anonymous online research participants are not always anonymous","volume":"45","author":[{"family":"Dawson","given":"Phillip"}],"issued":{"date-parts":[["2014"]]}}}],"schema":"https://github.com/citation-style-language/schema/raw/master/csl-citation.json"} </w:instrText>
      </w:r>
      <w:r w:rsidR="008E0B7B">
        <w:rPr>
          <w:szCs w:val="24"/>
        </w:rPr>
        <w:fldChar w:fldCharType="separate"/>
      </w:r>
      <w:r w:rsidR="008E0B7B" w:rsidRPr="008E0B7B">
        <w:t>(Dawson 2014)</w:t>
      </w:r>
      <w:r w:rsidR="008E0B7B">
        <w:rPr>
          <w:szCs w:val="24"/>
        </w:rPr>
        <w:fldChar w:fldCharType="end"/>
      </w:r>
      <w:r w:rsidR="008E0B7B">
        <w:rPr>
          <w:szCs w:val="24"/>
        </w:rPr>
        <w:t>. I therefore leave this discussion here, focusing more on the structurally defined relationships within the Labour Party rather than the personal ones.</w:t>
      </w:r>
    </w:p>
  </w:footnote>
  <w:footnote w:id="57">
    <w:p w14:paraId="182926DD" w14:textId="668B2EED" w:rsidR="00463B88" w:rsidRPr="00463B88" w:rsidRDefault="00463B88" w:rsidP="003F489C">
      <w:pPr>
        <w:pStyle w:val="FootnoteText"/>
        <w:rPr>
          <w:lang w:val="en-US"/>
        </w:rPr>
      </w:pPr>
      <w:r>
        <w:rPr>
          <w:rStyle w:val="FootnoteReference"/>
        </w:rPr>
        <w:footnoteRef/>
      </w:r>
      <w:r>
        <w:t xml:space="preserve"> </w:t>
      </w:r>
      <w:r w:rsidR="007101A8">
        <w:rPr>
          <w:lang w:val="en-US"/>
        </w:rPr>
        <w:t>The process of bringing the management services back in-house b</w:t>
      </w:r>
      <w:r w:rsidR="00133640">
        <w:rPr>
          <w:lang w:val="en-US"/>
        </w:rPr>
        <w:t>egan in 202</w:t>
      </w:r>
      <w:r w:rsidR="0039323B">
        <w:rPr>
          <w:lang w:val="en-US"/>
        </w:rPr>
        <w:t>1, during the Ejiofor-led administration,</w:t>
      </w:r>
      <w:r w:rsidR="00133640">
        <w:rPr>
          <w:lang w:val="en-US"/>
        </w:rPr>
        <w:t xml:space="preserve"> and was complete</w:t>
      </w:r>
      <w:r w:rsidR="009751EA">
        <w:rPr>
          <w:lang w:val="en-US"/>
        </w:rPr>
        <w:t xml:space="preserve">d </w:t>
      </w:r>
      <w:r w:rsidR="00133640">
        <w:rPr>
          <w:lang w:val="en-US"/>
        </w:rPr>
        <w:t>by the end of 2022</w:t>
      </w:r>
      <w:r w:rsidR="00F5088C">
        <w:rPr>
          <w:lang w:val="en-US"/>
        </w:rPr>
        <w:t xml:space="preserve"> </w:t>
      </w:r>
      <w:r w:rsidR="0039323B">
        <w:rPr>
          <w:lang w:val="en-US"/>
        </w:rPr>
        <w:fldChar w:fldCharType="begin"/>
      </w:r>
      <w:r w:rsidR="00E3175C">
        <w:rPr>
          <w:lang w:val="en-US"/>
        </w:rPr>
        <w:instrText xml:space="preserve"> ADDIN ZOTERO_ITEM CSL_CITATION {"citationID":"WnvsMrDr","properties":{"formattedCitation":"(Reeve 2022)","plainCitation":"(Reeve 2022)","noteIndex":56},"citationItems":[{"id":7210,"uris":["http://zotero.org/users/8977980/items/LWKSC83W"],"itemData":{"id":7210,"type":"article-newspaper","abstract":"In-sourcing received \"overwhelming support\" from residents at a cabinet meeting last December","container-title":"Haringey Community Press","language":"en-GB","note":"section: News","section":"News","title":"Homes for Haringey is officially back under council control","URL":"https://haringeycommunitypress.co.uk/2022/06/01/homes-for-haringey-officially-under-council-control/","author":[{"family":"Reeve","given":"Joe"}],"accessed":{"date-parts":[["2026",2,11]]},"issued":{"date-parts":[["2022",6,1]]}}}],"schema":"https://github.com/citation-style-language/schema/raw/master/csl-citation.json"} </w:instrText>
      </w:r>
      <w:r w:rsidR="0039323B">
        <w:rPr>
          <w:lang w:val="en-US"/>
        </w:rPr>
        <w:fldChar w:fldCharType="separate"/>
      </w:r>
      <w:r w:rsidR="0039323B" w:rsidRPr="0039323B">
        <w:t>(Reeve 2022)</w:t>
      </w:r>
      <w:r w:rsidR="0039323B">
        <w:rPr>
          <w:lang w:val="en-US"/>
        </w:rPr>
        <w:fldChar w:fldCharType="end"/>
      </w:r>
      <w:r w:rsidR="00133640">
        <w:rPr>
          <w:lang w:val="en-US"/>
        </w:rPr>
        <w:t>.</w:t>
      </w:r>
    </w:p>
  </w:footnote>
  <w:footnote w:id="58">
    <w:p w14:paraId="2B6DDF76" w14:textId="1ED0366D" w:rsidR="00D23A6F" w:rsidRPr="00D3031B" w:rsidRDefault="00D23A6F" w:rsidP="003F489C">
      <w:pPr>
        <w:pStyle w:val="FootnoteText"/>
      </w:pPr>
      <w:r w:rsidRPr="00BD17AF">
        <w:rPr>
          <w:rStyle w:val="FootnoteReference"/>
        </w:rPr>
        <w:footnoteRef/>
      </w:r>
      <w:r w:rsidRPr="00D3031B">
        <w:t xml:space="preserve"> The text of this chapter is currently under review at </w:t>
      </w:r>
      <w:r w:rsidR="0041199B">
        <w:rPr>
          <w:i/>
          <w:iCs/>
        </w:rPr>
        <w:t>Urban Geography</w:t>
      </w:r>
      <w:r w:rsidRPr="00D3031B">
        <w:t xml:space="preserve"> </w:t>
      </w:r>
      <w:r w:rsidR="00C06209" w:rsidRPr="00D3031B">
        <w:fldChar w:fldCharType="begin"/>
      </w:r>
      <w:r w:rsidR="00E3175C">
        <w:instrText xml:space="preserve"> ADDIN ZOTERO_ITEM CSL_CITATION {"citationID":"fxuZJZCN","properties":{"formattedCitation":"(Sindhwani 2025a)","plainCitation":"(Sindhwani 2025a)","noteIndex":57},"citationItems":[{"id":7093,"uris":["http://zotero.org/users/8977980/items/ZWQQ73NC"],"itemData":{"id":7093,"type":"manuscript","genre":"Manuscript under review","title":"Local Parties, Authoritarian Neoliberalism, and Urban Change in Tottenham, London","author":[{"family":"Sindhwani","given":"Anil"}],"issued":{"date-parts":[["2025"]]}}}],"schema":"https://github.com/citation-style-language/schema/raw/master/csl-citation.json"} </w:instrText>
      </w:r>
      <w:r w:rsidR="00C06209" w:rsidRPr="00D3031B">
        <w:fldChar w:fldCharType="separate"/>
      </w:r>
      <w:r w:rsidR="0021411E" w:rsidRPr="00D3031B">
        <w:t>(Sindhwani 2025a)</w:t>
      </w:r>
      <w:r w:rsidR="00C06209" w:rsidRPr="00D3031B">
        <w:fldChar w:fldCharType="end"/>
      </w:r>
      <w:r w:rsidR="005C5475" w:rsidRPr="00D3031B">
        <w:t>. It has been edited to ensure coherence with the rest of the thesis and to avoid repetition.</w:t>
      </w:r>
    </w:p>
  </w:footnote>
  <w:footnote w:id="59">
    <w:p w14:paraId="21A1F274" w14:textId="77777777" w:rsidR="00621C17" w:rsidRPr="00D3031B" w:rsidRDefault="00621C17" w:rsidP="003F489C">
      <w:pPr>
        <w:pStyle w:val="FootnoteText"/>
      </w:pPr>
      <w:r w:rsidRPr="00BD17AF">
        <w:rPr>
          <w:rStyle w:val="FootnoteReference"/>
        </w:rPr>
        <w:footnoteRef/>
      </w:r>
      <w:r w:rsidRPr="00D3031B">
        <w:t xml:space="preserve"> The affordability of these homes is disputed (Jayanetti, 2023).</w:t>
      </w:r>
    </w:p>
  </w:footnote>
  <w:footnote w:id="60">
    <w:p w14:paraId="5CDF1EA3" w14:textId="77777777" w:rsidR="00621C17" w:rsidRPr="00D3031B" w:rsidRDefault="00621C17" w:rsidP="003F489C">
      <w:pPr>
        <w:pStyle w:val="FootnoteText"/>
      </w:pPr>
      <w:r w:rsidRPr="00BD17AF">
        <w:rPr>
          <w:rStyle w:val="FootnoteReference"/>
        </w:rPr>
        <w:footnoteRef/>
      </w:r>
      <w:r w:rsidRPr="00D3031B">
        <w:t xml:space="preserve"> Independent advisors who support an estate’s residents and their decisions through the regeneration process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3CE24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5202305"/>
    <w:multiLevelType w:val="multilevel"/>
    <w:tmpl w:val="4D08A2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7965CD2"/>
    <w:multiLevelType w:val="hybridMultilevel"/>
    <w:tmpl w:val="C0A62768"/>
    <w:lvl w:ilvl="0" w:tplc="04090001">
      <w:start w:val="1"/>
      <w:numFmt w:val="bullet"/>
      <w:lvlText w:val=""/>
      <w:lvlJc w:val="left"/>
      <w:pPr>
        <w:ind w:left="720" w:hanging="360"/>
      </w:pPr>
      <w:rPr>
        <w:rFonts w:ascii="Symbol" w:hAnsi="Symbol" w:hint="default"/>
      </w:rPr>
    </w:lvl>
    <w:lvl w:ilvl="1" w:tplc="B5505598">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9" w15:restartNumberingAfterBreak="0">
    <w:nsid w:val="2E2E62C5"/>
    <w:multiLevelType w:val="hybridMultilevel"/>
    <w:tmpl w:val="F33E5BDE"/>
    <w:lvl w:ilvl="0" w:tplc="063EF1DA">
      <w:numFmt w:val="bullet"/>
      <w:lvlText w:val="-"/>
      <w:lvlJc w:val="left"/>
      <w:pPr>
        <w:ind w:left="720" w:hanging="360"/>
      </w:pPr>
      <w:rPr>
        <w:rFonts w:ascii="Century Schoolbook" w:eastAsiaTheme="minorHAnsi" w:hAnsi="Century Schoolbook"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6884886"/>
    <w:multiLevelType w:val="hybridMultilevel"/>
    <w:tmpl w:val="A6CEBC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16B6805"/>
    <w:multiLevelType w:val="hybridMultilevel"/>
    <w:tmpl w:val="CC02F486"/>
    <w:lvl w:ilvl="0" w:tplc="7E78416A">
      <w:numFmt w:val="bullet"/>
      <w:lvlText w:val="-"/>
      <w:lvlJc w:val="left"/>
      <w:pPr>
        <w:ind w:left="720" w:hanging="360"/>
      </w:pPr>
      <w:rPr>
        <w:rFonts w:ascii="Century Schoolbook" w:eastAsiaTheme="minorHAnsi" w:hAnsi="Century School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1841686"/>
    <w:multiLevelType w:val="hybridMultilevel"/>
    <w:tmpl w:val="1952C8BE"/>
    <w:lvl w:ilvl="0" w:tplc="CA14F524">
      <w:numFmt w:val="bullet"/>
      <w:lvlText w:val="-"/>
      <w:lvlJc w:val="left"/>
      <w:pPr>
        <w:ind w:left="720" w:hanging="360"/>
      </w:pPr>
      <w:rPr>
        <w:rFonts w:ascii="Century Schoolbook" w:eastAsiaTheme="minorHAnsi" w:hAnsi="Century School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1C15D2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3F14A02"/>
    <w:multiLevelType w:val="hybridMultilevel"/>
    <w:tmpl w:val="4F281E96"/>
    <w:lvl w:ilvl="0" w:tplc="6150A5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3F84420"/>
    <w:multiLevelType w:val="hybridMultilevel"/>
    <w:tmpl w:val="DE3AEA34"/>
    <w:lvl w:ilvl="0" w:tplc="4A446B96">
      <w:numFmt w:val="bullet"/>
      <w:lvlText w:val="-"/>
      <w:lvlJc w:val="left"/>
      <w:pPr>
        <w:ind w:left="720" w:hanging="360"/>
      </w:pPr>
      <w:rPr>
        <w:rFonts w:ascii="Century Schoolbook" w:eastAsiaTheme="minorHAnsi" w:hAnsi="Century School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63F2D65"/>
    <w:multiLevelType w:val="multilevel"/>
    <w:tmpl w:val="94865CC0"/>
    <w:lvl w:ilvl="0">
      <w:start w:val="1"/>
      <w:numFmt w:val="decimal"/>
      <w:pStyle w:val="Heading1"/>
      <w:lvlText w:val="%1."/>
      <w:lvlJc w:val="left"/>
      <w:pPr>
        <w:ind w:left="-5310" w:hanging="360"/>
      </w:pPr>
    </w:lvl>
    <w:lvl w:ilvl="1">
      <w:start w:val="1"/>
      <w:numFmt w:val="decimal"/>
      <w:lvlText w:val="%1.%2."/>
      <w:lvlJc w:val="left"/>
      <w:pPr>
        <w:ind w:left="-4878" w:hanging="432"/>
      </w:pPr>
    </w:lvl>
    <w:lvl w:ilvl="2">
      <w:start w:val="1"/>
      <w:numFmt w:val="decimal"/>
      <w:lvlText w:val="%1.%2.%3."/>
      <w:lvlJc w:val="left"/>
      <w:pPr>
        <w:ind w:left="-4446" w:hanging="504"/>
      </w:pPr>
    </w:lvl>
    <w:lvl w:ilvl="3">
      <w:start w:val="1"/>
      <w:numFmt w:val="decimal"/>
      <w:lvlText w:val="%1.%2.%3.%4."/>
      <w:lvlJc w:val="left"/>
      <w:pPr>
        <w:ind w:left="-3942" w:hanging="648"/>
      </w:pPr>
    </w:lvl>
    <w:lvl w:ilvl="4">
      <w:start w:val="1"/>
      <w:numFmt w:val="decimal"/>
      <w:lvlText w:val="%1.%2.%3.%4.%5."/>
      <w:lvlJc w:val="left"/>
      <w:pPr>
        <w:ind w:left="-3438" w:hanging="792"/>
      </w:pPr>
    </w:lvl>
    <w:lvl w:ilvl="5">
      <w:start w:val="1"/>
      <w:numFmt w:val="decimal"/>
      <w:lvlText w:val="%1.%2.%3.%4.%5.%6."/>
      <w:lvlJc w:val="left"/>
      <w:pPr>
        <w:ind w:left="-2934" w:hanging="936"/>
      </w:pPr>
    </w:lvl>
    <w:lvl w:ilvl="6">
      <w:start w:val="1"/>
      <w:numFmt w:val="decimal"/>
      <w:lvlText w:val="%1.%2.%3.%4.%5.%6.%7."/>
      <w:lvlJc w:val="left"/>
      <w:pPr>
        <w:ind w:left="-2430" w:hanging="1080"/>
      </w:pPr>
    </w:lvl>
    <w:lvl w:ilvl="7">
      <w:start w:val="1"/>
      <w:numFmt w:val="decimal"/>
      <w:lvlText w:val="%1.%2.%3.%4.%5.%6.%7.%8."/>
      <w:lvlJc w:val="left"/>
      <w:pPr>
        <w:ind w:left="-1926" w:hanging="1224"/>
      </w:pPr>
    </w:lvl>
    <w:lvl w:ilvl="8">
      <w:start w:val="1"/>
      <w:numFmt w:val="decimal"/>
      <w:lvlText w:val="%1.%2.%3.%4.%5.%6.%7.%8.%9."/>
      <w:lvlJc w:val="left"/>
      <w:pPr>
        <w:ind w:left="-1350" w:hanging="1440"/>
      </w:pPr>
    </w:lvl>
  </w:abstractNum>
  <w:abstractNum w:abstractNumId="30" w15:restartNumberingAfterBreak="0">
    <w:nsid w:val="5391260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80158BB"/>
    <w:multiLevelType w:val="hybridMultilevel"/>
    <w:tmpl w:val="D660B3C0"/>
    <w:lvl w:ilvl="0" w:tplc="DEBA087C">
      <w:numFmt w:val="bullet"/>
      <w:lvlText w:val="-"/>
      <w:lvlJc w:val="left"/>
      <w:pPr>
        <w:ind w:left="720" w:hanging="360"/>
      </w:pPr>
      <w:rPr>
        <w:rFonts w:ascii="Century Schoolbook" w:eastAsiaTheme="minorHAnsi" w:hAnsi="Century School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ED309B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63F203DC"/>
    <w:multiLevelType w:val="hybridMultilevel"/>
    <w:tmpl w:val="4F281E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4597FD7"/>
    <w:multiLevelType w:val="multilevel"/>
    <w:tmpl w:val="46520F4C"/>
    <w:lvl w:ilvl="0">
      <w:start w:val="1"/>
      <w:numFmt w:val="decimal"/>
      <w:lvlText w:val="%1"/>
      <w:lvlJc w:val="left"/>
      <w:pPr>
        <w:ind w:left="432" w:hanging="432"/>
      </w:pPr>
      <w:rPr>
        <w:rFonts w:hint="default"/>
      </w:rPr>
    </w:lvl>
    <w:lvl w:ilvl="1">
      <w:start w:val="1"/>
      <w:numFmt w:val="decimal"/>
      <w:pStyle w:val="Heading2"/>
      <w:lvlText w:val="%1.%2"/>
      <w:lvlJc w:val="left"/>
      <w:pPr>
        <w:ind w:left="576" w:hanging="576"/>
      </w:pPr>
      <w:rPr>
        <w:b w:val="0"/>
        <w:bCs w:val="0"/>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i w:val="0"/>
        <w:iCs w:val="0"/>
        <w:vertAlign w:val="baseline"/>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9"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B10663A"/>
    <w:multiLevelType w:val="hybridMultilevel"/>
    <w:tmpl w:val="024688FC"/>
    <w:lvl w:ilvl="0" w:tplc="A9302AF8">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7C732730"/>
    <w:multiLevelType w:val="hybridMultilevel"/>
    <w:tmpl w:val="1BC22B0C"/>
    <w:lvl w:ilvl="0" w:tplc="268A041C">
      <w:numFmt w:val="bullet"/>
      <w:lvlText w:val="-"/>
      <w:lvlJc w:val="left"/>
      <w:pPr>
        <w:ind w:left="720" w:hanging="360"/>
      </w:pPr>
      <w:rPr>
        <w:rFonts w:ascii="Century Schoolbook" w:eastAsiaTheme="minorHAnsi" w:hAnsi="Century School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FE82B45"/>
    <w:multiLevelType w:val="hybridMultilevel"/>
    <w:tmpl w:val="804A2D24"/>
    <w:lvl w:ilvl="0" w:tplc="0809000F">
      <w:start w:val="1"/>
      <w:numFmt w:val="decimal"/>
      <w:lvlText w:val="%1."/>
      <w:lvlJc w:val="left"/>
      <w:pPr>
        <w:ind w:left="720" w:hanging="360"/>
      </w:pPr>
      <w:rPr>
        <w:rFonts w:eastAsia="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6800074">
    <w:abstractNumId w:val="22"/>
  </w:num>
  <w:num w:numId="2" w16cid:durableId="157617268">
    <w:abstractNumId w:val="33"/>
  </w:num>
  <w:num w:numId="3" w16cid:durableId="1746486420">
    <w:abstractNumId w:val="17"/>
  </w:num>
  <w:num w:numId="4" w16cid:durableId="1143305013">
    <w:abstractNumId w:val="27"/>
  </w:num>
  <w:num w:numId="5" w16cid:durableId="2125883130">
    <w:abstractNumId w:val="38"/>
  </w:num>
  <w:num w:numId="6" w16cid:durableId="168161508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109281378">
    <w:abstractNumId w:val="29"/>
  </w:num>
  <w:num w:numId="8" w16cid:durableId="1985818295">
    <w:abstractNumId w:val="20"/>
  </w:num>
  <w:num w:numId="9" w16cid:durableId="42868292">
    <w:abstractNumId w:val="35"/>
  </w:num>
  <w:num w:numId="10" w16cid:durableId="1117215207">
    <w:abstractNumId w:val="26"/>
  </w:num>
  <w:num w:numId="11" w16cid:durableId="1047027969">
    <w:abstractNumId w:val="36"/>
  </w:num>
  <w:num w:numId="12" w16cid:durableId="1674724157">
    <w:abstractNumId w:val="42"/>
  </w:num>
  <w:num w:numId="13" w16cid:durableId="1014839613">
    <w:abstractNumId w:val="40"/>
  </w:num>
  <w:num w:numId="14" w16cid:durableId="169755108">
    <w:abstractNumId w:val="11"/>
  </w:num>
  <w:num w:numId="15" w16cid:durableId="562838306">
    <w:abstractNumId w:val="30"/>
  </w:num>
  <w:num w:numId="16" w16cid:durableId="389691816">
    <w:abstractNumId w:val="14"/>
  </w:num>
  <w:num w:numId="17" w16cid:durableId="1128477958">
    <w:abstractNumId w:val="40"/>
  </w:num>
  <w:num w:numId="18" w16cid:durableId="78512248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5345561">
    <w:abstractNumId w:val="38"/>
    <w:lvlOverride w:ilvl="0">
      <w:startOverride w:val="5"/>
    </w:lvlOverride>
    <w:lvlOverride w:ilvl="1">
      <w:startOverride w:val="1"/>
    </w:lvlOverride>
  </w:num>
  <w:num w:numId="20" w16cid:durableId="1616713696">
    <w:abstractNumId w:val="18"/>
  </w:num>
  <w:num w:numId="21" w16cid:durableId="1031415142">
    <w:abstractNumId w:val="32"/>
  </w:num>
  <w:num w:numId="22" w16cid:durableId="1816683274">
    <w:abstractNumId w:val="1"/>
  </w:num>
  <w:num w:numId="23" w16cid:durableId="1630239110">
    <w:abstractNumId w:val="2"/>
  </w:num>
  <w:num w:numId="24" w16cid:durableId="213544380">
    <w:abstractNumId w:val="3"/>
  </w:num>
  <w:num w:numId="25" w16cid:durableId="600644438">
    <w:abstractNumId w:val="4"/>
  </w:num>
  <w:num w:numId="26" w16cid:durableId="687104054">
    <w:abstractNumId w:val="9"/>
  </w:num>
  <w:num w:numId="27" w16cid:durableId="151916161">
    <w:abstractNumId w:val="5"/>
  </w:num>
  <w:num w:numId="28" w16cid:durableId="784424575">
    <w:abstractNumId w:val="7"/>
  </w:num>
  <w:num w:numId="29" w16cid:durableId="802036839">
    <w:abstractNumId w:val="6"/>
  </w:num>
  <w:num w:numId="30" w16cid:durableId="1130325983">
    <w:abstractNumId w:val="10"/>
  </w:num>
  <w:num w:numId="31" w16cid:durableId="1273517404">
    <w:abstractNumId w:val="8"/>
  </w:num>
  <w:num w:numId="32" w16cid:durableId="1160971175">
    <w:abstractNumId w:val="16"/>
  </w:num>
  <w:num w:numId="33" w16cid:durableId="1870685042">
    <w:abstractNumId w:val="21"/>
  </w:num>
  <w:num w:numId="34" w16cid:durableId="64687088">
    <w:abstractNumId w:val="12"/>
  </w:num>
  <w:num w:numId="35" w16cid:durableId="2108383607">
    <w:abstractNumId w:val="0"/>
  </w:num>
  <w:num w:numId="36" w16cid:durableId="1699700354">
    <w:abstractNumId w:val="13"/>
  </w:num>
  <w:num w:numId="37" w16cid:durableId="1452556636">
    <w:abstractNumId w:val="23"/>
  </w:num>
  <w:num w:numId="38" w16cid:durableId="819732916">
    <w:abstractNumId w:val="34"/>
  </w:num>
  <w:num w:numId="39" w16cid:durableId="548687256">
    <w:abstractNumId w:val="37"/>
  </w:num>
  <w:num w:numId="40" w16cid:durableId="1165123781">
    <w:abstractNumId w:val="15"/>
  </w:num>
  <w:num w:numId="41" w16cid:durableId="1609461764">
    <w:abstractNumId w:val="39"/>
  </w:num>
  <w:num w:numId="42" w16cid:durableId="1576890550">
    <w:abstractNumId w:val="24"/>
  </w:num>
  <w:num w:numId="43" w16cid:durableId="1140027793">
    <w:abstractNumId w:val="41"/>
  </w:num>
  <w:num w:numId="44" w16cid:durableId="23286321">
    <w:abstractNumId w:val="31"/>
  </w:num>
  <w:num w:numId="45" w16cid:durableId="1434284755">
    <w:abstractNumId w:val="25"/>
  </w:num>
  <w:num w:numId="46" w16cid:durableId="1755973878">
    <w:abstractNumId w:val="19"/>
  </w:num>
  <w:num w:numId="47" w16cid:durableId="1220289692">
    <w:abstractNumId w:val="2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EC7"/>
    <w:rsid w:val="00001109"/>
    <w:rsid w:val="00001467"/>
    <w:rsid w:val="00002B2D"/>
    <w:rsid w:val="00004139"/>
    <w:rsid w:val="00005E16"/>
    <w:rsid w:val="0000657C"/>
    <w:rsid w:val="00006F98"/>
    <w:rsid w:val="0001046C"/>
    <w:rsid w:val="000108F2"/>
    <w:rsid w:val="00011428"/>
    <w:rsid w:val="00011ADE"/>
    <w:rsid w:val="000126CF"/>
    <w:rsid w:val="00012EE5"/>
    <w:rsid w:val="00015F79"/>
    <w:rsid w:val="00017F29"/>
    <w:rsid w:val="00017F3C"/>
    <w:rsid w:val="00020E58"/>
    <w:rsid w:val="00021B3C"/>
    <w:rsid w:val="00022792"/>
    <w:rsid w:val="00022D49"/>
    <w:rsid w:val="00022DF7"/>
    <w:rsid w:val="0002447A"/>
    <w:rsid w:val="00024BC4"/>
    <w:rsid w:val="00025DB9"/>
    <w:rsid w:val="00026CFE"/>
    <w:rsid w:val="000274B7"/>
    <w:rsid w:val="00030884"/>
    <w:rsid w:val="00031B47"/>
    <w:rsid w:val="00031F2F"/>
    <w:rsid w:val="00032709"/>
    <w:rsid w:val="00032BCE"/>
    <w:rsid w:val="00032D4E"/>
    <w:rsid w:val="00033248"/>
    <w:rsid w:val="000342DC"/>
    <w:rsid w:val="00034E73"/>
    <w:rsid w:val="0003549C"/>
    <w:rsid w:val="00036303"/>
    <w:rsid w:val="00037478"/>
    <w:rsid w:val="00040D95"/>
    <w:rsid w:val="00041E12"/>
    <w:rsid w:val="00042D6D"/>
    <w:rsid w:val="00042F0C"/>
    <w:rsid w:val="000436EE"/>
    <w:rsid w:val="00043A5D"/>
    <w:rsid w:val="000444BB"/>
    <w:rsid w:val="00044951"/>
    <w:rsid w:val="00044E38"/>
    <w:rsid w:val="000453AF"/>
    <w:rsid w:val="00045427"/>
    <w:rsid w:val="00045FEA"/>
    <w:rsid w:val="00046352"/>
    <w:rsid w:val="000464A5"/>
    <w:rsid w:val="00050FF8"/>
    <w:rsid w:val="000528A6"/>
    <w:rsid w:val="00054095"/>
    <w:rsid w:val="00054133"/>
    <w:rsid w:val="00054CB8"/>
    <w:rsid w:val="00054FE6"/>
    <w:rsid w:val="000555C8"/>
    <w:rsid w:val="0005597F"/>
    <w:rsid w:val="00056646"/>
    <w:rsid w:val="00056BAF"/>
    <w:rsid w:val="00056DA7"/>
    <w:rsid w:val="00057358"/>
    <w:rsid w:val="00057A5B"/>
    <w:rsid w:val="00057F55"/>
    <w:rsid w:val="00060B9B"/>
    <w:rsid w:val="00061B2C"/>
    <w:rsid w:val="00061E78"/>
    <w:rsid w:val="00063AE2"/>
    <w:rsid w:val="00063E4C"/>
    <w:rsid w:val="00064BA7"/>
    <w:rsid w:val="00070DE8"/>
    <w:rsid w:val="000713CF"/>
    <w:rsid w:val="000736CB"/>
    <w:rsid w:val="00074991"/>
    <w:rsid w:val="0007562D"/>
    <w:rsid w:val="00076227"/>
    <w:rsid w:val="000765B7"/>
    <w:rsid w:val="000808C7"/>
    <w:rsid w:val="00080D31"/>
    <w:rsid w:val="00081C47"/>
    <w:rsid w:val="00081EAD"/>
    <w:rsid w:val="0008589C"/>
    <w:rsid w:val="00085CF4"/>
    <w:rsid w:val="00085EED"/>
    <w:rsid w:val="00085F16"/>
    <w:rsid w:val="0008613B"/>
    <w:rsid w:val="00086144"/>
    <w:rsid w:val="000869FF"/>
    <w:rsid w:val="000904BE"/>
    <w:rsid w:val="00090B95"/>
    <w:rsid w:val="00090B9F"/>
    <w:rsid w:val="000918D7"/>
    <w:rsid w:val="000934D0"/>
    <w:rsid w:val="00093850"/>
    <w:rsid w:val="00093CF3"/>
    <w:rsid w:val="00094EEC"/>
    <w:rsid w:val="00095557"/>
    <w:rsid w:val="00095702"/>
    <w:rsid w:val="0009598F"/>
    <w:rsid w:val="000960A7"/>
    <w:rsid w:val="00096DED"/>
    <w:rsid w:val="0009782C"/>
    <w:rsid w:val="00097A90"/>
    <w:rsid w:val="000A07FF"/>
    <w:rsid w:val="000A098C"/>
    <w:rsid w:val="000A1234"/>
    <w:rsid w:val="000A134C"/>
    <w:rsid w:val="000A3127"/>
    <w:rsid w:val="000A358C"/>
    <w:rsid w:val="000A3854"/>
    <w:rsid w:val="000A41DA"/>
    <w:rsid w:val="000A481F"/>
    <w:rsid w:val="000A4A0A"/>
    <w:rsid w:val="000A4EEA"/>
    <w:rsid w:val="000A5A50"/>
    <w:rsid w:val="000A69FD"/>
    <w:rsid w:val="000B076F"/>
    <w:rsid w:val="000B0DF3"/>
    <w:rsid w:val="000B0E94"/>
    <w:rsid w:val="000B1647"/>
    <w:rsid w:val="000B174C"/>
    <w:rsid w:val="000B1ED9"/>
    <w:rsid w:val="000B25EF"/>
    <w:rsid w:val="000B2F75"/>
    <w:rsid w:val="000B34F5"/>
    <w:rsid w:val="000B353E"/>
    <w:rsid w:val="000B40E4"/>
    <w:rsid w:val="000B4302"/>
    <w:rsid w:val="000B4968"/>
    <w:rsid w:val="000B4CF9"/>
    <w:rsid w:val="000B5BF9"/>
    <w:rsid w:val="000B62F3"/>
    <w:rsid w:val="000B6995"/>
    <w:rsid w:val="000C03A3"/>
    <w:rsid w:val="000C091A"/>
    <w:rsid w:val="000C16CD"/>
    <w:rsid w:val="000C24AF"/>
    <w:rsid w:val="000C3FBC"/>
    <w:rsid w:val="000C7059"/>
    <w:rsid w:val="000C7365"/>
    <w:rsid w:val="000D0260"/>
    <w:rsid w:val="000D0C71"/>
    <w:rsid w:val="000D1562"/>
    <w:rsid w:val="000D15CE"/>
    <w:rsid w:val="000D1C01"/>
    <w:rsid w:val="000D1E43"/>
    <w:rsid w:val="000D1FA3"/>
    <w:rsid w:val="000D276C"/>
    <w:rsid w:val="000D29A6"/>
    <w:rsid w:val="000D2DC5"/>
    <w:rsid w:val="000D3890"/>
    <w:rsid w:val="000D3C12"/>
    <w:rsid w:val="000D441A"/>
    <w:rsid w:val="000D46A2"/>
    <w:rsid w:val="000D4DEB"/>
    <w:rsid w:val="000D5082"/>
    <w:rsid w:val="000D5143"/>
    <w:rsid w:val="000D5DC7"/>
    <w:rsid w:val="000D69B3"/>
    <w:rsid w:val="000E0FC0"/>
    <w:rsid w:val="000E1603"/>
    <w:rsid w:val="000E2AB8"/>
    <w:rsid w:val="000E2B14"/>
    <w:rsid w:val="000E3B2B"/>
    <w:rsid w:val="000E4D01"/>
    <w:rsid w:val="000E557E"/>
    <w:rsid w:val="000E5652"/>
    <w:rsid w:val="000E6127"/>
    <w:rsid w:val="000E627B"/>
    <w:rsid w:val="000E7163"/>
    <w:rsid w:val="000E71E8"/>
    <w:rsid w:val="000E7CC1"/>
    <w:rsid w:val="000F0137"/>
    <w:rsid w:val="000F01F0"/>
    <w:rsid w:val="000F0867"/>
    <w:rsid w:val="000F132C"/>
    <w:rsid w:val="000F14DB"/>
    <w:rsid w:val="000F3E6B"/>
    <w:rsid w:val="000F45C0"/>
    <w:rsid w:val="00100747"/>
    <w:rsid w:val="0010096E"/>
    <w:rsid w:val="00102BFE"/>
    <w:rsid w:val="00102FD9"/>
    <w:rsid w:val="00104775"/>
    <w:rsid w:val="0010521B"/>
    <w:rsid w:val="001056A6"/>
    <w:rsid w:val="00106160"/>
    <w:rsid w:val="0010737B"/>
    <w:rsid w:val="00107A1A"/>
    <w:rsid w:val="001101CE"/>
    <w:rsid w:val="00112021"/>
    <w:rsid w:val="0011275F"/>
    <w:rsid w:val="00112E8B"/>
    <w:rsid w:val="00113576"/>
    <w:rsid w:val="001138D5"/>
    <w:rsid w:val="0011392B"/>
    <w:rsid w:val="00113AC0"/>
    <w:rsid w:val="00114156"/>
    <w:rsid w:val="00114AE9"/>
    <w:rsid w:val="0011709E"/>
    <w:rsid w:val="00124B4B"/>
    <w:rsid w:val="00124DB2"/>
    <w:rsid w:val="00124DB6"/>
    <w:rsid w:val="00124E3A"/>
    <w:rsid w:val="00126956"/>
    <w:rsid w:val="00126C0B"/>
    <w:rsid w:val="00127E74"/>
    <w:rsid w:val="00132ACA"/>
    <w:rsid w:val="00133640"/>
    <w:rsid w:val="00133BA1"/>
    <w:rsid w:val="00133C33"/>
    <w:rsid w:val="00134116"/>
    <w:rsid w:val="0013523C"/>
    <w:rsid w:val="0013573B"/>
    <w:rsid w:val="00135A01"/>
    <w:rsid w:val="00135E3C"/>
    <w:rsid w:val="00136962"/>
    <w:rsid w:val="00136F95"/>
    <w:rsid w:val="00137421"/>
    <w:rsid w:val="00140CC3"/>
    <w:rsid w:val="00141073"/>
    <w:rsid w:val="0014114F"/>
    <w:rsid w:val="0014205C"/>
    <w:rsid w:val="0014233A"/>
    <w:rsid w:val="00142686"/>
    <w:rsid w:val="001428C8"/>
    <w:rsid w:val="00142A8B"/>
    <w:rsid w:val="00143264"/>
    <w:rsid w:val="0014560B"/>
    <w:rsid w:val="00145872"/>
    <w:rsid w:val="00146776"/>
    <w:rsid w:val="00147FE0"/>
    <w:rsid w:val="00150AED"/>
    <w:rsid w:val="00151006"/>
    <w:rsid w:val="0015115E"/>
    <w:rsid w:val="00151B9A"/>
    <w:rsid w:val="00151D78"/>
    <w:rsid w:val="00152B4C"/>
    <w:rsid w:val="00152C30"/>
    <w:rsid w:val="00152C9E"/>
    <w:rsid w:val="00154036"/>
    <w:rsid w:val="0015406B"/>
    <w:rsid w:val="00155E87"/>
    <w:rsid w:val="00156266"/>
    <w:rsid w:val="00156DF4"/>
    <w:rsid w:val="00157891"/>
    <w:rsid w:val="00157E65"/>
    <w:rsid w:val="00161389"/>
    <w:rsid w:val="001618A6"/>
    <w:rsid w:val="00162075"/>
    <w:rsid w:val="00163035"/>
    <w:rsid w:val="00163CD5"/>
    <w:rsid w:val="0016400F"/>
    <w:rsid w:val="0016414B"/>
    <w:rsid w:val="001642C1"/>
    <w:rsid w:val="001648A5"/>
    <w:rsid w:val="00164BF1"/>
    <w:rsid w:val="00165C49"/>
    <w:rsid w:val="00166943"/>
    <w:rsid w:val="00167383"/>
    <w:rsid w:val="00167653"/>
    <w:rsid w:val="00167E6C"/>
    <w:rsid w:val="00170119"/>
    <w:rsid w:val="001712E1"/>
    <w:rsid w:val="00171E09"/>
    <w:rsid w:val="00176480"/>
    <w:rsid w:val="00176D12"/>
    <w:rsid w:val="00177130"/>
    <w:rsid w:val="001772EC"/>
    <w:rsid w:val="00177497"/>
    <w:rsid w:val="00180047"/>
    <w:rsid w:val="00180AEA"/>
    <w:rsid w:val="00180E1A"/>
    <w:rsid w:val="00181498"/>
    <w:rsid w:val="00181B14"/>
    <w:rsid w:val="00181B41"/>
    <w:rsid w:val="0018248F"/>
    <w:rsid w:val="00184066"/>
    <w:rsid w:val="00184165"/>
    <w:rsid w:val="0018467E"/>
    <w:rsid w:val="001858A8"/>
    <w:rsid w:val="00185985"/>
    <w:rsid w:val="00185F6C"/>
    <w:rsid w:val="00187B81"/>
    <w:rsid w:val="00191FAE"/>
    <w:rsid w:val="00193A97"/>
    <w:rsid w:val="001957B0"/>
    <w:rsid w:val="00196570"/>
    <w:rsid w:val="001A0523"/>
    <w:rsid w:val="001A0958"/>
    <w:rsid w:val="001A0AAD"/>
    <w:rsid w:val="001A0E85"/>
    <w:rsid w:val="001A0EA4"/>
    <w:rsid w:val="001A2056"/>
    <w:rsid w:val="001A2F05"/>
    <w:rsid w:val="001A3C10"/>
    <w:rsid w:val="001A3E3B"/>
    <w:rsid w:val="001A42CC"/>
    <w:rsid w:val="001A4689"/>
    <w:rsid w:val="001A544B"/>
    <w:rsid w:val="001A59B0"/>
    <w:rsid w:val="001A5A2A"/>
    <w:rsid w:val="001A60AC"/>
    <w:rsid w:val="001A6271"/>
    <w:rsid w:val="001A7003"/>
    <w:rsid w:val="001A712E"/>
    <w:rsid w:val="001A7256"/>
    <w:rsid w:val="001B006A"/>
    <w:rsid w:val="001B19BD"/>
    <w:rsid w:val="001B1D0F"/>
    <w:rsid w:val="001B2BFE"/>
    <w:rsid w:val="001B2CAA"/>
    <w:rsid w:val="001B329B"/>
    <w:rsid w:val="001B52DC"/>
    <w:rsid w:val="001B55FC"/>
    <w:rsid w:val="001B622D"/>
    <w:rsid w:val="001B6614"/>
    <w:rsid w:val="001B67B4"/>
    <w:rsid w:val="001B6F71"/>
    <w:rsid w:val="001B727D"/>
    <w:rsid w:val="001C03E5"/>
    <w:rsid w:val="001C08C7"/>
    <w:rsid w:val="001C1353"/>
    <w:rsid w:val="001C4C76"/>
    <w:rsid w:val="001C4F66"/>
    <w:rsid w:val="001C5E51"/>
    <w:rsid w:val="001C6AA0"/>
    <w:rsid w:val="001C6B46"/>
    <w:rsid w:val="001C7A1D"/>
    <w:rsid w:val="001D0C17"/>
    <w:rsid w:val="001D0EC7"/>
    <w:rsid w:val="001D12E1"/>
    <w:rsid w:val="001D2B6E"/>
    <w:rsid w:val="001D2FA0"/>
    <w:rsid w:val="001D3C48"/>
    <w:rsid w:val="001D46EE"/>
    <w:rsid w:val="001D4796"/>
    <w:rsid w:val="001D62D6"/>
    <w:rsid w:val="001D6A7E"/>
    <w:rsid w:val="001D715A"/>
    <w:rsid w:val="001D75AE"/>
    <w:rsid w:val="001D7AAE"/>
    <w:rsid w:val="001D7AF0"/>
    <w:rsid w:val="001D7AFA"/>
    <w:rsid w:val="001E09C7"/>
    <w:rsid w:val="001E1251"/>
    <w:rsid w:val="001E1E59"/>
    <w:rsid w:val="001E2894"/>
    <w:rsid w:val="001E2A94"/>
    <w:rsid w:val="001E542D"/>
    <w:rsid w:val="001E6506"/>
    <w:rsid w:val="001E74E3"/>
    <w:rsid w:val="001E7E1E"/>
    <w:rsid w:val="001F21E2"/>
    <w:rsid w:val="001F262F"/>
    <w:rsid w:val="001F3C2E"/>
    <w:rsid w:val="001F4818"/>
    <w:rsid w:val="001F5AF2"/>
    <w:rsid w:val="001F6F79"/>
    <w:rsid w:val="001F7BB1"/>
    <w:rsid w:val="0020003D"/>
    <w:rsid w:val="00200E55"/>
    <w:rsid w:val="00201508"/>
    <w:rsid w:val="002021C1"/>
    <w:rsid w:val="00202ABD"/>
    <w:rsid w:val="002034D9"/>
    <w:rsid w:val="002039E0"/>
    <w:rsid w:val="00203BAC"/>
    <w:rsid w:val="0020460D"/>
    <w:rsid w:val="0020556E"/>
    <w:rsid w:val="00205C88"/>
    <w:rsid w:val="002061FA"/>
    <w:rsid w:val="00206D12"/>
    <w:rsid w:val="00207333"/>
    <w:rsid w:val="0020782E"/>
    <w:rsid w:val="00213122"/>
    <w:rsid w:val="002134F7"/>
    <w:rsid w:val="00213B80"/>
    <w:rsid w:val="00213C13"/>
    <w:rsid w:val="002140DC"/>
    <w:rsid w:val="0021411E"/>
    <w:rsid w:val="00214DD9"/>
    <w:rsid w:val="002155F5"/>
    <w:rsid w:val="00215919"/>
    <w:rsid w:val="002165AD"/>
    <w:rsid w:val="00216796"/>
    <w:rsid w:val="00216EB2"/>
    <w:rsid w:val="00216F27"/>
    <w:rsid w:val="0021755A"/>
    <w:rsid w:val="00217D77"/>
    <w:rsid w:val="002200AD"/>
    <w:rsid w:val="0022055B"/>
    <w:rsid w:val="00220DBC"/>
    <w:rsid w:val="00221A16"/>
    <w:rsid w:val="00221B92"/>
    <w:rsid w:val="00222468"/>
    <w:rsid w:val="0022545A"/>
    <w:rsid w:val="00225936"/>
    <w:rsid w:val="00226787"/>
    <w:rsid w:val="0022699B"/>
    <w:rsid w:val="00226A83"/>
    <w:rsid w:val="002271F4"/>
    <w:rsid w:val="002275CA"/>
    <w:rsid w:val="00227D93"/>
    <w:rsid w:val="00230172"/>
    <w:rsid w:val="0023033D"/>
    <w:rsid w:val="00230CB7"/>
    <w:rsid w:val="00231D3E"/>
    <w:rsid w:val="00232B68"/>
    <w:rsid w:val="002332E9"/>
    <w:rsid w:val="00233D31"/>
    <w:rsid w:val="00234326"/>
    <w:rsid w:val="002348F1"/>
    <w:rsid w:val="00236910"/>
    <w:rsid w:val="00236B17"/>
    <w:rsid w:val="002410D7"/>
    <w:rsid w:val="00242747"/>
    <w:rsid w:val="00243A44"/>
    <w:rsid w:val="00243DC5"/>
    <w:rsid w:val="00244DDE"/>
    <w:rsid w:val="0024539B"/>
    <w:rsid w:val="002456A2"/>
    <w:rsid w:val="0024578F"/>
    <w:rsid w:val="002461CD"/>
    <w:rsid w:val="00246AAF"/>
    <w:rsid w:val="002471D5"/>
    <w:rsid w:val="00247544"/>
    <w:rsid w:val="00247774"/>
    <w:rsid w:val="00252053"/>
    <w:rsid w:val="002522B8"/>
    <w:rsid w:val="0025345F"/>
    <w:rsid w:val="00253488"/>
    <w:rsid w:val="00253D98"/>
    <w:rsid w:val="00254A5C"/>
    <w:rsid w:val="00254CF2"/>
    <w:rsid w:val="00255643"/>
    <w:rsid w:val="002562A7"/>
    <w:rsid w:val="002568F4"/>
    <w:rsid w:val="00257481"/>
    <w:rsid w:val="00257749"/>
    <w:rsid w:val="00257852"/>
    <w:rsid w:val="002601D8"/>
    <w:rsid w:val="00261992"/>
    <w:rsid w:val="00261DCF"/>
    <w:rsid w:val="002624FE"/>
    <w:rsid w:val="00262717"/>
    <w:rsid w:val="00263945"/>
    <w:rsid w:val="00264F15"/>
    <w:rsid w:val="00265904"/>
    <w:rsid w:val="00265F26"/>
    <w:rsid w:val="00266D04"/>
    <w:rsid w:val="00270566"/>
    <w:rsid w:val="00270834"/>
    <w:rsid w:val="00270F9E"/>
    <w:rsid w:val="00273679"/>
    <w:rsid w:val="0027380A"/>
    <w:rsid w:val="00274F51"/>
    <w:rsid w:val="002769DA"/>
    <w:rsid w:val="002773D6"/>
    <w:rsid w:val="0027782C"/>
    <w:rsid w:val="00280F79"/>
    <w:rsid w:val="00281252"/>
    <w:rsid w:val="002825FA"/>
    <w:rsid w:val="00285E60"/>
    <w:rsid w:val="002868EA"/>
    <w:rsid w:val="002875C3"/>
    <w:rsid w:val="00287961"/>
    <w:rsid w:val="00287B83"/>
    <w:rsid w:val="00290046"/>
    <w:rsid w:val="0029098F"/>
    <w:rsid w:val="002918B7"/>
    <w:rsid w:val="002919A9"/>
    <w:rsid w:val="00291D57"/>
    <w:rsid w:val="00292512"/>
    <w:rsid w:val="00292686"/>
    <w:rsid w:val="00292E4F"/>
    <w:rsid w:val="00293086"/>
    <w:rsid w:val="00293264"/>
    <w:rsid w:val="0029445D"/>
    <w:rsid w:val="00295389"/>
    <w:rsid w:val="00295C26"/>
    <w:rsid w:val="00297055"/>
    <w:rsid w:val="002A153B"/>
    <w:rsid w:val="002A2B94"/>
    <w:rsid w:val="002A3511"/>
    <w:rsid w:val="002A4127"/>
    <w:rsid w:val="002A4484"/>
    <w:rsid w:val="002A48AD"/>
    <w:rsid w:val="002A4F60"/>
    <w:rsid w:val="002A59FE"/>
    <w:rsid w:val="002A6EB6"/>
    <w:rsid w:val="002A7B25"/>
    <w:rsid w:val="002A7DDA"/>
    <w:rsid w:val="002B0A17"/>
    <w:rsid w:val="002B14C8"/>
    <w:rsid w:val="002B24E2"/>
    <w:rsid w:val="002B311C"/>
    <w:rsid w:val="002B3632"/>
    <w:rsid w:val="002B36AA"/>
    <w:rsid w:val="002B41FB"/>
    <w:rsid w:val="002B5CA9"/>
    <w:rsid w:val="002B6479"/>
    <w:rsid w:val="002B6804"/>
    <w:rsid w:val="002B6A81"/>
    <w:rsid w:val="002B6CD0"/>
    <w:rsid w:val="002B6DF2"/>
    <w:rsid w:val="002B7396"/>
    <w:rsid w:val="002C03FF"/>
    <w:rsid w:val="002C5E6A"/>
    <w:rsid w:val="002C6DD3"/>
    <w:rsid w:val="002C7116"/>
    <w:rsid w:val="002C7D7D"/>
    <w:rsid w:val="002D01ED"/>
    <w:rsid w:val="002D0519"/>
    <w:rsid w:val="002D0CD7"/>
    <w:rsid w:val="002D0EA2"/>
    <w:rsid w:val="002D1939"/>
    <w:rsid w:val="002D1B82"/>
    <w:rsid w:val="002D1D78"/>
    <w:rsid w:val="002D284E"/>
    <w:rsid w:val="002D2AB6"/>
    <w:rsid w:val="002D3336"/>
    <w:rsid w:val="002D3480"/>
    <w:rsid w:val="002D3D07"/>
    <w:rsid w:val="002D4B1C"/>
    <w:rsid w:val="002D4B8E"/>
    <w:rsid w:val="002D6415"/>
    <w:rsid w:val="002D6924"/>
    <w:rsid w:val="002D7380"/>
    <w:rsid w:val="002D799B"/>
    <w:rsid w:val="002E0270"/>
    <w:rsid w:val="002E12F0"/>
    <w:rsid w:val="002E1F5A"/>
    <w:rsid w:val="002E2621"/>
    <w:rsid w:val="002E290D"/>
    <w:rsid w:val="002E2B09"/>
    <w:rsid w:val="002E301A"/>
    <w:rsid w:val="002E30B9"/>
    <w:rsid w:val="002E3EAA"/>
    <w:rsid w:val="002E47D1"/>
    <w:rsid w:val="002E5189"/>
    <w:rsid w:val="002E7201"/>
    <w:rsid w:val="002E7BAC"/>
    <w:rsid w:val="002F062D"/>
    <w:rsid w:val="002F17D3"/>
    <w:rsid w:val="002F1A58"/>
    <w:rsid w:val="002F1CA4"/>
    <w:rsid w:val="002F1EFF"/>
    <w:rsid w:val="002F2330"/>
    <w:rsid w:val="002F3380"/>
    <w:rsid w:val="002F362C"/>
    <w:rsid w:val="002F3DE0"/>
    <w:rsid w:val="002F497C"/>
    <w:rsid w:val="002F5067"/>
    <w:rsid w:val="002F59FE"/>
    <w:rsid w:val="002F6809"/>
    <w:rsid w:val="002F6D1D"/>
    <w:rsid w:val="00300750"/>
    <w:rsid w:val="00300C76"/>
    <w:rsid w:val="003026D6"/>
    <w:rsid w:val="00302987"/>
    <w:rsid w:val="00302E56"/>
    <w:rsid w:val="00303B1C"/>
    <w:rsid w:val="00303D50"/>
    <w:rsid w:val="0030499B"/>
    <w:rsid w:val="00304FC1"/>
    <w:rsid w:val="0030616E"/>
    <w:rsid w:val="00306DEB"/>
    <w:rsid w:val="00306F8B"/>
    <w:rsid w:val="003070B7"/>
    <w:rsid w:val="00310C7B"/>
    <w:rsid w:val="00310DD1"/>
    <w:rsid w:val="00311713"/>
    <w:rsid w:val="00312068"/>
    <w:rsid w:val="003122AC"/>
    <w:rsid w:val="00312495"/>
    <w:rsid w:val="0031286D"/>
    <w:rsid w:val="00312B2D"/>
    <w:rsid w:val="00312C3C"/>
    <w:rsid w:val="00314124"/>
    <w:rsid w:val="00315493"/>
    <w:rsid w:val="003160E5"/>
    <w:rsid w:val="00316BDE"/>
    <w:rsid w:val="003178D2"/>
    <w:rsid w:val="003219E1"/>
    <w:rsid w:val="00321E33"/>
    <w:rsid w:val="00321FD4"/>
    <w:rsid w:val="00322799"/>
    <w:rsid w:val="0032330A"/>
    <w:rsid w:val="00323876"/>
    <w:rsid w:val="00323A62"/>
    <w:rsid w:val="00323D39"/>
    <w:rsid w:val="0032424F"/>
    <w:rsid w:val="0032737A"/>
    <w:rsid w:val="003274A8"/>
    <w:rsid w:val="00327CDF"/>
    <w:rsid w:val="0033024A"/>
    <w:rsid w:val="003303CC"/>
    <w:rsid w:val="00331D3A"/>
    <w:rsid w:val="00331E35"/>
    <w:rsid w:val="00332D9E"/>
    <w:rsid w:val="00333954"/>
    <w:rsid w:val="003340FA"/>
    <w:rsid w:val="00334AF5"/>
    <w:rsid w:val="003353E9"/>
    <w:rsid w:val="00335F64"/>
    <w:rsid w:val="00336DDB"/>
    <w:rsid w:val="00337314"/>
    <w:rsid w:val="0034039F"/>
    <w:rsid w:val="003422A2"/>
    <w:rsid w:val="00342FFE"/>
    <w:rsid w:val="003434B1"/>
    <w:rsid w:val="003434BC"/>
    <w:rsid w:val="00343FF9"/>
    <w:rsid w:val="00344E7E"/>
    <w:rsid w:val="0034507C"/>
    <w:rsid w:val="003465A4"/>
    <w:rsid w:val="00347169"/>
    <w:rsid w:val="00350AA2"/>
    <w:rsid w:val="00350C00"/>
    <w:rsid w:val="0035102B"/>
    <w:rsid w:val="00351087"/>
    <w:rsid w:val="00351534"/>
    <w:rsid w:val="00351D88"/>
    <w:rsid w:val="00352096"/>
    <w:rsid w:val="00352B38"/>
    <w:rsid w:val="00353607"/>
    <w:rsid w:val="0035796D"/>
    <w:rsid w:val="00357AA4"/>
    <w:rsid w:val="00357C60"/>
    <w:rsid w:val="00357F12"/>
    <w:rsid w:val="0036258E"/>
    <w:rsid w:val="003627DE"/>
    <w:rsid w:val="00363362"/>
    <w:rsid w:val="003646DB"/>
    <w:rsid w:val="00364F13"/>
    <w:rsid w:val="00365315"/>
    <w:rsid w:val="00366565"/>
    <w:rsid w:val="00367F58"/>
    <w:rsid w:val="00371292"/>
    <w:rsid w:val="0037147D"/>
    <w:rsid w:val="0037176A"/>
    <w:rsid w:val="00372E22"/>
    <w:rsid w:val="00372EC6"/>
    <w:rsid w:val="00372F39"/>
    <w:rsid w:val="00373356"/>
    <w:rsid w:val="00373FE8"/>
    <w:rsid w:val="003749B4"/>
    <w:rsid w:val="00375C2F"/>
    <w:rsid w:val="00375DA9"/>
    <w:rsid w:val="0037670D"/>
    <w:rsid w:val="00376D48"/>
    <w:rsid w:val="003770A2"/>
    <w:rsid w:val="00377298"/>
    <w:rsid w:val="00377447"/>
    <w:rsid w:val="003774AA"/>
    <w:rsid w:val="003776C1"/>
    <w:rsid w:val="00377EB6"/>
    <w:rsid w:val="0038099D"/>
    <w:rsid w:val="00381E31"/>
    <w:rsid w:val="003821C3"/>
    <w:rsid w:val="00384B0D"/>
    <w:rsid w:val="003907B0"/>
    <w:rsid w:val="003909CC"/>
    <w:rsid w:val="003917A9"/>
    <w:rsid w:val="00391B1C"/>
    <w:rsid w:val="00391BCF"/>
    <w:rsid w:val="0039238F"/>
    <w:rsid w:val="00392FA6"/>
    <w:rsid w:val="0039323B"/>
    <w:rsid w:val="00393885"/>
    <w:rsid w:val="00394B61"/>
    <w:rsid w:val="00395BFA"/>
    <w:rsid w:val="003963F6"/>
    <w:rsid w:val="00397E75"/>
    <w:rsid w:val="003A07C8"/>
    <w:rsid w:val="003A09F2"/>
    <w:rsid w:val="003A38BC"/>
    <w:rsid w:val="003A475F"/>
    <w:rsid w:val="003A67B6"/>
    <w:rsid w:val="003A6AF0"/>
    <w:rsid w:val="003A6DA1"/>
    <w:rsid w:val="003A7DA5"/>
    <w:rsid w:val="003B1DA9"/>
    <w:rsid w:val="003B286F"/>
    <w:rsid w:val="003B3376"/>
    <w:rsid w:val="003B3571"/>
    <w:rsid w:val="003B393E"/>
    <w:rsid w:val="003B3E07"/>
    <w:rsid w:val="003B3FD3"/>
    <w:rsid w:val="003B4676"/>
    <w:rsid w:val="003B4705"/>
    <w:rsid w:val="003B481F"/>
    <w:rsid w:val="003B4C4C"/>
    <w:rsid w:val="003B5011"/>
    <w:rsid w:val="003B5E99"/>
    <w:rsid w:val="003B6CB8"/>
    <w:rsid w:val="003B6F66"/>
    <w:rsid w:val="003B713C"/>
    <w:rsid w:val="003B739E"/>
    <w:rsid w:val="003B76DA"/>
    <w:rsid w:val="003B7869"/>
    <w:rsid w:val="003B7D1D"/>
    <w:rsid w:val="003B7DB7"/>
    <w:rsid w:val="003C2432"/>
    <w:rsid w:val="003C27D2"/>
    <w:rsid w:val="003C2D62"/>
    <w:rsid w:val="003C3360"/>
    <w:rsid w:val="003C3372"/>
    <w:rsid w:val="003C5034"/>
    <w:rsid w:val="003C5C76"/>
    <w:rsid w:val="003C6409"/>
    <w:rsid w:val="003C7687"/>
    <w:rsid w:val="003C76F5"/>
    <w:rsid w:val="003C78C7"/>
    <w:rsid w:val="003C7A22"/>
    <w:rsid w:val="003C7AB2"/>
    <w:rsid w:val="003D1028"/>
    <w:rsid w:val="003D10A1"/>
    <w:rsid w:val="003D235E"/>
    <w:rsid w:val="003D27B3"/>
    <w:rsid w:val="003D2F19"/>
    <w:rsid w:val="003D358E"/>
    <w:rsid w:val="003D3807"/>
    <w:rsid w:val="003D3831"/>
    <w:rsid w:val="003D52BC"/>
    <w:rsid w:val="003D5B9A"/>
    <w:rsid w:val="003D6640"/>
    <w:rsid w:val="003D6CDE"/>
    <w:rsid w:val="003D6EE7"/>
    <w:rsid w:val="003D7C1C"/>
    <w:rsid w:val="003E0C85"/>
    <w:rsid w:val="003E19A3"/>
    <w:rsid w:val="003E208B"/>
    <w:rsid w:val="003E21FC"/>
    <w:rsid w:val="003E28A8"/>
    <w:rsid w:val="003E2F5E"/>
    <w:rsid w:val="003E42A1"/>
    <w:rsid w:val="003E5C75"/>
    <w:rsid w:val="003E5F07"/>
    <w:rsid w:val="003E69E1"/>
    <w:rsid w:val="003E6B23"/>
    <w:rsid w:val="003E7162"/>
    <w:rsid w:val="003F0D3A"/>
    <w:rsid w:val="003F2584"/>
    <w:rsid w:val="003F2927"/>
    <w:rsid w:val="003F2C7B"/>
    <w:rsid w:val="003F3584"/>
    <w:rsid w:val="003F3C98"/>
    <w:rsid w:val="003F3F11"/>
    <w:rsid w:val="003F3F41"/>
    <w:rsid w:val="003F489C"/>
    <w:rsid w:val="003F4B68"/>
    <w:rsid w:val="003F574E"/>
    <w:rsid w:val="003F605C"/>
    <w:rsid w:val="003F73B5"/>
    <w:rsid w:val="00400539"/>
    <w:rsid w:val="0040074E"/>
    <w:rsid w:val="004019F4"/>
    <w:rsid w:val="004026DD"/>
    <w:rsid w:val="00402E2C"/>
    <w:rsid w:val="0040489C"/>
    <w:rsid w:val="00405A6C"/>
    <w:rsid w:val="00405B64"/>
    <w:rsid w:val="00406051"/>
    <w:rsid w:val="00406A0D"/>
    <w:rsid w:val="00406CDF"/>
    <w:rsid w:val="004076D6"/>
    <w:rsid w:val="00407B2F"/>
    <w:rsid w:val="00410D24"/>
    <w:rsid w:val="00411779"/>
    <w:rsid w:val="0041199B"/>
    <w:rsid w:val="0041288A"/>
    <w:rsid w:val="0041501A"/>
    <w:rsid w:val="00416A04"/>
    <w:rsid w:val="00417848"/>
    <w:rsid w:val="00417D81"/>
    <w:rsid w:val="00417E0D"/>
    <w:rsid w:val="0042005D"/>
    <w:rsid w:val="004204CA"/>
    <w:rsid w:val="0042093B"/>
    <w:rsid w:val="00420E4C"/>
    <w:rsid w:val="00421807"/>
    <w:rsid w:val="004223CD"/>
    <w:rsid w:val="0042332D"/>
    <w:rsid w:val="004233C3"/>
    <w:rsid w:val="00423631"/>
    <w:rsid w:val="004248B4"/>
    <w:rsid w:val="00424C99"/>
    <w:rsid w:val="00424D80"/>
    <w:rsid w:val="00425111"/>
    <w:rsid w:val="00426135"/>
    <w:rsid w:val="0042785C"/>
    <w:rsid w:val="0043016B"/>
    <w:rsid w:val="00430358"/>
    <w:rsid w:val="004306B3"/>
    <w:rsid w:val="00430CB6"/>
    <w:rsid w:val="004310B7"/>
    <w:rsid w:val="00431E7B"/>
    <w:rsid w:val="004331BB"/>
    <w:rsid w:val="00433C10"/>
    <w:rsid w:val="004367AD"/>
    <w:rsid w:val="00436D64"/>
    <w:rsid w:val="0043706A"/>
    <w:rsid w:val="00437A76"/>
    <w:rsid w:val="00441B68"/>
    <w:rsid w:val="0044205C"/>
    <w:rsid w:val="00442697"/>
    <w:rsid w:val="004426A8"/>
    <w:rsid w:val="00443F8E"/>
    <w:rsid w:val="004445CA"/>
    <w:rsid w:val="0044484B"/>
    <w:rsid w:val="00444F5E"/>
    <w:rsid w:val="004452F3"/>
    <w:rsid w:val="004470F9"/>
    <w:rsid w:val="004474E2"/>
    <w:rsid w:val="004504DE"/>
    <w:rsid w:val="00452E8F"/>
    <w:rsid w:val="0045314B"/>
    <w:rsid w:val="00453966"/>
    <w:rsid w:val="00453B1B"/>
    <w:rsid w:val="0046014A"/>
    <w:rsid w:val="004601D0"/>
    <w:rsid w:val="00460A45"/>
    <w:rsid w:val="004621F1"/>
    <w:rsid w:val="0046312D"/>
    <w:rsid w:val="00463611"/>
    <w:rsid w:val="00463B88"/>
    <w:rsid w:val="00463F9E"/>
    <w:rsid w:val="00464E58"/>
    <w:rsid w:val="00465CC4"/>
    <w:rsid w:val="00465D8A"/>
    <w:rsid w:val="00466E12"/>
    <w:rsid w:val="00467177"/>
    <w:rsid w:val="00467314"/>
    <w:rsid w:val="00467532"/>
    <w:rsid w:val="00467599"/>
    <w:rsid w:val="004704C2"/>
    <w:rsid w:val="00471D76"/>
    <w:rsid w:val="00471E32"/>
    <w:rsid w:val="00471FBB"/>
    <w:rsid w:val="004738B9"/>
    <w:rsid w:val="00474778"/>
    <w:rsid w:val="00474AF5"/>
    <w:rsid w:val="00474D47"/>
    <w:rsid w:val="00475121"/>
    <w:rsid w:val="0047555A"/>
    <w:rsid w:val="004765E9"/>
    <w:rsid w:val="004800A4"/>
    <w:rsid w:val="00480ECA"/>
    <w:rsid w:val="00481405"/>
    <w:rsid w:val="0048169D"/>
    <w:rsid w:val="00481FEE"/>
    <w:rsid w:val="004858D7"/>
    <w:rsid w:val="00485BF9"/>
    <w:rsid w:val="00486DC6"/>
    <w:rsid w:val="00486E28"/>
    <w:rsid w:val="00486F94"/>
    <w:rsid w:val="004876E2"/>
    <w:rsid w:val="00487CBC"/>
    <w:rsid w:val="00487F00"/>
    <w:rsid w:val="00491273"/>
    <w:rsid w:val="00492283"/>
    <w:rsid w:val="00492EA0"/>
    <w:rsid w:val="00493281"/>
    <w:rsid w:val="00494A10"/>
    <w:rsid w:val="004964AE"/>
    <w:rsid w:val="0049724F"/>
    <w:rsid w:val="004A1A50"/>
    <w:rsid w:val="004A1B89"/>
    <w:rsid w:val="004A1F04"/>
    <w:rsid w:val="004A3DD4"/>
    <w:rsid w:val="004A4339"/>
    <w:rsid w:val="004A43B9"/>
    <w:rsid w:val="004A4513"/>
    <w:rsid w:val="004A4972"/>
    <w:rsid w:val="004A4E60"/>
    <w:rsid w:val="004A4F2D"/>
    <w:rsid w:val="004A6076"/>
    <w:rsid w:val="004A7F4B"/>
    <w:rsid w:val="004B1373"/>
    <w:rsid w:val="004B22EE"/>
    <w:rsid w:val="004B252E"/>
    <w:rsid w:val="004B2F77"/>
    <w:rsid w:val="004B36AE"/>
    <w:rsid w:val="004B37D3"/>
    <w:rsid w:val="004B3A51"/>
    <w:rsid w:val="004B3A55"/>
    <w:rsid w:val="004B43A8"/>
    <w:rsid w:val="004B47C8"/>
    <w:rsid w:val="004B52D5"/>
    <w:rsid w:val="004B6CA5"/>
    <w:rsid w:val="004B78FE"/>
    <w:rsid w:val="004C0233"/>
    <w:rsid w:val="004C034F"/>
    <w:rsid w:val="004C08DA"/>
    <w:rsid w:val="004C0DA3"/>
    <w:rsid w:val="004C0E32"/>
    <w:rsid w:val="004C0E3E"/>
    <w:rsid w:val="004C1070"/>
    <w:rsid w:val="004C2002"/>
    <w:rsid w:val="004C33D4"/>
    <w:rsid w:val="004C346B"/>
    <w:rsid w:val="004C34C4"/>
    <w:rsid w:val="004C3993"/>
    <w:rsid w:val="004C3BCA"/>
    <w:rsid w:val="004C52E7"/>
    <w:rsid w:val="004C5A99"/>
    <w:rsid w:val="004C5D5B"/>
    <w:rsid w:val="004C6777"/>
    <w:rsid w:val="004C7657"/>
    <w:rsid w:val="004D0039"/>
    <w:rsid w:val="004D0FF8"/>
    <w:rsid w:val="004D1E4B"/>
    <w:rsid w:val="004D284F"/>
    <w:rsid w:val="004D3853"/>
    <w:rsid w:val="004D4105"/>
    <w:rsid w:val="004D4FEF"/>
    <w:rsid w:val="004D58BC"/>
    <w:rsid w:val="004D630A"/>
    <w:rsid w:val="004D687C"/>
    <w:rsid w:val="004D6CF0"/>
    <w:rsid w:val="004E0899"/>
    <w:rsid w:val="004E1CFD"/>
    <w:rsid w:val="004E633B"/>
    <w:rsid w:val="004E7051"/>
    <w:rsid w:val="004F0EF5"/>
    <w:rsid w:val="004F1299"/>
    <w:rsid w:val="004F1A29"/>
    <w:rsid w:val="004F3161"/>
    <w:rsid w:val="004F5243"/>
    <w:rsid w:val="004F5ECB"/>
    <w:rsid w:val="004F6710"/>
    <w:rsid w:val="004F7544"/>
    <w:rsid w:val="005001BA"/>
    <w:rsid w:val="00500F6E"/>
    <w:rsid w:val="0050210E"/>
    <w:rsid w:val="00502297"/>
    <w:rsid w:val="005027C2"/>
    <w:rsid w:val="00504DD1"/>
    <w:rsid w:val="00506E08"/>
    <w:rsid w:val="00506E0E"/>
    <w:rsid w:val="005076B7"/>
    <w:rsid w:val="005101B4"/>
    <w:rsid w:val="0051033F"/>
    <w:rsid w:val="00510B5F"/>
    <w:rsid w:val="00510E02"/>
    <w:rsid w:val="00513DAB"/>
    <w:rsid w:val="00514123"/>
    <w:rsid w:val="00514735"/>
    <w:rsid w:val="005156B3"/>
    <w:rsid w:val="0051581E"/>
    <w:rsid w:val="005162D4"/>
    <w:rsid w:val="0051664A"/>
    <w:rsid w:val="00516824"/>
    <w:rsid w:val="00516FA9"/>
    <w:rsid w:val="00522C9A"/>
    <w:rsid w:val="00523320"/>
    <w:rsid w:val="00523AB5"/>
    <w:rsid w:val="00524D63"/>
    <w:rsid w:val="00524E49"/>
    <w:rsid w:val="0052599C"/>
    <w:rsid w:val="00527402"/>
    <w:rsid w:val="00527AFB"/>
    <w:rsid w:val="00527EF4"/>
    <w:rsid w:val="00530371"/>
    <w:rsid w:val="00532F4F"/>
    <w:rsid w:val="00533633"/>
    <w:rsid w:val="00533DC6"/>
    <w:rsid w:val="00535F8C"/>
    <w:rsid w:val="00536A10"/>
    <w:rsid w:val="00541090"/>
    <w:rsid w:val="005416F8"/>
    <w:rsid w:val="00541E2D"/>
    <w:rsid w:val="0054219D"/>
    <w:rsid w:val="00543402"/>
    <w:rsid w:val="005438D0"/>
    <w:rsid w:val="00544E39"/>
    <w:rsid w:val="00546C4F"/>
    <w:rsid w:val="00547EBD"/>
    <w:rsid w:val="00550B58"/>
    <w:rsid w:val="00550B68"/>
    <w:rsid w:val="00550C14"/>
    <w:rsid w:val="0055118E"/>
    <w:rsid w:val="00551A8A"/>
    <w:rsid w:val="00551F7E"/>
    <w:rsid w:val="00552AC3"/>
    <w:rsid w:val="00553378"/>
    <w:rsid w:val="005533A9"/>
    <w:rsid w:val="00553B1F"/>
    <w:rsid w:val="00553FB8"/>
    <w:rsid w:val="00555255"/>
    <w:rsid w:val="0055559D"/>
    <w:rsid w:val="0055737A"/>
    <w:rsid w:val="0055739C"/>
    <w:rsid w:val="00557CA9"/>
    <w:rsid w:val="00557EEE"/>
    <w:rsid w:val="005606E9"/>
    <w:rsid w:val="00560972"/>
    <w:rsid w:val="00560C56"/>
    <w:rsid w:val="00561486"/>
    <w:rsid w:val="0056270F"/>
    <w:rsid w:val="00562971"/>
    <w:rsid w:val="00564A76"/>
    <w:rsid w:val="00564AC2"/>
    <w:rsid w:val="00565CA4"/>
    <w:rsid w:val="005661F8"/>
    <w:rsid w:val="00566884"/>
    <w:rsid w:val="00571E2E"/>
    <w:rsid w:val="005760E4"/>
    <w:rsid w:val="00576482"/>
    <w:rsid w:val="0057694C"/>
    <w:rsid w:val="0057723E"/>
    <w:rsid w:val="005775EE"/>
    <w:rsid w:val="005777A9"/>
    <w:rsid w:val="00580F8F"/>
    <w:rsid w:val="005813E3"/>
    <w:rsid w:val="00581AE2"/>
    <w:rsid w:val="00582113"/>
    <w:rsid w:val="00582ADE"/>
    <w:rsid w:val="00582B1B"/>
    <w:rsid w:val="0058405A"/>
    <w:rsid w:val="005843D3"/>
    <w:rsid w:val="00585609"/>
    <w:rsid w:val="00585791"/>
    <w:rsid w:val="00585835"/>
    <w:rsid w:val="00586CF4"/>
    <w:rsid w:val="00587524"/>
    <w:rsid w:val="005878EC"/>
    <w:rsid w:val="0059073A"/>
    <w:rsid w:val="0059082D"/>
    <w:rsid w:val="00590A69"/>
    <w:rsid w:val="00590B67"/>
    <w:rsid w:val="00591F84"/>
    <w:rsid w:val="00592399"/>
    <w:rsid w:val="005924F0"/>
    <w:rsid w:val="00593018"/>
    <w:rsid w:val="005945B9"/>
    <w:rsid w:val="00594611"/>
    <w:rsid w:val="0059554F"/>
    <w:rsid w:val="005957B1"/>
    <w:rsid w:val="00595B73"/>
    <w:rsid w:val="00595F36"/>
    <w:rsid w:val="005960BE"/>
    <w:rsid w:val="00597633"/>
    <w:rsid w:val="00597729"/>
    <w:rsid w:val="005979AF"/>
    <w:rsid w:val="005A0E06"/>
    <w:rsid w:val="005A0F04"/>
    <w:rsid w:val="005A0F26"/>
    <w:rsid w:val="005A0F72"/>
    <w:rsid w:val="005A1207"/>
    <w:rsid w:val="005A1574"/>
    <w:rsid w:val="005A1C8B"/>
    <w:rsid w:val="005A270A"/>
    <w:rsid w:val="005A2BA9"/>
    <w:rsid w:val="005A2BD0"/>
    <w:rsid w:val="005A30B9"/>
    <w:rsid w:val="005A367E"/>
    <w:rsid w:val="005A375B"/>
    <w:rsid w:val="005A3B0C"/>
    <w:rsid w:val="005A428E"/>
    <w:rsid w:val="005A4714"/>
    <w:rsid w:val="005A49F5"/>
    <w:rsid w:val="005A4A8E"/>
    <w:rsid w:val="005A4D23"/>
    <w:rsid w:val="005A5B3C"/>
    <w:rsid w:val="005A5C06"/>
    <w:rsid w:val="005A5C32"/>
    <w:rsid w:val="005A63EF"/>
    <w:rsid w:val="005A6D43"/>
    <w:rsid w:val="005A77B2"/>
    <w:rsid w:val="005A7C9F"/>
    <w:rsid w:val="005B02CF"/>
    <w:rsid w:val="005B0911"/>
    <w:rsid w:val="005B1E94"/>
    <w:rsid w:val="005B264B"/>
    <w:rsid w:val="005B29A1"/>
    <w:rsid w:val="005B2C84"/>
    <w:rsid w:val="005B43C5"/>
    <w:rsid w:val="005B4E79"/>
    <w:rsid w:val="005B682B"/>
    <w:rsid w:val="005B713D"/>
    <w:rsid w:val="005B74DB"/>
    <w:rsid w:val="005B7F3F"/>
    <w:rsid w:val="005C0C6E"/>
    <w:rsid w:val="005C1BE7"/>
    <w:rsid w:val="005C1E63"/>
    <w:rsid w:val="005C28D3"/>
    <w:rsid w:val="005C3158"/>
    <w:rsid w:val="005C3163"/>
    <w:rsid w:val="005C50CC"/>
    <w:rsid w:val="005C5475"/>
    <w:rsid w:val="005C5635"/>
    <w:rsid w:val="005C6BC0"/>
    <w:rsid w:val="005D2DBA"/>
    <w:rsid w:val="005D73B9"/>
    <w:rsid w:val="005D7A42"/>
    <w:rsid w:val="005D7BAD"/>
    <w:rsid w:val="005D7D1F"/>
    <w:rsid w:val="005E0B05"/>
    <w:rsid w:val="005E1532"/>
    <w:rsid w:val="005E1566"/>
    <w:rsid w:val="005E2CD7"/>
    <w:rsid w:val="005E31BE"/>
    <w:rsid w:val="005E37D8"/>
    <w:rsid w:val="005E3D71"/>
    <w:rsid w:val="005E419C"/>
    <w:rsid w:val="005E5293"/>
    <w:rsid w:val="005E5987"/>
    <w:rsid w:val="005E61A9"/>
    <w:rsid w:val="005E6ED2"/>
    <w:rsid w:val="005E72FD"/>
    <w:rsid w:val="005E7C09"/>
    <w:rsid w:val="005F065B"/>
    <w:rsid w:val="005F078B"/>
    <w:rsid w:val="005F0B1A"/>
    <w:rsid w:val="005F24CC"/>
    <w:rsid w:val="005F265F"/>
    <w:rsid w:val="005F2C44"/>
    <w:rsid w:val="005F4686"/>
    <w:rsid w:val="005F542E"/>
    <w:rsid w:val="005F5ED0"/>
    <w:rsid w:val="005F7602"/>
    <w:rsid w:val="00600622"/>
    <w:rsid w:val="0060181F"/>
    <w:rsid w:val="00602567"/>
    <w:rsid w:val="00602680"/>
    <w:rsid w:val="006038F5"/>
    <w:rsid w:val="00603EE7"/>
    <w:rsid w:val="00604522"/>
    <w:rsid w:val="00605C3F"/>
    <w:rsid w:val="006063F8"/>
    <w:rsid w:val="00610124"/>
    <w:rsid w:val="0061116E"/>
    <w:rsid w:val="00611A6C"/>
    <w:rsid w:val="00611B19"/>
    <w:rsid w:val="006121E5"/>
    <w:rsid w:val="00612B8D"/>
    <w:rsid w:val="00613148"/>
    <w:rsid w:val="0061329F"/>
    <w:rsid w:val="006134CB"/>
    <w:rsid w:val="00614983"/>
    <w:rsid w:val="00614B9B"/>
    <w:rsid w:val="00614DC9"/>
    <w:rsid w:val="0061608F"/>
    <w:rsid w:val="00616104"/>
    <w:rsid w:val="0061682E"/>
    <w:rsid w:val="00616C2F"/>
    <w:rsid w:val="00617A71"/>
    <w:rsid w:val="00621720"/>
    <w:rsid w:val="00621C17"/>
    <w:rsid w:val="006227B8"/>
    <w:rsid w:val="0062456C"/>
    <w:rsid w:val="0062475E"/>
    <w:rsid w:val="00624770"/>
    <w:rsid w:val="0062625E"/>
    <w:rsid w:val="006266BA"/>
    <w:rsid w:val="006273D8"/>
    <w:rsid w:val="0062757E"/>
    <w:rsid w:val="0063036C"/>
    <w:rsid w:val="00631001"/>
    <w:rsid w:val="0063189F"/>
    <w:rsid w:val="00632308"/>
    <w:rsid w:val="00632F8D"/>
    <w:rsid w:val="006331E4"/>
    <w:rsid w:val="00634FDE"/>
    <w:rsid w:val="006350FF"/>
    <w:rsid w:val="00635233"/>
    <w:rsid w:val="006353F2"/>
    <w:rsid w:val="00636BBA"/>
    <w:rsid w:val="00636D95"/>
    <w:rsid w:val="00636F4A"/>
    <w:rsid w:val="00637009"/>
    <w:rsid w:val="0063774D"/>
    <w:rsid w:val="00637917"/>
    <w:rsid w:val="00637CFF"/>
    <w:rsid w:val="0064026B"/>
    <w:rsid w:val="00640875"/>
    <w:rsid w:val="00641A8A"/>
    <w:rsid w:val="00641AE9"/>
    <w:rsid w:val="00641AF8"/>
    <w:rsid w:val="00642CBF"/>
    <w:rsid w:val="00645390"/>
    <w:rsid w:val="006467FD"/>
    <w:rsid w:val="00646C5C"/>
    <w:rsid w:val="006508E1"/>
    <w:rsid w:val="00652122"/>
    <w:rsid w:val="00653A63"/>
    <w:rsid w:val="0065445F"/>
    <w:rsid w:val="00654562"/>
    <w:rsid w:val="0065462F"/>
    <w:rsid w:val="00660786"/>
    <w:rsid w:val="00660A35"/>
    <w:rsid w:val="00662E51"/>
    <w:rsid w:val="006630CA"/>
    <w:rsid w:val="00663A9A"/>
    <w:rsid w:val="00663B67"/>
    <w:rsid w:val="0066632E"/>
    <w:rsid w:val="006666E2"/>
    <w:rsid w:val="00666A00"/>
    <w:rsid w:val="00666B3E"/>
    <w:rsid w:val="00666C82"/>
    <w:rsid w:val="00667462"/>
    <w:rsid w:val="00667EE9"/>
    <w:rsid w:val="00670135"/>
    <w:rsid w:val="00670CAD"/>
    <w:rsid w:val="00672379"/>
    <w:rsid w:val="00673B90"/>
    <w:rsid w:val="00673C40"/>
    <w:rsid w:val="00674B0D"/>
    <w:rsid w:val="00674BE3"/>
    <w:rsid w:val="00675B31"/>
    <w:rsid w:val="00676BA4"/>
    <w:rsid w:val="00676F53"/>
    <w:rsid w:val="006777BE"/>
    <w:rsid w:val="0068046C"/>
    <w:rsid w:val="00680735"/>
    <w:rsid w:val="00681967"/>
    <w:rsid w:val="0068248B"/>
    <w:rsid w:val="0068306A"/>
    <w:rsid w:val="006832E5"/>
    <w:rsid w:val="00683D06"/>
    <w:rsid w:val="00684540"/>
    <w:rsid w:val="00684C65"/>
    <w:rsid w:val="00684FC6"/>
    <w:rsid w:val="006862E1"/>
    <w:rsid w:val="00686F29"/>
    <w:rsid w:val="006871E8"/>
    <w:rsid w:val="00690096"/>
    <w:rsid w:val="0069042E"/>
    <w:rsid w:val="00691BB0"/>
    <w:rsid w:val="00691BED"/>
    <w:rsid w:val="006931F4"/>
    <w:rsid w:val="006939BE"/>
    <w:rsid w:val="00693BBA"/>
    <w:rsid w:val="00695B53"/>
    <w:rsid w:val="006964A8"/>
    <w:rsid w:val="006979E3"/>
    <w:rsid w:val="00697AF4"/>
    <w:rsid w:val="00697D80"/>
    <w:rsid w:val="006A0170"/>
    <w:rsid w:val="006A01C3"/>
    <w:rsid w:val="006A1090"/>
    <w:rsid w:val="006A1B72"/>
    <w:rsid w:val="006A2328"/>
    <w:rsid w:val="006A23BC"/>
    <w:rsid w:val="006A2469"/>
    <w:rsid w:val="006A2E69"/>
    <w:rsid w:val="006A3531"/>
    <w:rsid w:val="006A42B3"/>
    <w:rsid w:val="006A43E9"/>
    <w:rsid w:val="006A4F31"/>
    <w:rsid w:val="006A5C2B"/>
    <w:rsid w:val="006A7500"/>
    <w:rsid w:val="006A7508"/>
    <w:rsid w:val="006B1FBE"/>
    <w:rsid w:val="006B2F2C"/>
    <w:rsid w:val="006B3037"/>
    <w:rsid w:val="006B4215"/>
    <w:rsid w:val="006B515C"/>
    <w:rsid w:val="006B5BA9"/>
    <w:rsid w:val="006B6360"/>
    <w:rsid w:val="006B6616"/>
    <w:rsid w:val="006B66B6"/>
    <w:rsid w:val="006B6A80"/>
    <w:rsid w:val="006B6C07"/>
    <w:rsid w:val="006B7074"/>
    <w:rsid w:val="006B765D"/>
    <w:rsid w:val="006B7F44"/>
    <w:rsid w:val="006C024D"/>
    <w:rsid w:val="006C0B0C"/>
    <w:rsid w:val="006C13C5"/>
    <w:rsid w:val="006C38DE"/>
    <w:rsid w:val="006C3F3A"/>
    <w:rsid w:val="006C3F9A"/>
    <w:rsid w:val="006C46F8"/>
    <w:rsid w:val="006C4B5C"/>
    <w:rsid w:val="006C4E24"/>
    <w:rsid w:val="006C4E80"/>
    <w:rsid w:val="006C5C98"/>
    <w:rsid w:val="006C61BE"/>
    <w:rsid w:val="006C70D1"/>
    <w:rsid w:val="006D1033"/>
    <w:rsid w:val="006D10DA"/>
    <w:rsid w:val="006D184D"/>
    <w:rsid w:val="006D2563"/>
    <w:rsid w:val="006D2EDB"/>
    <w:rsid w:val="006D3245"/>
    <w:rsid w:val="006D34BD"/>
    <w:rsid w:val="006D40FE"/>
    <w:rsid w:val="006D424D"/>
    <w:rsid w:val="006D5E35"/>
    <w:rsid w:val="006D5EA2"/>
    <w:rsid w:val="006D5FD9"/>
    <w:rsid w:val="006D7428"/>
    <w:rsid w:val="006E050B"/>
    <w:rsid w:val="006E0E94"/>
    <w:rsid w:val="006E1FB4"/>
    <w:rsid w:val="006E2349"/>
    <w:rsid w:val="006E298C"/>
    <w:rsid w:val="006E3842"/>
    <w:rsid w:val="006E3C13"/>
    <w:rsid w:val="006E4C42"/>
    <w:rsid w:val="006E6563"/>
    <w:rsid w:val="006E68AA"/>
    <w:rsid w:val="006E6D7D"/>
    <w:rsid w:val="006E747F"/>
    <w:rsid w:val="006F0F0C"/>
    <w:rsid w:val="006F16D1"/>
    <w:rsid w:val="006F2114"/>
    <w:rsid w:val="006F32A0"/>
    <w:rsid w:val="006F3F09"/>
    <w:rsid w:val="006F49AA"/>
    <w:rsid w:val="006F4CE2"/>
    <w:rsid w:val="006F4E69"/>
    <w:rsid w:val="006F65DE"/>
    <w:rsid w:val="006F699D"/>
    <w:rsid w:val="006F6D57"/>
    <w:rsid w:val="006F76D9"/>
    <w:rsid w:val="006F790C"/>
    <w:rsid w:val="006F7964"/>
    <w:rsid w:val="006F7FEE"/>
    <w:rsid w:val="00700278"/>
    <w:rsid w:val="00700A7C"/>
    <w:rsid w:val="00701C5B"/>
    <w:rsid w:val="00702A09"/>
    <w:rsid w:val="007038D4"/>
    <w:rsid w:val="007042AE"/>
    <w:rsid w:val="007045D4"/>
    <w:rsid w:val="00704A65"/>
    <w:rsid w:val="00704ADC"/>
    <w:rsid w:val="0070590B"/>
    <w:rsid w:val="007073FC"/>
    <w:rsid w:val="007075B7"/>
    <w:rsid w:val="00707CC8"/>
    <w:rsid w:val="007101A8"/>
    <w:rsid w:val="007112DF"/>
    <w:rsid w:val="0071159C"/>
    <w:rsid w:val="00711D9E"/>
    <w:rsid w:val="0071249C"/>
    <w:rsid w:val="00712984"/>
    <w:rsid w:val="00714CA3"/>
    <w:rsid w:val="00715629"/>
    <w:rsid w:val="007172EB"/>
    <w:rsid w:val="00717815"/>
    <w:rsid w:val="00717A64"/>
    <w:rsid w:val="00721CEE"/>
    <w:rsid w:val="0072282F"/>
    <w:rsid w:val="00723264"/>
    <w:rsid w:val="00723EAC"/>
    <w:rsid w:val="00724492"/>
    <w:rsid w:val="007245AF"/>
    <w:rsid w:val="007260B8"/>
    <w:rsid w:val="00727D8C"/>
    <w:rsid w:val="0073266A"/>
    <w:rsid w:val="007335CC"/>
    <w:rsid w:val="00733962"/>
    <w:rsid w:val="00733C33"/>
    <w:rsid w:val="00734BAB"/>
    <w:rsid w:val="00734FFD"/>
    <w:rsid w:val="007353E2"/>
    <w:rsid w:val="00736A9D"/>
    <w:rsid w:val="007370B2"/>
    <w:rsid w:val="0073776B"/>
    <w:rsid w:val="00737DF4"/>
    <w:rsid w:val="00741042"/>
    <w:rsid w:val="007419C9"/>
    <w:rsid w:val="0074264B"/>
    <w:rsid w:val="0074425F"/>
    <w:rsid w:val="007446C6"/>
    <w:rsid w:val="00745330"/>
    <w:rsid w:val="00745851"/>
    <w:rsid w:val="007467B5"/>
    <w:rsid w:val="00746976"/>
    <w:rsid w:val="00746B8B"/>
    <w:rsid w:val="00747D46"/>
    <w:rsid w:val="00751DF6"/>
    <w:rsid w:val="00751F3B"/>
    <w:rsid w:val="0075352B"/>
    <w:rsid w:val="00755B62"/>
    <w:rsid w:val="00756027"/>
    <w:rsid w:val="00756CE9"/>
    <w:rsid w:val="00761407"/>
    <w:rsid w:val="00762A6C"/>
    <w:rsid w:val="00764258"/>
    <w:rsid w:val="00765FF0"/>
    <w:rsid w:val="00767454"/>
    <w:rsid w:val="00767477"/>
    <w:rsid w:val="00767C7C"/>
    <w:rsid w:val="00770016"/>
    <w:rsid w:val="007717B5"/>
    <w:rsid w:val="00772554"/>
    <w:rsid w:val="00772656"/>
    <w:rsid w:val="007730F4"/>
    <w:rsid w:val="0077317C"/>
    <w:rsid w:val="00775F77"/>
    <w:rsid w:val="00776015"/>
    <w:rsid w:val="00777D4F"/>
    <w:rsid w:val="00777E8D"/>
    <w:rsid w:val="007800CB"/>
    <w:rsid w:val="00781E0A"/>
    <w:rsid w:val="00785991"/>
    <w:rsid w:val="00787562"/>
    <w:rsid w:val="00787EE5"/>
    <w:rsid w:val="0079092A"/>
    <w:rsid w:val="00790A9C"/>
    <w:rsid w:val="00791464"/>
    <w:rsid w:val="007914B3"/>
    <w:rsid w:val="007919C4"/>
    <w:rsid w:val="00792B06"/>
    <w:rsid w:val="007931C6"/>
    <w:rsid w:val="007933C8"/>
    <w:rsid w:val="00793FE0"/>
    <w:rsid w:val="00794787"/>
    <w:rsid w:val="00794B9C"/>
    <w:rsid w:val="0079515B"/>
    <w:rsid w:val="00795162"/>
    <w:rsid w:val="00796421"/>
    <w:rsid w:val="007967F5"/>
    <w:rsid w:val="007968CA"/>
    <w:rsid w:val="00796996"/>
    <w:rsid w:val="00796C10"/>
    <w:rsid w:val="00797199"/>
    <w:rsid w:val="007A0269"/>
    <w:rsid w:val="007A09AC"/>
    <w:rsid w:val="007A0F3A"/>
    <w:rsid w:val="007A3683"/>
    <w:rsid w:val="007A4D99"/>
    <w:rsid w:val="007A62EC"/>
    <w:rsid w:val="007A6C0C"/>
    <w:rsid w:val="007A7156"/>
    <w:rsid w:val="007A7C61"/>
    <w:rsid w:val="007B19E5"/>
    <w:rsid w:val="007B1BFB"/>
    <w:rsid w:val="007B352C"/>
    <w:rsid w:val="007B4663"/>
    <w:rsid w:val="007B4C95"/>
    <w:rsid w:val="007B4EA4"/>
    <w:rsid w:val="007B52EA"/>
    <w:rsid w:val="007B6634"/>
    <w:rsid w:val="007B694B"/>
    <w:rsid w:val="007B7057"/>
    <w:rsid w:val="007B7440"/>
    <w:rsid w:val="007C0ABB"/>
    <w:rsid w:val="007C28B3"/>
    <w:rsid w:val="007C35F1"/>
    <w:rsid w:val="007C3F19"/>
    <w:rsid w:val="007C4A74"/>
    <w:rsid w:val="007C4A80"/>
    <w:rsid w:val="007C53C0"/>
    <w:rsid w:val="007C59EC"/>
    <w:rsid w:val="007C703B"/>
    <w:rsid w:val="007D0685"/>
    <w:rsid w:val="007D1C25"/>
    <w:rsid w:val="007D238C"/>
    <w:rsid w:val="007D2E6F"/>
    <w:rsid w:val="007D3117"/>
    <w:rsid w:val="007D38A7"/>
    <w:rsid w:val="007D3F69"/>
    <w:rsid w:val="007D4BAA"/>
    <w:rsid w:val="007D62D9"/>
    <w:rsid w:val="007D69B8"/>
    <w:rsid w:val="007D75FF"/>
    <w:rsid w:val="007D7A80"/>
    <w:rsid w:val="007E00B8"/>
    <w:rsid w:val="007E04A8"/>
    <w:rsid w:val="007E26D2"/>
    <w:rsid w:val="007E3C41"/>
    <w:rsid w:val="007E4171"/>
    <w:rsid w:val="007E51BB"/>
    <w:rsid w:val="007E52C0"/>
    <w:rsid w:val="007E58BF"/>
    <w:rsid w:val="007E5ACA"/>
    <w:rsid w:val="007E5BD8"/>
    <w:rsid w:val="007E62C3"/>
    <w:rsid w:val="007E633B"/>
    <w:rsid w:val="007E6565"/>
    <w:rsid w:val="007E6B20"/>
    <w:rsid w:val="007F05C6"/>
    <w:rsid w:val="007F09A1"/>
    <w:rsid w:val="007F2456"/>
    <w:rsid w:val="007F2FE4"/>
    <w:rsid w:val="007F4216"/>
    <w:rsid w:val="007F536D"/>
    <w:rsid w:val="007F5A09"/>
    <w:rsid w:val="007F64F0"/>
    <w:rsid w:val="007F6F1E"/>
    <w:rsid w:val="00800DEF"/>
    <w:rsid w:val="008010A7"/>
    <w:rsid w:val="00801AA6"/>
    <w:rsid w:val="00802421"/>
    <w:rsid w:val="00803C2B"/>
    <w:rsid w:val="00803EF8"/>
    <w:rsid w:val="0080446F"/>
    <w:rsid w:val="0080459E"/>
    <w:rsid w:val="008050EC"/>
    <w:rsid w:val="00805437"/>
    <w:rsid w:val="008068E1"/>
    <w:rsid w:val="00810A7B"/>
    <w:rsid w:val="00810AA1"/>
    <w:rsid w:val="00811453"/>
    <w:rsid w:val="00812FD7"/>
    <w:rsid w:val="0081302C"/>
    <w:rsid w:val="008139D2"/>
    <w:rsid w:val="00814890"/>
    <w:rsid w:val="00814D64"/>
    <w:rsid w:val="00815288"/>
    <w:rsid w:val="008158B5"/>
    <w:rsid w:val="00815B74"/>
    <w:rsid w:val="00817BDA"/>
    <w:rsid w:val="00820AB0"/>
    <w:rsid w:val="00820F46"/>
    <w:rsid w:val="008212AD"/>
    <w:rsid w:val="008217A5"/>
    <w:rsid w:val="00824FC0"/>
    <w:rsid w:val="00825955"/>
    <w:rsid w:val="00827E42"/>
    <w:rsid w:val="00832064"/>
    <w:rsid w:val="008346A2"/>
    <w:rsid w:val="008348C1"/>
    <w:rsid w:val="008353B4"/>
    <w:rsid w:val="008356CA"/>
    <w:rsid w:val="00836748"/>
    <w:rsid w:val="00836B49"/>
    <w:rsid w:val="00837B80"/>
    <w:rsid w:val="00837C9B"/>
    <w:rsid w:val="00837D1C"/>
    <w:rsid w:val="0084004E"/>
    <w:rsid w:val="008400B9"/>
    <w:rsid w:val="00840186"/>
    <w:rsid w:val="00840214"/>
    <w:rsid w:val="00840379"/>
    <w:rsid w:val="008404AB"/>
    <w:rsid w:val="00841D51"/>
    <w:rsid w:val="00841D82"/>
    <w:rsid w:val="00843C41"/>
    <w:rsid w:val="008446B6"/>
    <w:rsid w:val="00844DBA"/>
    <w:rsid w:val="00845A94"/>
    <w:rsid w:val="00846511"/>
    <w:rsid w:val="00846E97"/>
    <w:rsid w:val="00847965"/>
    <w:rsid w:val="00850B20"/>
    <w:rsid w:val="00850CEC"/>
    <w:rsid w:val="00852A00"/>
    <w:rsid w:val="008536C2"/>
    <w:rsid w:val="008545CB"/>
    <w:rsid w:val="00855B16"/>
    <w:rsid w:val="00855B9A"/>
    <w:rsid w:val="0085689F"/>
    <w:rsid w:val="00856CF6"/>
    <w:rsid w:val="00857E63"/>
    <w:rsid w:val="00860B85"/>
    <w:rsid w:val="00860D8C"/>
    <w:rsid w:val="00860DF3"/>
    <w:rsid w:val="00861DEB"/>
    <w:rsid w:val="00861E6B"/>
    <w:rsid w:val="0086224F"/>
    <w:rsid w:val="00862AD9"/>
    <w:rsid w:val="0086325D"/>
    <w:rsid w:val="008641A3"/>
    <w:rsid w:val="0086434F"/>
    <w:rsid w:val="008649E2"/>
    <w:rsid w:val="00864E4A"/>
    <w:rsid w:val="0086512C"/>
    <w:rsid w:val="008657DC"/>
    <w:rsid w:val="008665D6"/>
    <w:rsid w:val="008675FF"/>
    <w:rsid w:val="00867A32"/>
    <w:rsid w:val="00871375"/>
    <w:rsid w:val="00871B85"/>
    <w:rsid w:val="00871EF0"/>
    <w:rsid w:val="0087352E"/>
    <w:rsid w:val="00875952"/>
    <w:rsid w:val="00875AEE"/>
    <w:rsid w:val="0087676E"/>
    <w:rsid w:val="008800C8"/>
    <w:rsid w:val="008804FB"/>
    <w:rsid w:val="008813EF"/>
    <w:rsid w:val="00881847"/>
    <w:rsid w:val="00881FE1"/>
    <w:rsid w:val="00882216"/>
    <w:rsid w:val="008822FD"/>
    <w:rsid w:val="0088231B"/>
    <w:rsid w:val="00882931"/>
    <w:rsid w:val="00882A18"/>
    <w:rsid w:val="00882EAB"/>
    <w:rsid w:val="008835AB"/>
    <w:rsid w:val="00883634"/>
    <w:rsid w:val="00885955"/>
    <w:rsid w:val="00886367"/>
    <w:rsid w:val="008866F6"/>
    <w:rsid w:val="00886E88"/>
    <w:rsid w:val="00887D32"/>
    <w:rsid w:val="00890FE0"/>
    <w:rsid w:val="00891A11"/>
    <w:rsid w:val="00893611"/>
    <w:rsid w:val="008944A1"/>
    <w:rsid w:val="008944D9"/>
    <w:rsid w:val="0089737F"/>
    <w:rsid w:val="008A0249"/>
    <w:rsid w:val="008A186E"/>
    <w:rsid w:val="008A529D"/>
    <w:rsid w:val="008A52DE"/>
    <w:rsid w:val="008A5DCB"/>
    <w:rsid w:val="008A655A"/>
    <w:rsid w:val="008A6625"/>
    <w:rsid w:val="008A6C10"/>
    <w:rsid w:val="008A7D98"/>
    <w:rsid w:val="008B21D5"/>
    <w:rsid w:val="008B2A5D"/>
    <w:rsid w:val="008B3C09"/>
    <w:rsid w:val="008B4588"/>
    <w:rsid w:val="008B540F"/>
    <w:rsid w:val="008B55BE"/>
    <w:rsid w:val="008B62AE"/>
    <w:rsid w:val="008B70F6"/>
    <w:rsid w:val="008C09FE"/>
    <w:rsid w:val="008C0F90"/>
    <w:rsid w:val="008C1DA5"/>
    <w:rsid w:val="008C3207"/>
    <w:rsid w:val="008C49AE"/>
    <w:rsid w:val="008C5C4C"/>
    <w:rsid w:val="008C7333"/>
    <w:rsid w:val="008C7785"/>
    <w:rsid w:val="008C7D24"/>
    <w:rsid w:val="008C7DAE"/>
    <w:rsid w:val="008D08EE"/>
    <w:rsid w:val="008D1300"/>
    <w:rsid w:val="008D1581"/>
    <w:rsid w:val="008D25B4"/>
    <w:rsid w:val="008D4CE8"/>
    <w:rsid w:val="008D58E0"/>
    <w:rsid w:val="008D5AC8"/>
    <w:rsid w:val="008D5E03"/>
    <w:rsid w:val="008D5EF8"/>
    <w:rsid w:val="008D6383"/>
    <w:rsid w:val="008D6B2F"/>
    <w:rsid w:val="008D7F5F"/>
    <w:rsid w:val="008E0A8A"/>
    <w:rsid w:val="008E0B7B"/>
    <w:rsid w:val="008E0E0B"/>
    <w:rsid w:val="008E2C82"/>
    <w:rsid w:val="008E2F28"/>
    <w:rsid w:val="008E2FD6"/>
    <w:rsid w:val="008E315E"/>
    <w:rsid w:val="008E31FF"/>
    <w:rsid w:val="008E342C"/>
    <w:rsid w:val="008E3620"/>
    <w:rsid w:val="008E52BE"/>
    <w:rsid w:val="008E59B8"/>
    <w:rsid w:val="008E60EF"/>
    <w:rsid w:val="008E74EA"/>
    <w:rsid w:val="008F08BE"/>
    <w:rsid w:val="008F1C3A"/>
    <w:rsid w:val="008F2CA6"/>
    <w:rsid w:val="008F3887"/>
    <w:rsid w:val="008F3B80"/>
    <w:rsid w:val="008F4C26"/>
    <w:rsid w:val="008F4CBD"/>
    <w:rsid w:val="008F6AE8"/>
    <w:rsid w:val="008F786B"/>
    <w:rsid w:val="008F7975"/>
    <w:rsid w:val="008F7C77"/>
    <w:rsid w:val="00900D2A"/>
    <w:rsid w:val="00901B2D"/>
    <w:rsid w:val="0090222F"/>
    <w:rsid w:val="0090223E"/>
    <w:rsid w:val="009028BB"/>
    <w:rsid w:val="00902D2E"/>
    <w:rsid w:val="00902FD9"/>
    <w:rsid w:val="009031F5"/>
    <w:rsid w:val="00904BD0"/>
    <w:rsid w:val="009064B9"/>
    <w:rsid w:val="0090685F"/>
    <w:rsid w:val="00907628"/>
    <w:rsid w:val="00907B16"/>
    <w:rsid w:val="00910C42"/>
    <w:rsid w:val="009114B3"/>
    <w:rsid w:val="00911597"/>
    <w:rsid w:val="00913A01"/>
    <w:rsid w:val="00913EE4"/>
    <w:rsid w:val="009148E9"/>
    <w:rsid w:val="00914A5E"/>
    <w:rsid w:val="00914A65"/>
    <w:rsid w:val="00915458"/>
    <w:rsid w:val="009160E7"/>
    <w:rsid w:val="00916979"/>
    <w:rsid w:val="0092036B"/>
    <w:rsid w:val="00920A3C"/>
    <w:rsid w:val="009212D5"/>
    <w:rsid w:val="00922E89"/>
    <w:rsid w:val="00923311"/>
    <w:rsid w:val="00923765"/>
    <w:rsid w:val="009244D4"/>
    <w:rsid w:val="00924F83"/>
    <w:rsid w:val="009250F6"/>
    <w:rsid w:val="00925D92"/>
    <w:rsid w:val="00926032"/>
    <w:rsid w:val="00926BF5"/>
    <w:rsid w:val="00931310"/>
    <w:rsid w:val="0093198B"/>
    <w:rsid w:val="00931A10"/>
    <w:rsid w:val="00932009"/>
    <w:rsid w:val="00933944"/>
    <w:rsid w:val="009342C3"/>
    <w:rsid w:val="00934466"/>
    <w:rsid w:val="0093466F"/>
    <w:rsid w:val="00934814"/>
    <w:rsid w:val="009351D6"/>
    <w:rsid w:val="00940073"/>
    <w:rsid w:val="00940552"/>
    <w:rsid w:val="00942564"/>
    <w:rsid w:val="00942AF5"/>
    <w:rsid w:val="00944EC4"/>
    <w:rsid w:val="00945057"/>
    <w:rsid w:val="009462EE"/>
    <w:rsid w:val="009464A6"/>
    <w:rsid w:val="00946E35"/>
    <w:rsid w:val="0094756F"/>
    <w:rsid w:val="00951141"/>
    <w:rsid w:val="00951CC0"/>
    <w:rsid w:val="00952E2C"/>
    <w:rsid w:val="0095349E"/>
    <w:rsid w:val="00953D62"/>
    <w:rsid w:val="0095417D"/>
    <w:rsid w:val="009544F0"/>
    <w:rsid w:val="009554A0"/>
    <w:rsid w:val="009554FA"/>
    <w:rsid w:val="00956474"/>
    <w:rsid w:val="0095655C"/>
    <w:rsid w:val="0095662D"/>
    <w:rsid w:val="00956D94"/>
    <w:rsid w:val="009574EA"/>
    <w:rsid w:val="009614A8"/>
    <w:rsid w:val="009627BF"/>
    <w:rsid w:val="00963A2C"/>
    <w:rsid w:val="00964CF9"/>
    <w:rsid w:val="00966477"/>
    <w:rsid w:val="00970396"/>
    <w:rsid w:val="00970B69"/>
    <w:rsid w:val="00972B2E"/>
    <w:rsid w:val="009751EA"/>
    <w:rsid w:val="00975535"/>
    <w:rsid w:val="00976152"/>
    <w:rsid w:val="009762C9"/>
    <w:rsid w:val="00980CE4"/>
    <w:rsid w:val="00982F6C"/>
    <w:rsid w:val="00986C63"/>
    <w:rsid w:val="00990DFB"/>
    <w:rsid w:val="00991A98"/>
    <w:rsid w:val="00992607"/>
    <w:rsid w:val="00992A4D"/>
    <w:rsid w:val="0099381E"/>
    <w:rsid w:val="0099396A"/>
    <w:rsid w:val="00993C03"/>
    <w:rsid w:val="00994041"/>
    <w:rsid w:val="009950EA"/>
    <w:rsid w:val="00995A38"/>
    <w:rsid w:val="00995B84"/>
    <w:rsid w:val="00996186"/>
    <w:rsid w:val="009961D3"/>
    <w:rsid w:val="00997136"/>
    <w:rsid w:val="009978BF"/>
    <w:rsid w:val="009A0DA1"/>
    <w:rsid w:val="009A1288"/>
    <w:rsid w:val="009A1389"/>
    <w:rsid w:val="009A2AA5"/>
    <w:rsid w:val="009A3417"/>
    <w:rsid w:val="009A503F"/>
    <w:rsid w:val="009A5C64"/>
    <w:rsid w:val="009A5C96"/>
    <w:rsid w:val="009A5FDE"/>
    <w:rsid w:val="009A6725"/>
    <w:rsid w:val="009A77E0"/>
    <w:rsid w:val="009A7EB3"/>
    <w:rsid w:val="009B0138"/>
    <w:rsid w:val="009B0336"/>
    <w:rsid w:val="009B076D"/>
    <w:rsid w:val="009B09AF"/>
    <w:rsid w:val="009B0D38"/>
    <w:rsid w:val="009B182C"/>
    <w:rsid w:val="009B1C14"/>
    <w:rsid w:val="009B1D84"/>
    <w:rsid w:val="009B2E4E"/>
    <w:rsid w:val="009B2F76"/>
    <w:rsid w:val="009B2F9D"/>
    <w:rsid w:val="009B35D6"/>
    <w:rsid w:val="009B4AF2"/>
    <w:rsid w:val="009B4B39"/>
    <w:rsid w:val="009B626E"/>
    <w:rsid w:val="009B7BBC"/>
    <w:rsid w:val="009C01B8"/>
    <w:rsid w:val="009C01CC"/>
    <w:rsid w:val="009C053F"/>
    <w:rsid w:val="009C08FA"/>
    <w:rsid w:val="009C0E55"/>
    <w:rsid w:val="009C12F8"/>
    <w:rsid w:val="009C14C7"/>
    <w:rsid w:val="009C2029"/>
    <w:rsid w:val="009C2156"/>
    <w:rsid w:val="009C2D1F"/>
    <w:rsid w:val="009C2E68"/>
    <w:rsid w:val="009C2F54"/>
    <w:rsid w:val="009C3CFA"/>
    <w:rsid w:val="009C533F"/>
    <w:rsid w:val="009C570C"/>
    <w:rsid w:val="009C7B60"/>
    <w:rsid w:val="009D0B72"/>
    <w:rsid w:val="009D195E"/>
    <w:rsid w:val="009D1D7E"/>
    <w:rsid w:val="009D2751"/>
    <w:rsid w:val="009D2F12"/>
    <w:rsid w:val="009D3187"/>
    <w:rsid w:val="009D3961"/>
    <w:rsid w:val="009D3C84"/>
    <w:rsid w:val="009D40A6"/>
    <w:rsid w:val="009D4506"/>
    <w:rsid w:val="009D5740"/>
    <w:rsid w:val="009D6545"/>
    <w:rsid w:val="009D6AAD"/>
    <w:rsid w:val="009D6C82"/>
    <w:rsid w:val="009E021F"/>
    <w:rsid w:val="009E1366"/>
    <w:rsid w:val="009E3238"/>
    <w:rsid w:val="009E37E0"/>
    <w:rsid w:val="009E4864"/>
    <w:rsid w:val="009E563E"/>
    <w:rsid w:val="009E5AC5"/>
    <w:rsid w:val="009E64D5"/>
    <w:rsid w:val="009E678E"/>
    <w:rsid w:val="009E6DF8"/>
    <w:rsid w:val="009E77F3"/>
    <w:rsid w:val="009E79AF"/>
    <w:rsid w:val="009E7F02"/>
    <w:rsid w:val="009F076A"/>
    <w:rsid w:val="009F1141"/>
    <w:rsid w:val="009F1345"/>
    <w:rsid w:val="009F170B"/>
    <w:rsid w:val="009F174E"/>
    <w:rsid w:val="009F2B4F"/>
    <w:rsid w:val="009F2D8C"/>
    <w:rsid w:val="009F5B65"/>
    <w:rsid w:val="009F66CC"/>
    <w:rsid w:val="009F74A7"/>
    <w:rsid w:val="00A006E2"/>
    <w:rsid w:val="00A01660"/>
    <w:rsid w:val="00A030F3"/>
    <w:rsid w:val="00A03206"/>
    <w:rsid w:val="00A0322F"/>
    <w:rsid w:val="00A0364E"/>
    <w:rsid w:val="00A03F6A"/>
    <w:rsid w:val="00A047FB"/>
    <w:rsid w:val="00A0512D"/>
    <w:rsid w:val="00A05281"/>
    <w:rsid w:val="00A057D8"/>
    <w:rsid w:val="00A060B5"/>
    <w:rsid w:val="00A06125"/>
    <w:rsid w:val="00A065E8"/>
    <w:rsid w:val="00A0681B"/>
    <w:rsid w:val="00A102D3"/>
    <w:rsid w:val="00A10C26"/>
    <w:rsid w:val="00A12C14"/>
    <w:rsid w:val="00A13C1F"/>
    <w:rsid w:val="00A140F1"/>
    <w:rsid w:val="00A14886"/>
    <w:rsid w:val="00A1496D"/>
    <w:rsid w:val="00A14BFF"/>
    <w:rsid w:val="00A152E0"/>
    <w:rsid w:val="00A1537B"/>
    <w:rsid w:val="00A1577B"/>
    <w:rsid w:val="00A16CD0"/>
    <w:rsid w:val="00A204C2"/>
    <w:rsid w:val="00A20537"/>
    <w:rsid w:val="00A21817"/>
    <w:rsid w:val="00A21CF7"/>
    <w:rsid w:val="00A2214C"/>
    <w:rsid w:val="00A221E8"/>
    <w:rsid w:val="00A22FC9"/>
    <w:rsid w:val="00A23186"/>
    <w:rsid w:val="00A23C86"/>
    <w:rsid w:val="00A26287"/>
    <w:rsid w:val="00A262EA"/>
    <w:rsid w:val="00A264C4"/>
    <w:rsid w:val="00A26E3C"/>
    <w:rsid w:val="00A26FA7"/>
    <w:rsid w:val="00A309B8"/>
    <w:rsid w:val="00A31307"/>
    <w:rsid w:val="00A32025"/>
    <w:rsid w:val="00A340E1"/>
    <w:rsid w:val="00A34345"/>
    <w:rsid w:val="00A35D8C"/>
    <w:rsid w:val="00A35E74"/>
    <w:rsid w:val="00A35F61"/>
    <w:rsid w:val="00A3799E"/>
    <w:rsid w:val="00A37E02"/>
    <w:rsid w:val="00A41091"/>
    <w:rsid w:val="00A41458"/>
    <w:rsid w:val="00A4229F"/>
    <w:rsid w:val="00A439A8"/>
    <w:rsid w:val="00A43F54"/>
    <w:rsid w:val="00A44525"/>
    <w:rsid w:val="00A4501F"/>
    <w:rsid w:val="00A4507C"/>
    <w:rsid w:val="00A4614B"/>
    <w:rsid w:val="00A467D5"/>
    <w:rsid w:val="00A47019"/>
    <w:rsid w:val="00A475AE"/>
    <w:rsid w:val="00A4778A"/>
    <w:rsid w:val="00A50AB6"/>
    <w:rsid w:val="00A50F9F"/>
    <w:rsid w:val="00A52B64"/>
    <w:rsid w:val="00A5326B"/>
    <w:rsid w:val="00A54E1F"/>
    <w:rsid w:val="00A55611"/>
    <w:rsid w:val="00A55C3F"/>
    <w:rsid w:val="00A55D61"/>
    <w:rsid w:val="00A56C35"/>
    <w:rsid w:val="00A57E68"/>
    <w:rsid w:val="00A57F1F"/>
    <w:rsid w:val="00A60432"/>
    <w:rsid w:val="00A6057C"/>
    <w:rsid w:val="00A614C2"/>
    <w:rsid w:val="00A61A01"/>
    <w:rsid w:val="00A61C66"/>
    <w:rsid w:val="00A62A24"/>
    <w:rsid w:val="00A64603"/>
    <w:rsid w:val="00A658AE"/>
    <w:rsid w:val="00A65D78"/>
    <w:rsid w:val="00A66E83"/>
    <w:rsid w:val="00A678B3"/>
    <w:rsid w:val="00A67BC2"/>
    <w:rsid w:val="00A67F83"/>
    <w:rsid w:val="00A70F70"/>
    <w:rsid w:val="00A712B0"/>
    <w:rsid w:val="00A72128"/>
    <w:rsid w:val="00A72E9C"/>
    <w:rsid w:val="00A72FC5"/>
    <w:rsid w:val="00A745EE"/>
    <w:rsid w:val="00A74AAC"/>
    <w:rsid w:val="00A75C1C"/>
    <w:rsid w:val="00A75DC7"/>
    <w:rsid w:val="00A763B2"/>
    <w:rsid w:val="00A76A80"/>
    <w:rsid w:val="00A76C1B"/>
    <w:rsid w:val="00A775BA"/>
    <w:rsid w:val="00A77E72"/>
    <w:rsid w:val="00A8035F"/>
    <w:rsid w:val="00A80E2F"/>
    <w:rsid w:val="00A813D3"/>
    <w:rsid w:val="00A81731"/>
    <w:rsid w:val="00A81916"/>
    <w:rsid w:val="00A820B8"/>
    <w:rsid w:val="00A826E1"/>
    <w:rsid w:val="00A82FF3"/>
    <w:rsid w:val="00A84DA1"/>
    <w:rsid w:val="00A8601C"/>
    <w:rsid w:val="00A871DA"/>
    <w:rsid w:val="00A90A42"/>
    <w:rsid w:val="00A90DE7"/>
    <w:rsid w:val="00A911B4"/>
    <w:rsid w:val="00A91FE9"/>
    <w:rsid w:val="00A93A2D"/>
    <w:rsid w:val="00A93A51"/>
    <w:rsid w:val="00A93A85"/>
    <w:rsid w:val="00A9489B"/>
    <w:rsid w:val="00A967F4"/>
    <w:rsid w:val="00A97957"/>
    <w:rsid w:val="00AA00F1"/>
    <w:rsid w:val="00AA04D3"/>
    <w:rsid w:val="00AA078B"/>
    <w:rsid w:val="00AA0938"/>
    <w:rsid w:val="00AA1CC8"/>
    <w:rsid w:val="00AA2930"/>
    <w:rsid w:val="00AA349E"/>
    <w:rsid w:val="00AA6AF9"/>
    <w:rsid w:val="00AA6C51"/>
    <w:rsid w:val="00AB1A63"/>
    <w:rsid w:val="00AB218D"/>
    <w:rsid w:val="00AB23AB"/>
    <w:rsid w:val="00AB2DE7"/>
    <w:rsid w:val="00AB355B"/>
    <w:rsid w:val="00AB3F90"/>
    <w:rsid w:val="00AB4AB2"/>
    <w:rsid w:val="00AB567C"/>
    <w:rsid w:val="00AB578E"/>
    <w:rsid w:val="00AB72EB"/>
    <w:rsid w:val="00AB7998"/>
    <w:rsid w:val="00AB7A03"/>
    <w:rsid w:val="00AC1182"/>
    <w:rsid w:val="00AC11B3"/>
    <w:rsid w:val="00AC2442"/>
    <w:rsid w:val="00AC2956"/>
    <w:rsid w:val="00AC3C8C"/>
    <w:rsid w:val="00AC52B1"/>
    <w:rsid w:val="00AC5D02"/>
    <w:rsid w:val="00AC6D2A"/>
    <w:rsid w:val="00AC7D99"/>
    <w:rsid w:val="00AD0744"/>
    <w:rsid w:val="00AD0A6E"/>
    <w:rsid w:val="00AD0B2B"/>
    <w:rsid w:val="00AD0C43"/>
    <w:rsid w:val="00AD11B4"/>
    <w:rsid w:val="00AD13F6"/>
    <w:rsid w:val="00AD1A72"/>
    <w:rsid w:val="00AD271E"/>
    <w:rsid w:val="00AD2D6D"/>
    <w:rsid w:val="00AD42FD"/>
    <w:rsid w:val="00AD4581"/>
    <w:rsid w:val="00AD56D4"/>
    <w:rsid w:val="00AD5E67"/>
    <w:rsid w:val="00AD653D"/>
    <w:rsid w:val="00AD75CC"/>
    <w:rsid w:val="00AD7D88"/>
    <w:rsid w:val="00AE0196"/>
    <w:rsid w:val="00AE0557"/>
    <w:rsid w:val="00AE09DF"/>
    <w:rsid w:val="00AE0CFD"/>
    <w:rsid w:val="00AE1C18"/>
    <w:rsid w:val="00AE2476"/>
    <w:rsid w:val="00AE287B"/>
    <w:rsid w:val="00AE29F7"/>
    <w:rsid w:val="00AE366E"/>
    <w:rsid w:val="00AE3C6E"/>
    <w:rsid w:val="00AE40B2"/>
    <w:rsid w:val="00AE44F2"/>
    <w:rsid w:val="00AE462C"/>
    <w:rsid w:val="00AE5B17"/>
    <w:rsid w:val="00AE5BDB"/>
    <w:rsid w:val="00AE5D6D"/>
    <w:rsid w:val="00AE6099"/>
    <w:rsid w:val="00AE63BE"/>
    <w:rsid w:val="00AE6DCE"/>
    <w:rsid w:val="00AE75D4"/>
    <w:rsid w:val="00AE7C0A"/>
    <w:rsid w:val="00AE7F97"/>
    <w:rsid w:val="00AF355C"/>
    <w:rsid w:val="00AF4FBD"/>
    <w:rsid w:val="00AF7817"/>
    <w:rsid w:val="00B003D1"/>
    <w:rsid w:val="00B011EB"/>
    <w:rsid w:val="00B016AB"/>
    <w:rsid w:val="00B02647"/>
    <w:rsid w:val="00B0308D"/>
    <w:rsid w:val="00B0361E"/>
    <w:rsid w:val="00B03896"/>
    <w:rsid w:val="00B0397B"/>
    <w:rsid w:val="00B03FD9"/>
    <w:rsid w:val="00B05B7E"/>
    <w:rsid w:val="00B05ED7"/>
    <w:rsid w:val="00B068A0"/>
    <w:rsid w:val="00B1005F"/>
    <w:rsid w:val="00B1095F"/>
    <w:rsid w:val="00B12418"/>
    <w:rsid w:val="00B12E94"/>
    <w:rsid w:val="00B1444E"/>
    <w:rsid w:val="00B1541E"/>
    <w:rsid w:val="00B15C4D"/>
    <w:rsid w:val="00B16BC4"/>
    <w:rsid w:val="00B20806"/>
    <w:rsid w:val="00B210B9"/>
    <w:rsid w:val="00B21768"/>
    <w:rsid w:val="00B21A8F"/>
    <w:rsid w:val="00B21D17"/>
    <w:rsid w:val="00B23E50"/>
    <w:rsid w:val="00B23F5B"/>
    <w:rsid w:val="00B2460D"/>
    <w:rsid w:val="00B2579D"/>
    <w:rsid w:val="00B2628A"/>
    <w:rsid w:val="00B27709"/>
    <w:rsid w:val="00B27DCC"/>
    <w:rsid w:val="00B30881"/>
    <w:rsid w:val="00B30CB3"/>
    <w:rsid w:val="00B30E41"/>
    <w:rsid w:val="00B32887"/>
    <w:rsid w:val="00B34958"/>
    <w:rsid w:val="00B36B56"/>
    <w:rsid w:val="00B36D89"/>
    <w:rsid w:val="00B37393"/>
    <w:rsid w:val="00B3748F"/>
    <w:rsid w:val="00B412A0"/>
    <w:rsid w:val="00B41300"/>
    <w:rsid w:val="00B41585"/>
    <w:rsid w:val="00B4250C"/>
    <w:rsid w:val="00B42BF0"/>
    <w:rsid w:val="00B44C87"/>
    <w:rsid w:val="00B50AF4"/>
    <w:rsid w:val="00B511D5"/>
    <w:rsid w:val="00B51264"/>
    <w:rsid w:val="00B519A2"/>
    <w:rsid w:val="00B51F8A"/>
    <w:rsid w:val="00B52112"/>
    <w:rsid w:val="00B5375E"/>
    <w:rsid w:val="00B53760"/>
    <w:rsid w:val="00B537C7"/>
    <w:rsid w:val="00B546BC"/>
    <w:rsid w:val="00B553EE"/>
    <w:rsid w:val="00B55D9A"/>
    <w:rsid w:val="00B560A1"/>
    <w:rsid w:val="00B564B5"/>
    <w:rsid w:val="00B56740"/>
    <w:rsid w:val="00B5698A"/>
    <w:rsid w:val="00B572C2"/>
    <w:rsid w:val="00B579EB"/>
    <w:rsid w:val="00B605B5"/>
    <w:rsid w:val="00B610D4"/>
    <w:rsid w:val="00B63E15"/>
    <w:rsid w:val="00B64421"/>
    <w:rsid w:val="00B64729"/>
    <w:rsid w:val="00B6581A"/>
    <w:rsid w:val="00B668CC"/>
    <w:rsid w:val="00B67EED"/>
    <w:rsid w:val="00B7148F"/>
    <w:rsid w:val="00B71946"/>
    <w:rsid w:val="00B71AB4"/>
    <w:rsid w:val="00B7253B"/>
    <w:rsid w:val="00B72615"/>
    <w:rsid w:val="00B736E3"/>
    <w:rsid w:val="00B73764"/>
    <w:rsid w:val="00B743FD"/>
    <w:rsid w:val="00B75688"/>
    <w:rsid w:val="00B75A7E"/>
    <w:rsid w:val="00B75AD5"/>
    <w:rsid w:val="00B76E74"/>
    <w:rsid w:val="00B76E94"/>
    <w:rsid w:val="00B77B7C"/>
    <w:rsid w:val="00B80B3A"/>
    <w:rsid w:val="00B80DAA"/>
    <w:rsid w:val="00B81245"/>
    <w:rsid w:val="00B82227"/>
    <w:rsid w:val="00B82E18"/>
    <w:rsid w:val="00B84961"/>
    <w:rsid w:val="00B84B22"/>
    <w:rsid w:val="00B84CDA"/>
    <w:rsid w:val="00B85A3C"/>
    <w:rsid w:val="00B85FF0"/>
    <w:rsid w:val="00B86F0F"/>
    <w:rsid w:val="00B874FA"/>
    <w:rsid w:val="00B8768B"/>
    <w:rsid w:val="00B87BF4"/>
    <w:rsid w:val="00B90149"/>
    <w:rsid w:val="00B90FFB"/>
    <w:rsid w:val="00B91A05"/>
    <w:rsid w:val="00B91B63"/>
    <w:rsid w:val="00B91BDD"/>
    <w:rsid w:val="00B9330B"/>
    <w:rsid w:val="00B94FF5"/>
    <w:rsid w:val="00B952EA"/>
    <w:rsid w:val="00B958E0"/>
    <w:rsid w:val="00B961C2"/>
    <w:rsid w:val="00B9759A"/>
    <w:rsid w:val="00B97B38"/>
    <w:rsid w:val="00B97BAD"/>
    <w:rsid w:val="00BA0117"/>
    <w:rsid w:val="00BA202E"/>
    <w:rsid w:val="00BA209B"/>
    <w:rsid w:val="00BA2C14"/>
    <w:rsid w:val="00BA376C"/>
    <w:rsid w:val="00BA46EF"/>
    <w:rsid w:val="00BA53E7"/>
    <w:rsid w:val="00BA64F3"/>
    <w:rsid w:val="00BA674E"/>
    <w:rsid w:val="00BB048E"/>
    <w:rsid w:val="00BB15CC"/>
    <w:rsid w:val="00BB1BA5"/>
    <w:rsid w:val="00BB3510"/>
    <w:rsid w:val="00BB3E42"/>
    <w:rsid w:val="00BB413E"/>
    <w:rsid w:val="00BB4BFB"/>
    <w:rsid w:val="00BB4C5D"/>
    <w:rsid w:val="00BB4EDE"/>
    <w:rsid w:val="00BB53B8"/>
    <w:rsid w:val="00BB576F"/>
    <w:rsid w:val="00BB5F63"/>
    <w:rsid w:val="00BB6340"/>
    <w:rsid w:val="00BB6947"/>
    <w:rsid w:val="00BC03A3"/>
    <w:rsid w:val="00BC04E4"/>
    <w:rsid w:val="00BC0765"/>
    <w:rsid w:val="00BC122F"/>
    <w:rsid w:val="00BC1768"/>
    <w:rsid w:val="00BC23E3"/>
    <w:rsid w:val="00BC278F"/>
    <w:rsid w:val="00BC2D2D"/>
    <w:rsid w:val="00BC3CCD"/>
    <w:rsid w:val="00BC3E25"/>
    <w:rsid w:val="00BC44B5"/>
    <w:rsid w:val="00BC4E45"/>
    <w:rsid w:val="00BC57D1"/>
    <w:rsid w:val="00BC5C31"/>
    <w:rsid w:val="00BC65DF"/>
    <w:rsid w:val="00BC7216"/>
    <w:rsid w:val="00BC77CF"/>
    <w:rsid w:val="00BD0217"/>
    <w:rsid w:val="00BD02AF"/>
    <w:rsid w:val="00BD0DF6"/>
    <w:rsid w:val="00BD1511"/>
    <w:rsid w:val="00BD17AF"/>
    <w:rsid w:val="00BD22F8"/>
    <w:rsid w:val="00BD2FB8"/>
    <w:rsid w:val="00BD377A"/>
    <w:rsid w:val="00BD3D0A"/>
    <w:rsid w:val="00BD457C"/>
    <w:rsid w:val="00BD471D"/>
    <w:rsid w:val="00BD52AD"/>
    <w:rsid w:val="00BD5E19"/>
    <w:rsid w:val="00BD7024"/>
    <w:rsid w:val="00BD708F"/>
    <w:rsid w:val="00BD7C5B"/>
    <w:rsid w:val="00BE0E71"/>
    <w:rsid w:val="00BE0F85"/>
    <w:rsid w:val="00BE1134"/>
    <w:rsid w:val="00BE11FD"/>
    <w:rsid w:val="00BE188E"/>
    <w:rsid w:val="00BE21D5"/>
    <w:rsid w:val="00BE2DF0"/>
    <w:rsid w:val="00BE3715"/>
    <w:rsid w:val="00BE3804"/>
    <w:rsid w:val="00BE396A"/>
    <w:rsid w:val="00BE44B9"/>
    <w:rsid w:val="00BE48F2"/>
    <w:rsid w:val="00BE56E2"/>
    <w:rsid w:val="00BE5B68"/>
    <w:rsid w:val="00BE5E53"/>
    <w:rsid w:val="00BE5FA6"/>
    <w:rsid w:val="00BE70CB"/>
    <w:rsid w:val="00BE79B0"/>
    <w:rsid w:val="00BF01C9"/>
    <w:rsid w:val="00BF02B5"/>
    <w:rsid w:val="00BF10AF"/>
    <w:rsid w:val="00BF1779"/>
    <w:rsid w:val="00BF1827"/>
    <w:rsid w:val="00BF3380"/>
    <w:rsid w:val="00BF478D"/>
    <w:rsid w:val="00BF67B3"/>
    <w:rsid w:val="00BF7EB3"/>
    <w:rsid w:val="00C00CB0"/>
    <w:rsid w:val="00C025AE"/>
    <w:rsid w:val="00C03CEB"/>
    <w:rsid w:val="00C042F8"/>
    <w:rsid w:val="00C04779"/>
    <w:rsid w:val="00C05838"/>
    <w:rsid w:val="00C06209"/>
    <w:rsid w:val="00C07417"/>
    <w:rsid w:val="00C076BE"/>
    <w:rsid w:val="00C07DAE"/>
    <w:rsid w:val="00C1219D"/>
    <w:rsid w:val="00C12759"/>
    <w:rsid w:val="00C128F4"/>
    <w:rsid w:val="00C12E0C"/>
    <w:rsid w:val="00C13805"/>
    <w:rsid w:val="00C13B32"/>
    <w:rsid w:val="00C142A2"/>
    <w:rsid w:val="00C15EFF"/>
    <w:rsid w:val="00C15F7E"/>
    <w:rsid w:val="00C17039"/>
    <w:rsid w:val="00C1777F"/>
    <w:rsid w:val="00C1795D"/>
    <w:rsid w:val="00C17E36"/>
    <w:rsid w:val="00C2007A"/>
    <w:rsid w:val="00C20FB5"/>
    <w:rsid w:val="00C21741"/>
    <w:rsid w:val="00C21F94"/>
    <w:rsid w:val="00C22114"/>
    <w:rsid w:val="00C22D35"/>
    <w:rsid w:val="00C232CA"/>
    <w:rsid w:val="00C23387"/>
    <w:rsid w:val="00C23C3A"/>
    <w:rsid w:val="00C24063"/>
    <w:rsid w:val="00C25036"/>
    <w:rsid w:val="00C2506A"/>
    <w:rsid w:val="00C25368"/>
    <w:rsid w:val="00C259E6"/>
    <w:rsid w:val="00C25ABD"/>
    <w:rsid w:val="00C26308"/>
    <w:rsid w:val="00C26CA7"/>
    <w:rsid w:val="00C26F92"/>
    <w:rsid w:val="00C27C82"/>
    <w:rsid w:val="00C30AA2"/>
    <w:rsid w:val="00C319DB"/>
    <w:rsid w:val="00C325BD"/>
    <w:rsid w:val="00C3385B"/>
    <w:rsid w:val="00C33D3A"/>
    <w:rsid w:val="00C33F8A"/>
    <w:rsid w:val="00C348BB"/>
    <w:rsid w:val="00C34F62"/>
    <w:rsid w:val="00C35C05"/>
    <w:rsid w:val="00C368BD"/>
    <w:rsid w:val="00C36B91"/>
    <w:rsid w:val="00C36DFF"/>
    <w:rsid w:val="00C3766F"/>
    <w:rsid w:val="00C40D94"/>
    <w:rsid w:val="00C41486"/>
    <w:rsid w:val="00C417B4"/>
    <w:rsid w:val="00C41D9B"/>
    <w:rsid w:val="00C42112"/>
    <w:rsid w:val="00C42577"/>
    <w:rsid w:val="00C42879"/>
    <w:rsid w:val="00C43CDE"/>
    <w:rsid w:val="00C441A9"/>
    <w:rsid w:val="00C444B8"/>
    <w:rsid w:val="00C44B62"/>
    <w:rsid w:val="00C45289"/>
    <w:rsid w:val="00C45420"/>
    <w:rsid w:val="00C45FD7"/>
    <w:rsid w:val="00C460DE"/>
    <w:rsid w:val="00C46A77"/>
    <w:rsid w:val="00C47109"/>
    <w:rsid w:val="00C47500"/>
    <w:rsid w:val="00C47B8F"/>
    <w:rsid w:val="00C47CD8"/>
    <w:rsid w:val="00C50D55"/>
    <w:rsid w:val="00C5245B"/>
    <w:rsid w:val="00C53AEB"/>
    <w:rsid w:val="00C54305"/>
    <w:rsid w:val="00C551D8"/>
    <w:rsid w:val="00C55AB4"/>
    <w:rsid w:val="00C55DCC"/>
    <w:rsid w:val="00C55DF3"/>
    <w:rsid w:val="00C56FE7"/>
    <w:rsid w:val="00C574F1"/>
    <w:rsid w:val="00C60C69"/>
    <w:rsid w:val="00C628E9"/>
    <w:rsid w:val="00C6445A"/>
    <w:rsid w:val="00C64710"/>
    <w:rsid w:val="00C6476F"/>
    <w:rsid w:val="00C65E30"/>
    <w:rsid w:val="00C65F24"/>
    <w:rsid w:val="00C66210"/>
    <w:rsid w:val="00C664FF"/>
    <w:rsid w:val="00C67463"/>
    <w:rsid w:val="00C674D3"/>
    <w:rsid w:val="00C71591"/>
    <w:rsid w:val="00C725D4"/>
    <w:rsid w:val="00C730BC"/>
    <w:rsid w:val="00C7386F"/>
    <w:rsid w:val="00C73B73"/>
    <w:rsid w:val="00C73D24"/>
    <w:rsid w:val="00C73E22"/>
    <w:rsid w:val="00C74052"/>
    <w:rsid w:val="00C741C2"/>
    <w:rsid w:val="00C75120"/>
    <w:rsid w:val="00C76255"/>
    <w:rsid w:val="00C7646D"/>
    <w:rsid w:val="00C764E3"/>
    <w:rsid w:val="00C775DE"/>
    <w:rsid w:val="00C77D70"/>
    <w:rsid w:val="00C802F7"/>
    <w:rsid w:val="00C809B0"/>
    <w:rsid w:val="00C80E53"/>
    <w:rsid w:val="00C8102F"/>
    <w:rsid w:val="00C81061"/>
    <w:rsid w:val="00C811D4"/>
    <w:rsid w:val="00C81DCD"/>
    <w:rsid w:val="00C82F66"/>
    <w:rsid w:val="00C83945"/>
    <w:rsid w:val="00C842C4"/>
    <w:rsid w:val="00C846A3"/>
    <w:rsid w:val="00C84FF2"/>
    <w:rsid w:val="00C85A35"/>
    <w:rsid w:val="00C86001"/>
    <w:rsid w:val="00C86EC0"/>
    <w:rsid w:val="00C90C92"/>
    <w:rsid w:val="00C90D01"/>
    <w:rsid w:val="00C90DCB"/>
    <w:rsid w:val="00C91CFC"/>
    <w:rsid w:val="00C935DC"/>
    <w:rsid w:val="00C946BC"/>
    <w:rsid w:val="00C95446"/>
    <w:rsid w:val="00C9756A"/>
    <w:rsid w:val="00CA264F"/>
    <w:rsid w:val="00CA2BCA"/>
    <w:rsid w:val="00CA2E47"/>
    <w:rsid w:val="00CA2FB1"/>
    <w:rsid w:val="00CA3050"/>
    <w:rsid w:val="00CA361F"/>
    <w:rsid w:val="00CA3D90"/>
    <w:rsid w:val="00CA40BF"/>
    <w:rsid w:val="00CA4B28"/>
    <w:rsid w:val="00CA5FF8"/>
    <w:rsid w:val="00CA6821"/>
    <w:rsid w:val="00CA6F09"/>
    <w:rsid w:val="00CA7554"/>
    <w:rsid w:val="00CA7C29"/>
    <w:rsid w:val="00CA7E66"/>
    <w:rsid w:val="00CB1315"/>
    <w:rsid w:val="00CB1842"/>
    <w:rsid w:val="00CB1E2C"/>
    <w:rsid w:val="00CB33AB"/>
    <w:rsid w:val="00CB39F1"/>
    <w:rsid w:val="00CB4827"/>
    <w:rsid w:val="00CB4CC4"/>
    <w:rsid w:val="00CB6282"/>
    <w:rsid w:val="00CB748E"/>
    <w:rsid w:val="00CC1249"/>
    <w:rsid w:val="00CC14F0"/>
    <w:rsid w:val="00CC1BC1"/>
    <w:rsid w:val="00CC238D"/>
    <w:rsid w:val="00CC2414"/>
    <w:rsid w:val="00CC2457"/>
    <w:rsid w:val="00CC2508"/>
    <w:rsid w:val="00CC4452"/>
    <w:rsid w:val="00CC49BC"/>
    <w:rsid w:val="00CC65AE"/>
    <w:rsid w:val="00CD0792"/>
    <w:rsid w:val="00CD1575"/>
    <w:rsid w:val="00CD1EBE"/>
    <w:rsid w:val="00CD381B"/>
    <w:rsid w:val="00CD487D"/>
    <w:rsid w:val="00CD4B7E"/>
    <w:rsid w:val="00CD567A"/>
    <w:rsid w:val="00CD5BC6"/>
    <w:rsid w:val="00CE06A7"/>
    <w:rsid w:val="00CE06C7"/>
    <w:rsid w:val="00CE0BED"/>
    <w:rsid w:val="00CE0EC9"/>
    <w:rsid w:val="00CE128C"/>
    <w:rsid w:val="00CE13C9"/>
    <w:rsid w:val="00CE1520"/>
    <w:rsid w:val="00CE171D"/>
    <w:rsid w:val="00CE1789"/>
    <w:rsid w:val="00CE2659"/>
    <w:rsid w:val="00CE26D0"/>
    <w:rsid w:val="00CE2775"/>
    <w:rsid w:val="00CE5271"/>
    <w:rsid w:val="00CE5418"/>
    <w:rsid w:val="00CE6BB5"/>
    <w:rsid w:val="00CE7282"/>
    <w:rsid w:val="00CE737F"/>
    <w:rsid w:val="00CE74BD"/>
    <w:rsid w:val="00CF0172"/>
    <w:rsid w:val="00CF29C0"/>
    <w:rsid w:val="00CF2CB9"/>
    <w:rsid w:val="00CF2EFC"/>
    <w:rsid w:val="00CF3270"/>
    <w:rsid w:val="00CF363D"/>
    <w:rsid w:val="00CF38A8"/>
    <w:rsid w:val="00CF4700"/>
    <w:rsid w:val="00CF48B8"/>
    <w:rsid w:val="00CF4ED0"/>
    <w:rsid w:val="00CF6716"/>
    <w:rsid w:val="00CF7BF3"/>
    <w:rsid w:val="00D043BB"/>
    <w:rsid w:val="00D044EE"/>
    <w:rsid w:val="00D05B7F"/>
    <w:rsid w:val="00D05C21"/>
    <w:rsid w:val="00D06002"/>
    <w:rsid w:val="00D06072"/>
    <w:rsid w:val="00D06F10"/>
    <w:rsid w:val="00D070DF"/>
    <w:rsid w:val="00D071F0"/>
    <w:rsid w:val="00D07AA2"/>
    <w:rsid w:val="00D10369"/>
    <w:rsid w:val="00D109A7"/>
    <w:rsid w:val="00D115C8"/>
    <w:rsid w:val="00D1243C"/>
    <w:rsid w:val="00D1357C"/>
    <w:rsid w:val="00D1388F"/>
    <w:rsid w:val="00D15324"/>
    <w:rsid w:val="00D15C55"/>
    <w:rsid w:val="00D16297"/>
    <w:rsid w:val="00D1644A"/>
    <w:rsid w:val="00D165C8"/>
    <w:rsid w:val="00D17473"/>
    <w:rsid w:val="00D1763C"/>
    <w:rsid w:val="00D17CFA"/>
    <w:rsid w:val="00D204DD"/>
    <w:rsid w:val="00D22AFE"/>
    <w:rsid w:val="00D2316C"/>
    <w:rsid w:val="00D23A6F"/>
    <w:rsid w:val="00D23DA8"/>
    <w:rsid w:val="00D2464B"/>
    <w:rsid w:val="00D24BB0"/>
    <w:rsid w:val="00D24E27"/>
    <w:rsid w:val="00D258B4"/>
    <w:rsid w:val="00D25A93"/>
    <w:rsid w:val="00D2657B"/>
    <w:rsid w:val="00D265F1"/>
    <w:rsid w:val="00D26F03"/>
    <w:rsid w:val="00D27D47"/>
    <w:rsid w:val="00D3031B"/>
    <w:rsid w:val="00D3044D"/>
    <w:rsid w:val="00D30C70"/>
    <w:rsid w:val="00D3156F"/>
    <w:rsid w:val="00D323CF"/>
    <w:rsid w:val="00D3240A"/>
    <w:rsid w:val="00D3245E"/>
    <w:rsid w:val="00D331FC"/>
    <w:rsid w:val="00D33356"/>
    <w:rsid w:val="00D33FB5"/>
    <w:rsid w:val="00D3438C"/>
    <w:rsid w:val="00D34D75"/>
    <w:rsid w:val="00D35A1A"/>
    <w:rsid w:val="00D35AB7"/>
    <w:rsid w:val="00D36361"/>
    <w:rsid w:val="00D37A05"/>
    <w:rsid w:val="00D37CEC"/>
    <w:rsid w:val="00D413A3"/>
    <w:rsid w:val="00D4182F"/>
    <w:rsid w:val="00D41915"/>
    <w:rsid w:val="00D41920"/>
    <w:rsid w:val="00D42373"/>
    <w:rsid w:val="00D43A97"/>
    <w:rsid w:val="00D4412B"/>
    <w:rsid w:val="00D45499"/>
    <w:rsid w:val="00D46404"/>
    <w:rsid w:val="00D466F2"/>
    <w:rsid w:val="00D4702B"/>
    <w:rsid w:val="00D47C0C"/>
    <w:rsid w:val="00D502D6"/>
    <w:rsid w:val="00D51BB9"/>
    <w:rsid w:val="00D51D07"/>
    <w:rsid w:val="00D52B23"/>
    <w:rsid w:val="00D5324F"/>
    <w:rsid w:val="00D53546"/>
    <w:rsid w:val="00D54B5C"/>
    <w:rsid w:val="00D56508"/>
    <w:rsid w:val="00D57365"/>
    <w:rsid w:val="00D574A7"/>
    <w:rsid w:val="00D604AB"/>
    <w:rsid w:val="00D60A11"/>
    <w:rsid w:val="00D60A56"/>
    <w:rsid w:val="00D60A60"/>
    <w:rsid w:val="00D6108A"/>
    <w:rsid w:val="00D63416"/>
    <w:rsid w:val="00D636A6"/>
    <w:rsid w:val="00D637FA"/>
    <w:rsid w:val="00D63D7B"/>
    <w:rsid w:val="00D63E7A"/>
    <w:rsid w:val="00D651A6"/>
    <w:rsid w:val="00D66751"/>
    <w:rsid w:val="00D66883"/>
    <w:rsid w:val="00D70B48"/>
    <w:rsid w:val="00D71975"/>
    <w:rsid w:val="00D71B47"/>
    <w:rsid w:val="00D72381"/>
    <w:rsid w:val="00D72B55"/>
    <w:rsid w:val="00D7411E"/>
    <w:rsid w:val="00D74178"/>
    <w:rsid w:val="00D75B08"/>
    <w:rsid w:val="00D76082"/>
    <w:rsid w:val="00D778A5"/>
    <w:rsid w:val="00D806A9"/>
    <w:rsid w:val="00D809C5"/>
    <w:rsid w:val="00D80E86"/>
    <w:rsid w:val="00D81279"/>
    <w:rsid w:val="00D82C7C"/>
    <w:rsid w:val="00D8388B"/>
    <w:rsid w:val="00D83C5D"/>
    <w:rsid w:val="00D84248"/>
    <w:rsid w:val="00D84DC1"/>
    <w:rsid w:val="00D84FC6"/>
    <w:rsid w:val="00D8783C"/>
    <w:rsid w:val="00D90C89"/>
    <w:rsid w:val="00D91005"/>
    <w:rsid w:val="00D950EE"/>
    <w:rsid w:val="00D96537"/>
    <w:rsid w:val="00D96D6A"/>
    <w:rsid w:val="00D9739C"/>
    <w:rsid w:val="00D97C2E"/>
    <w:rsid w:val="00DA0502"/>
    <w:rsid w:val="00DA1306"/>
    <w:rsid w:val="00DA5C54"/>
    <w:rsid w:val="00DA5C93"/>
    <w:rsid w:val="00DA5F50"/>
    <w:rsid w:val="00DA61B6"/>
    <w:rsid w:val="00DA6D8A"/>
    <w:rsid w:val="00DA7393"/>
    <w:rsid w:val="00DA7B70"/>
    <w:rsid w:val="00DB0DB6"/>
    <w:rsid w:val="00DB0E04"/>
    <w:rsid w:val="00DB1846"/>
    <w:rsid w:val="00DB2E24"/>
    <w:rsid w:val="00DB3069"/>
    <w:rsid w:val="00DB48E1"/>
    <w:rsid w:val="00DB4D48"/>
    <w:rsid w:val="00DB5A78"/>
    <w:rsid w:val="00DB6B14"/>
    <w:rsid w:val="00DB6FEE"/>
    <w:rsid w:val="00DC02CE"/>
    <w:rsid w:val="00DC1DA1"/>
    <w:rsid w:val="00DC3A6A"/>
    <w:rsid w:val="00DC3E0C"/>
    <w:rsid w:val="00DC679A"/>
    <w:rsid w:val="00DC6C7F"/>
    <w:rsid w:val="00DD0242"/>
    <w:rsid w:val="00DD13C0"/>
    <w:rsid w:val="00DD1A0A"/>
    <w:rsid w:val="00DD1E94"/>
    <w:rsid w:val="00DD1F1B"/>
    <w:rsid w:val="00DD1F4D"/>
    <w:rsid w:val="00DD24D5"/>
    <w:rsid w:val="00DD2A9F"/>
    <w:rsid w:val="00DD2E5B"/>
    <w:rsid w:val="00DD3B26"/>
    <w:rsid w:val="00DD3E78"/>
    <w:rsid w:val="00DD4E74"/>
    <w:rsid w:val="00DD4FE3"/>
    <w:rsid w:val="00DD5B71"/>
    <w:rsid w:val="00DD5CC3"/>
    <w:rsid w:val="00DD6BE0"/>
    <w:rsid w:val="00DD73E1"/>
    <w:rsid w:val="00DE10CA"/>
    <w:rsid w:val="00DE1549"/>
    <w:rsid w:val="00DE2D7E"/>
    <w:rsid w:val="00DE377A"/>
    <w:rsid w:val="00DE39E7"/>
    <w:rsid w:val="00DE3EE8"/>
    <w:rsid w:val="00DE4050"/>
    <w:rsid w:val="00DE449B"/>
    <w:rsid w:val="00DE49BB"/>
    <w:rsid w:val="00DE52C8"/>
    <w:rsid w:val="00DE5968"/>
    <w:rsid w:val="00DE61FD"/>
    <w:rsid w:val="00DE6382"/>
    <w:rsid w:val="00DE6BAD"/>
    <w:rsid w:val="00DE755D"/>
    <w:rsid w:val="00DE7E12"/>
    <w:rsid w:val="00DF00C6"/>
    <w:rsid w:val="00DF0C8E"/>
    <w:rsid w:val="00DF15FD"/>
    <w:rsid w:val="00DF3021"/>
    <w:rsid w:val="00DF64A1"/>
    <w:rsid w:val="00DF68E7"/>
    <w:rsid w:val="00DF6A12"/>
    <w:rsid w:val="00E00246"/>
    <w:rsid w:val="00E00830"/>
    <w:rsid w:val="00E00C05"/>
    <w:rsid w:val="00E013E6"/>
    <w:rsid w:val="00E017DF"/>
    <w:rsid w:val="00E01A3E"/>
    <w:rsid w:val="00E02A62"/>
    <w:rsid w:val="00E03950"/>
    <w:rsid w:val="00E03AC7"/>
    <w:rsid w:val="00E03C99"/>
    <w:rsid w:val="00E03CFD"/>
    <w:rsid w:val="00E04CED"/>
    <w:rsid w:val="00E05F5D"/>
    <w:rsid w:val="00E064AD"/>
    <w:rsid w:val="00E06AF2"/>
    <w:rsid w:val="00E07683"/>
    <w:rsid w:val="00E10A7A"/>
    <w:rsid w:val="00E12E39"/>
    <w:rsid w:val="00E132AA"/>
    <w:rsid w:val="00E13BDC"/>
    <w:rsid w:val="00E13EB0"/>
    <w:rsid w:val="00E15624"/>
    <w:rsid w:val="00E16040"/>
    <w:rsid w:val="00E16E44"/>
    <w:rsid w:val="00E17471"/>
    <w:rsid w:val="00E20D01"/>
    <w:rsid w:val="00E20EE3"/>
    <w:rsid w:val="00E21E91"/>
    <w:rsid w:val="00E228A9"/>
    <w:rsid w:val="00E2331F"/>
    <w:rsid w:val="00E23552"/>
    <w:rsid w:val="00E23FC8"/>
    <w:rsid w:val="00E25068"/>
    <w:rsid w:val="00E2550D"/>
    <w:rsid w:val="00E25D4E"/>
    <w:rsid w:val="00E25FA2"/>
    <w:rsid w:val="00E26434"/>
    <w:rsid w:val="00E26B63"/>
    <w:rsid w:val="00E26E53"/>
    <w:rsid w:val="00E27440"/>
    <w:rsid w:val="00E27B80"/>
    <w:rsid w:val="00E3038A"/>
    <w:rsid w:val="00E303FF"/>
    <w:rsid w:val="00E3175C"/>
    <w:rsid w:val="00E31D3A"/>
    <w:rsid w:val="00E323B6"/>
    <w:rsid w:val="00E324BD"/>
    <w:rsid w:val="00E33676"/>
    <w:rsid w:val="00E34B32"/>
    <w:rsid w:val="00E34C7F"/>
    <w:rsid w:val="00E35673"/>
    <w:rsid w:val="00E37D06"/>
    <w:rsid w:val="00E40227"/>
    <w:rsid w:val="00E40527"/>
    <w:rsid w:val="00E40EDE"/>
    <w:rsid w:val="00E4112D"/>
    <w:rsid w:val="00E4326F"/>
    <w:rsid w:val="00E434E8"/>
    <w:rsid w:val="00E4380C"/>
    <w:rsid w:val="00E43992"/>
    <w:rsid w:val="00E43E38"/>
    <w:rsid w:val="00E44919"/>
    <w:rsid w:val="00E44B6B"/>
    <w:rsid w:val="00E45E93"/>
    <w:rsid w:val="00E46332"/>
    <w:rsid w:val="00E4641D"/>
    <w:rsid w:val="00E46464"/>
    <w:rsid w:val="00E475C0"/>
    <w:rsid w:val="00E47E35"/>
    <w:rsid w:val="00E509D9"/>
    <w:rsid w:val="00E5121E"/>
    <w:rsid w:val="00E52639"/>
    <w:rsid w:val="00E52812"/>
    <w:rsid w:val="00E52C8F"/>
    <w:rsid w:val="00E532A8"/>
    <w:rsid w:val="00E53C4A"/>
    <w:rsid w:val="00E56A29"/>
    <w:rsid w:val="00E578EF"/>
    <w:rsid w:val="00E62FF8"/>
    <w:rsid w:val="00E663D0"/>
    <w:rsid w:val="00E66CA8"/>
    <w:rsid w:val="00E67FC7"/>
    <w:rsid w:val="00E706D4"/>
    <w:rsid w:val="00E73262"/>
    <w:rsid w:val="00E735A8"/>
    <w:rsid w:val="00E7492A"/>
    <w:rsid w:val="00E74D98"/>
    <w:rsid w:val="00E75435"/>
    <w:rsid w:val="00E7559E"/>
    <w:rsid w:val="00E76154"/>
    <w:rsid w:val="00E771F6"/>
    <w:rsid w:val="00E77798"/>
    <w:rsid w:val="00E77A4B"/>
    <w:rsid w:val="00E805D8"/>
    <w:rsid w:val="00E811F2"/>
    <w:rsid w:val="00E8150F"/>
    <w:rsid w:val="00E8152D"/>
    <w:rsid w:val="00E81B7F"/>
    <w:rsid w:val="00E81DE4"/>
    <w:rsid w:val="00E82137"/>
    <w:rsid w:val="00E83CF0"/>
    <w:rsid w:val="00E85923"/>
    <w:rsid w:val="00E85AD8"/>
    <w:rsid w:val="00E86097"/>
    <w:rsid w:val="00E87558"/>
    <w:rsid w:val="00E8765F"/>
    <w:rsid w:val="00E87741"/>
    <w:rsid w:val="00E90D83"/>
    <w:rsid w:val="00E92F72"/>
    <w:rsid w:val="00E93BD5"/>
    <w:rsid w:val="00E94C50"/>
    <w:rsid w:val="00E969AD"/>
    <w:rsid w:val="00E974BC"/>
    <w:rsid w:val="00E97AEE"/>
    <w:rsid w:val="00EA054C"/>
    <w:rsid w:val="00EA063F"/>
    <w:rsid w:val="00EA0E91"/>
    <w:rsid w:val="00EA1270"/>
    <w:rsid w:val="00EA25D5"/>
    <w:rsid w:val="00EA29E3"/>
    <w:rsid w:val="00EA2F16"/>
    <w:rsid w:val="00EA3499"/>
    <w:rsid w:val="00EA37AC"/>
    <w:rsid w:val="00EA4170"/>
    <w:rsid w:val="00EA438D"/>
    <w:rsid w:val="00EA4587"/>
    <w:rsid w:val="00EA4696"/>
    <w:rsid w:val="00EA46CA"/>
    <w:rsid w:val="00EA5309"/>
    <w:rsid w:val="00EA5A8A"/>
    <w:rsid w:val="00EA7123"/>
    <w:rsid w:val="00EB0A87"/>
    <w:rsid w:val="00EB0C05"/>
    <w:rsid w:val="00EB0D69"/>
    <w:rsid w:val="00EB1602"/>
    <w:rsid w:val="00EB20AC"/>
    <w:rsid w:val="00EB2C83"/>
    <w:rsid w:val="00EB54B2"/>
    <w:rsid w:val="00EB5E84"/>
    <w:rsid w:val="00EB5FD9"/>
    <w:rsid w:val="00EB6643"/>
    <w:rsid w:val="00EB6983"/>
    <w:rsid w:val="00EB7DAF"/>
    <w:rsid w:val="00EC1022"/>
    <w:rsid w:val="00EC1748"/>
    <w:rsid w:val="00EC2371"/>
    <w:rsid w:val="00EC249F"/>
    <w:rsid w:val="00EC2C0D"/>
    <w:rsid w:val="00EC443E"/>
    <w:rsid w:val="00EC4ED0"/>
    <w:rsid w:val="00EC6C88"/>
    <w:rsid w:val="00EC6F30"/>
    <w:rsid w:val="00EC7589"/>
    <w:rsid w:val="00EC7DEB"/>
    <w:rsid w:val="00ED00C4"/>
    <w:rsid w:val="00ED06FA"/>
    <w:rsid w:val="00ED1108"/>
    <w:rsid w:val="00ED12D2"/>
    <w:rsid w:val="00ED1B78"/>
    <w:rsid w:val="00ED238A"/>
    <w:rsid w:val="00ED287E"/>
    <w:rsid w:val="00ED370F"/>
    <w:rsid w:val="00ED3CF6"/>
    <w:rsid w:val="00ED3F0D"/>
    <w:rsid w:val="00ED4F4D"/>
    <w:rsid w:val="00ED50F4"/>
    <w:rsid w:val="00ED5179"/>
    <w:rsid w:val="00ED54C7"/>
    <w:rsid w:val="00ED5805"/>
    <w:rsid w:val="00ED5C25"/>
    <w:rsid w:val="00ED5C35"/>
    <w:rsid w:val="00ED76F3"/>
    <w:rsid w:val="00ED778A"/>
    <w:rsid w:val="00ED7F22"/>
    <w:rsid w:val="00EE0499"/>
    <w:rsid w:val="00EE0F44"/>
    <w:rsid w:val="00EE0F9A"/>
    <w:rsid w:val="00EE104C"/>
    <w:rsid w:val="00EE124A"/>
    <w:rsid w:val="00EE17F9"/>
    <w:rsid w:val="00EE1D59"/>
    <w:rsid w:val="00EE3125"/>
    <w:rsid w:val="00EE3B63"/>
    <w:rsid w:val="00EE4117"/>
    <w:rsid w:val="00EE4A07"/>
    <w:rsid w:val="00EE4AA3"/>
    <w:rsid w:val="00EE4D6B"/>
    <w:rsid w:val="00EE589D"/>
    <w:rsid w:val="00EE6B4B"/>
    <w:rsid w:val="00EE71E9"/>
    <w:rsid w:val="00EE724C"/>
    <w:rsid w:val="00EF17BC"/>
    <w:rsid w:val="00EF24D6"/>
    <w:rsid w:val="00EF29A2"/>
    <w:rsid w:val="00EF2F3E"/>
    <w:rsid w:val="00EF44FF"/>
    <w:rsid w:val="00EF4545"/>
    <w:rsid w:val="00EF564E"/>
    <w:rsid w:val="00EF5E38"/>
    <w:rsid w:val="00EF6FD1"/>
    <w:rsid w:val="00EF70A9"/>
    <w:rsid w:val="00EF732C"/>
    <w:rsid w:val="00F0250F"/>
    <w:rsid w:val="00F04A74"/>
    <w:rsid w:val="00F063E3"/>
    <w:rsid w:val="00F06607"/>
    <w:rsid w:val="00F06943"/>
    <w:rsid w:val="00F070EC"/>
    <w:rsid w:val="00F0726A"/>
    <w:rsid w:val="00F0734A"/>
    <w:rsid w:val="00F076FE"/>
    <w:rsid w:val="00F11FA0"/>
    <w:rsid w:val="00F12020"/>
    <w:rsid w:val="00F12187"/>
    <w:rsid w:val="00F129DB"/>
    <w:rsid w:val="00F1338E"/>
    <w:rsid w:val="00F13937"/>
    <w:rsid w:val="00F13AC1"/>
    <w:rsid w:val="00F14C67"/>
    <w:rsid w:val="00F15979"/>
    <w:rsid w:val="00F15BDE"/>
    <w:rsid w:val="00F15CF8"/>
    <w:rsid w:val="00F175B2"/>
    <w:rsid w:val="00F2127D"/>
    <w:rsid w:val="00F21D92"/>
    <w:rsid w:val="00F22D5F"/>
    <w:rsid w:val="00F2362E"/>
    <w:rsid w:val="00F23C3E"/>
    <w:rsid w:val="00F23CA6"/>
    <w:rsid w:val="00F23CC0"/>
    <w:rsid w:val="00F243C9"/>
    <w:rsid w:val="00F27AB7"/>
    <w:rsid w:val="00F30D10"/>
    <w:rsid w:val="00F30E2B"/>
    <w:rsid w:val="00F31800"/>
    <w:rsid w:val="00F31ABD"/>
    <w:rsid w:val="00F3233F"/>
    <w:rsid w:val="00F324F0"/>
    <w:rsid w:val="00F325C5"/>
    <w:rsid w:val="00F32F91"/>
    <w:rsid w:val="00F33415"/>
    <w:rsid w:val="00F34D55"/>
    <w:rsid w:val="00F35ADA"/>
    <w:rsid w:val="00F36296"/>
    <w:rsid w:val="00F36D79"/>
    <w:rsid w:val="00F3709E"/>
    <w:rsid w:val="00F3780E"/>
    <w:rsid w:val="00F37BCC"/>
    <w:rsid w:val="00F401A5"/>
    <w:rsid w:val="00F4072B"/>
    <w:rsid w:val="00F418C5"/>
    <w:rsid w:val="00F424D4"/>
    <w:rsid w:val="00F430A8"/>
    <w:rsid w:val="00F468BB"/>
    <w:rsid w:val="00F4699C"/>
    <w:rsid w:val="00F47434"/>
    <w:rsid w:val="00F47D91"/>
    <w:rsid w:val="00F47FDB"/>
    <w:rsid w:val="00F5088C"/>
    <w:rsid w:val="00F512AE"/>
    <w:rsid w:val="00F53252"/>
    <w:rsid w:val="00F53FBB"/>
    <w:rsid w:val="00F540E7"/>
    <w:rsid w:val="00F54D55"/>
    <w:rsid w:val="00F561D5"/>
    <w:rsid w:val="00F56305"/>
    <w:rsid w:val="00F573C4"/>
    <w:rsid w:val="00F576D2"/>
    <w:rsid w:val="00F578A5"/>
    <w:rsid w:val="00F6089F"/>
    <w:rsid w:val="00F61055"/>
    <w:rsid w:val="00F61486"/>
    <w:rsid w:val="00F620A1"/>
    <w:rsid w:val="00F620C7"/>
    <w:rsid w:val="00F633C0"/>
    <w:rsid w:val="00F63971"/>
    <w:rsid w:val="00F63C16"/>
    <w:rsid w:val="00F63E3D"/>
    <w:rsid w:val="00F64AED"/>
    <w:rsid w:val="00F66218"/>
    <w:rsid w:val="00F66C1B"/>
    <w:rsid w:val="00F674DD"/>
    <w:rsid w:val="00F679D5"/>
    <w:rsid w:val="00F71184"/>
    <w:rsid w:val="00F729E0"/>
    <w:rsid w:val="00F72D27"/>
    <w:rsid w:val="00F73648"/>
    <w:rsid w:val="00F7399D"/>
    <w:rsid w:val="00F74017"/>
    <w:rsid w:val="00F742CC"/>
    <w:rsid w:val="00F75435"/>
    <w:rsid w:val="00F75CEE"/>
    <w:rsid w:val="00F75E06"/>
    <w:rsid w:val="00F7742C"/>
    <w:rsid w:val="00F77AA9"/>
    <w:rsid w:val="00F77AF4"/>
    <w:rsid w:val="00F80345"/>
    <w:rsid w:val="00F818E4"/>
    <w:rsid w:val="00F82C0C"/>
    <w:rsid w:val="00F83797"/>
    <w:rsid w:val="00F8492D"/>
    <w:rsid w:val="00F84E60"/>
    <w:rsid w:val="00F85CD0"/>
    <w:rsid w:val="00F85D3C"/>
    <w:rsid w:val="00F85D73"/>
    <w:rsid w:val="00F87095"/>
    <w:rsid w:val="00F8727D"/>
    <w:rsid w:val="00F87F08"/>
    <w:rsid w:val="00F90455"/>
    <w:rsid w:val="00F91C2D"/>
    <w:rsid w:val="00F922C1"/>
    <w:rsid w:val="00F930BD"/>
    <w:rsid w:val="00F93B29"/>
    <w:rsid w:val="00F94EF0"/>
    <w:rsid w:val="00F952D9"/>
    <w:rsid w:val="00F95976"/>
    <w:rsid w:val="00F9792A"/>
    <w:rsid w:val="00FA0339"/>
    <w:rsid w:val="00FA0E3C"/>
    <w:rsid w:val="00FA1306"/>
    <w:rsid w:val="00FA3722"/>
    <w:rsid w:val="00FA38B8"/>
    <w:rsid w:val="00FA41E7"/>
    <w:rsid w:val="00FA45BC"/>
    <w:rsid w:val="00FA6820"/>
    <w:rsid w:val="00FA6C22"/>
    <w:rsid w:val="00FB0461"/>
    <w:rsid w:val="00FB1BE5"/>
    <w:rsid w:val="00FB401A"/>
    <w:rsid w:val="00FB4C93"/>
    <w:rsid w:val="00FB5246"/>
    <w:rsid w:val="00FB64E8"/>
    <w:rsid w:val="00FB65EB"/>
    <w:rsid w:val="00FB66ED"/>
    <w:rsid w:val="00FB73EA"/>
    <w:rsid w:val="00FC0225"/>
    <w:rsid w:val="00FC1B9B"/>
    <w:rsid w:val="00FC2607"/>
    <w:rsid w:val="00FC26C4"/>
    <w:rsid w:val="00FC28E3"/>
    <w:rsid w:val="00FC3CEB"/>
    <w:rsid w:val="00FC41E5"/>
    <w:rsid w:val="00FC4A08"/>
    <w:rsid w:val="00FC64C9"/>
    <w:rsid w:val="00FD0114"/>
    <w:rsid w:val="00FD1458"/>
    <w:rsid w:val="00FD28ED"/>
    <w:rsid w:val="00FD4A4E"/>
    <w:rsid w:val="00FD5425"/>
    <w:rsid w:val="00FD5CEE"/>
    <w:rsid w:val="00FD696A"/>
    <w:rsid w:val="00FD6DD1"/>
    <w:rsid w:val="00FD7FFD"/>
    <w:rsid w:val="00FE0EB2"/>
    <w:rsid w:val="00FE1331"/>
    <w:rsid w:val="00FE176D"/>
    <w:rsid w:val="00FE29AD"/>
    <w:rsid w:val="00FE2B1A"/>
    <w:rsid w:val="00FE36CE"/>
    <w:rsid w:val="00FE3725"/>
    <w:rsid w:val="00FE3B8C"/>
    <w:rsid w:val="00FE3BFD"/>
    <w:rsid w:val="00FE41F6"/>
    <w:rsid w:val="00FE4756"/>
    <w:rsid w:val="00FE5277"/>
    <w:rsid w:val="00FE59F2"/>
    <w:rsid w:val="00FE5C0A"/>
    <w:rsid w:val="00FE688C"/>
    <w:rsid w:val="00FE6FE3"/>
    <w:rsid w:val="00FE7AFC"/>
    <w:rsid w:val="00FF1041"/>
    <w:rsid w:val="00FF25E9"/>
    <w:rsid w:val="00FF30E3"/>
    <w:rsid w:val="00FF4772"/>
    <w:rsid w:val="00FF4F12"/>
    <w:rsid w:val="00FF50F4"/>
    <w:rsid w:val="00FF5646"/>
    <w:rsid w:val="00FF577C"/>
    <w:rsid w:val="76AC1BCB"/>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E60177"/>
  <w15:chartTrackingRefBased/>
  <w15:docId w15:val="{53D259B4-32AC-4771-A5A5-4F1E0DAB44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Schoolbook" w:eastAsiaTheme="minorHAnsi" w:hAnsi="Century Schoolbook" w:cstheme="minorBidi"/>
        <w:kern w:val="2"/>
        <w:sz w:val="22"/>
        <w:szCs w:val="22"/>
        <w:lang w:val="en-GB" w:eastAsia="en-US" w:bidi="ar-SA"/>
        <w14:ligatures w14:val="standardContextual"/>
      </w:rPr>
    </w:rPrDefault>
    <w:pPrDefault>
      <w:pPr>
        <w:ind w:left="357"/>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7BDA"/>
    <w:rPr>
      <w:sz w:val="24"/>
    </w:rPr>
  </w:style>
  <w:style w:type="paragraph" w:styleId="Heading1">
    <w:name w:val="heading 1"/>
    <w:basedOn w:val="Normal"/>
    <w:next w:val="Normal"/>
    <w:link w:val="Heading1Char"/>
    <w:qFormat/>
    <w:rsid w:val="001858A8"/>
    <w:pPr>
      <w:keepNext/>
      <w:keepLines/>
      <w:numPr>
        <w:numId w:val="7"/>
      </w:numPr>
      <w:spacing w:line="360" w:lineRule="auto"/>
      <w:ind w:left="357" w:hanging="357"/>
      <w:outlineLvl w:val="0"/>
    </w:pPr>
    <w:rPr>
      <w:rFonts w:eastAsiaTheme="majorEastAsia" w:cs="Arial"/>
      <w:b/>
      <w:bCs/>
      <w:sz w:val="28"/>
      <w:szCs w:val="24"/>
    </w:rPr>
  </w:style>
  <w:style w:type="paragraph" w:styleId="Heading2">
    <w:name w:val="heading 2"/>
    <w:basedOn w:val="Normal"/>
    <w:next w:val="Normal"/>
    <w:link w:val="Heading2Char"/>
    <w:unhideWhenUsed/>
    <w:qFormat/>
    <w:rsid w:val="00BB048E"/>
    <w:pPr>
      <w:keepNext/>
      <w:keepLines/>
      <w:numPr>
        <w:ilvl w:val="1"/>
        <w:numId w:val="5"/>
      </w:numPr>
      <w:spacing w:line="360" w:lineRule="auto"/>
      <w:outlineLvl w:val="1"/>
    </w:pPr>
    <w:rPr>
      <w:rFonts w:eastAsiaTheme="majorEastAsia" w:cstheme="majorBidi"/>
      <w:szCs w:val="24"/>
      <w:u w:val="single"/>
    </w:rPr>
  </w:style>
  <w:style w:type="paragraph" w:styleId="Heading3">
    <w:name w:val="heading 3"/>
    <w:basedOn w:val="Normal"/>
    <w:next w:val="Normal"/>
    <w:link w:val="Heading3Char"/>
    <w:unhideWhenUsed/>
    <w:qFormat/>
    <w:rsid w:val="0032330A"/>
    <w:pPr>
      <w:keepNext/>
      <w:keepLines/>
      <w:numPr>
        <w:ilvl w:val="2"/>
        <w:numId w:val="5"/>
      </w:numPr>
      <w:spacing w:line="360" w:lineRule="auto"/>
      <w:outlineLvl w:val="2"/>
    </w:pPr>
    <w:rPr>
      <w:rFonts w:eastAsiaTheme="majorEastAsia" w:cs="Arial"/>
      <w:i/>
      <w:iCs/>
      <w:szCs w:val="24"/>
    </w:rPr>
  </w:style>
  <w:style w:type="paragraph" w:styleId="Heading4">
    <w:name w:val="heading 4"/>
    <w:basedOn w:val="Normal"/>
    <w:next w:val="Normal"/>
    <w:link w:val="Heading4Char"/>
    <w:unhideWhenUsed/>
    <w:qFormat/>
    <w:rsid w:val="00C65E30"/>
    <w:pPr>
      <w:keepNext/>
      <w:keepLines/>
      <w:spacing w:before="80" w:after="40" w:line="360" w:lineRule="auto"/>
      <w:ind w:left="0"/>
      <w:outlineLvl w:val="3"/>
    </w:pPr>
    <w:rPr>
      <w:rFonts w:eastAsiaTheme="majorEastAsia" w:cstheme="majorBidi"/>
      <w:szCs w:val="24"/>
    </w:rPr>
  </w:style>
  <w:style w:type="paragraph" w:styleId="Heading5">
    <w:name w:val="heading 5"/>
    <w:basedOn w:val="Normal"/>
    <w:next w:val="Normal"/>
    <w:link w:val="Heading5Char"/>
    <w:uiPriority w:val="9"/>
    <w:semiHidden/>
    <w:unhideWhenUsed/>
    <w:qFormat/>
    <w:rsid w:val="001D0EC7"/>
    <w:pPr>
      <w:keepNext/>
      <w:keepLines/>
      <w:numPr>
        <w:ilvl w:val="4"/>
        <w:numId w:val="5"/>
      </w:numPr>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1D0EC7"/>
    <w:pPr>
      <w:keepNext/>
      <w:keepLines/>
      <w:numPr>
        <w:ilvl w:val="5"/>
        <w:numId w:val="5"/>
      </w:numPr>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1D0EC7"/>
    <w:pPr>
      <w:keepNext/>
      <w:keepLines/>
      <w:numPr>
        <w:ilvl w:val="6"/>
        <w:numId w:val="5"/>
      </w:numPr>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1D0EC7"/>
    <w:pPr>
      <w:keepNext/>
      <w:keepLines/>
      <w:numPr>
        <w:ilvl w:val="7"/>
        <w:numId w:val="5"/>
      </w:numPr>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1D0EC7"/>
    <w:pPr>
      <w:keepNext/>
      <w:keepLines/>
      <w:numPr>
        <w:ilvl w:val="8"/>
        <w:numId w:val="5"/>
      </w:numPr>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858A8"/>
    <w:rPr>
      <w:rFonts w:eastAsiaTheme="majorEastAsia" w:cs="Arial"/>
      <w:b/>
      <w:bCs/>
      <w:sz w:val="28"/>
      <w:szCs w:val="24"/>
    </w:rPr>
  </w:style>
  <w:style w:type="paragraph" w:styleId="ListParagraph">
    <w:name w:val="List Paragraph"/>
    <w:basedOn w:val="Normal"/>
    <w:uiPriority w:val="34"/>
    <w:qFormat/>
    <w:rsid w:val="00180AEA"/>
    <w:pPr>
      <w:contextualSpacing/>
    </w:pPr>
    <w:rPr>
      <w:rFonts w:eastAsia="Times New Roman" w:cs="Times New Roman"/>
      <w:szCs w:val="24"/>
      <w:lang w:eastAsia="en-GB"/>
    </w:rPr>
  </w:style>
  <w:style w:type="character" w:customStyle="1" w:styleId="Heading2Char">
    <w:name w:val="Heading 2 Char"/>
    <w:basedOn w:val="DefaultParagraphFont"/>
    <w:link w:val="Heading2"/>
    <w:rsid w:val="00BB048E"/>
    <w:rPr>
      <w:rFonts w:eastAsiaTheme="majorEastAsia" w:cstheme="majorBidi"/>
      <w:sz w:val="24"/>
      <w:szCs w:val="24"/>
      <w:u w:val="single"/>
    </w:rPr>
  </w:style>
  <w:style w:type="character" w:customStyle="1" w:styleId="Heading3Char">
    <w:name w:val="Heading 3 Char"/>
    <w:basedOn w:val="DefaultParagraphFont"/>
    <w:link w:val="Heading3"/>
    <w:rsid w:val="0032330A"/>
    <w:rPr>
      <w:rFonts w:eastAsiaTheme="majorEastAsia" w:cs="Arial"/>
      <w:i/>
      <w:iCs/>
      <w:sz w:val="24"/>
      <w:szCs w:val="24"/>
    </w:rPr>
  </w:style>
  <w:style w:type="character" w:customStyle="1" w:styleId="Heading4Char">
    <w:name w:val="Heading 4 Char"/>
    <w:basedOn w:val="DefaultParagraphFont"/>
    <w:link w:val="Heading4"/>
    <w:rsid w:val="006266BA"/>
    <w:rPr>
      <w:rFonts w:eastAsiaTheme="majorEastAsia" w:cstheme="majorBidi"/>
      <w:sz w:val="24"/>
      <w:szCs w:val="24"/>
    </w:rPr>
  </w:style>
  <w:style w:type="character" w:customStyle="1" w:styleId="Heading5Char">
    <w:name w:val="Heading 5 Char"/>
    <w:basedOn w:val="DefaultParagraphFont"/>
    <w:link w:val="Heading5"/>
    <w:uiPriority w:val="9"/>
    <w:semiHidden/>
    <w:rsid w:val="001D0EC7"/>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1D0EC7"/>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1D0EC7"/>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1D0EC7"/>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1D0EC7"/>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1D0EC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D0EC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D0EC7"/>
    <w:pPr>
      <w:numPr>
        <w:ilvl w:val="1"/>
      </w:numPr>
      <w:spacing w:after="160"/>
      <w:ind w:left="357"/>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D0EC7"/>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1D0EC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D0EC7"/>
    <w:rPr>
      <w:i/>
      <w:iCs/>
      <w:color w:val="404040" w:themeColor="text1" w:themeTint="BF"/>
    </w:rPr>
  </w:style>
  <w:style w:type="character" w:styleId="IntenseEmphasis">
    <w:name w:val="Intense Emphasis"/>
    <w:basedOn w:val="DefaultParagraphFont"/>
    <w:uiPriority w:val="21"/>
    <w:qFormat/>
    <w:rsid w:val="001D0EC7"/>
    <w:rPr>
      <w:i/>
      <w:iCs/>
      <w:color w:val="0F4761" w:themeColor="accent1" w:themeShade="BF"/>
    </w:rPr>
  </w:style>
  <w:style w:type="paragraph" w:styleId="IntenseQuote">
    <w:name w:val="Intense Quote"/>
    <w:basedOn w:val="Normal"/>
    <w:next w:val="Normal"/>
    <w:link w:val="IntenseQuoteChar"/>
    <w:uiPriority w:val="30"/>
    <w:qFormat/>
    <w:rsid w:val="001D0EC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D0EC7"/>
    <w:rPr>
      <w:i/>
      <w:iCs/>
      <w:color w:val="0F4761" w:themeColor="accent1" w:themeShade="BF"/>
    </w:rPr>
  </w:style>
  <w:style w:type="character" w:styleId="IntenseReference">
    <w:name w:val="Intense Reference"/>
    <w:basedOn w:val="DefaultParagraphFont"/>
    <w:uiPriority w:val="32"/>
    <w:qFormat/>
    <w:rsid w:val="001D0EC7"/>
    <w:rPr>
      <w:b/>
      <w:bCs/>
      <w:smallCaps/>
      <w:color w:val="0F4761" w:themeColor="accent1" w:themeShade="BF"/>
      <w:spacing w:val="5"/>
    </w:rPr>
  </w:style>
  <w:style w:type="character" w:styleId="CommentReference">
    <w:name w:val="annotation reference"/>
    <w:basedOn w:val="DefaultParagraphFont"/>
    <w:uiPriority w:val="99"/>
    <w:semiHidden/>
    <w:unhideWhenUsed/>
    <w:rsid w:val="000F3E6B"/>
    <w:rPr>
      <w:sz w:val="16"/>
      <w:szCs w:val="16"/>
    </w:rPr>
  </w:style>
  <w:style w:type="paragraph" w:styleId="CommentText">
    <w:name w:val="annotation text"/>
    <w:basedOn w:val="Normal"/>
    <w:link w:val="CommentTextChar"/>
    <w:uiPriority w:val="99"/>
    <w:unhideWhenUsed/>
    <w:rsid w:val="000F3E6B"/>
    <w:rPr>
      <w:sz w:val="20"/>
      <w:szCs w:val="20"/>
    </w:rPr>
  </w:style>
  <w:style w:type="character" w:customStyle="1" w:styleId="CommentTextChar">
    <w:name w:val="Comment Text Char"/>
    <w:basedOn w:val="DefaultParagraphFont"/>
    <w:link w:val="CommentText"/>
    <w:uiPriority w:val="99"/>
    <w:rsid w:val="000F3E6B"/>
    <w:rPr>
      <w:sz w:val="20"/>
      <w:szCs w:val="20"/>
    </w:rPr>
  </w:style>
  <w:style w:type="paragraph" w:styleId="CommentSubject">
    <w:name w:val="annotation subject"/>
    <w:basedOn w:val="CommentText"/>
    <w:next w:val="CommentText"/>
    <w:link w:val="CommentSubjectChar"/>
    <w:uiPriority w:val="99"/>
    <w:semiHidden/>
    <w:unhideWhenUsed/>
    <w:rsid w:val="000F3E6B"/>
    <w:rPr>
      <w:b/>
      <w:bCs/>
    </w:rPr>
  </w:style>
  <w:style w:type="character" w:customStyle="1" w:styleId="CommentSubjectChar">
    <w:name w:val="Comment Subject Char"/>
    <w:basedOn w:val="CommentTextChar"/>
    <w:link w:val="CommentSubject"/>
    <w:uiPriority w:val="99"/>
    <w:semiHidden/>
    <w:rsid w:val="000F3E6B"/>
    <w:rPr>
      <w:b/>
      <w:bCs/>
      <w:sz w:val="20"/>
      <w:szCs w:val="20"/>
    </w:rPr>
  </w:style>
  <w:style w:type="paragraph" w:styleId="Bibliography">
    <w:name w:val="Bibliography"/>
    <w:basedOn w:val="Normal"/>
    <w:next w:val="Normal"/>
    <w:unhideWhenUsed/>
    <w:rsid w:val="000F3E6B"/>
    <w:pPr>
      <w:spacing w:after="240"/>
      <w:ind w:left="0"/>
    </w:pPr>
  </w:style>
  <w:style w:type="table" w:styleId="TableGrid">
    <w:name w:val="Table Grid"/>
    <w:basedOn w:val="TableNormal"/>
    <w:uiPriority w:val="39"/>
    <w:rsid w:val="000F3E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604AB"/>
    <w:rPr>
      <w:i/>
      <w:iCs/>
      <w:color w:val="000000" w:themeColor="text1"/>
      <w:sz w:val="20"/>
      <w:szCs w:val="20"/>
    </w:rPr>
  </w:style>
  <w:style w:type="paragraph" w:styleId="FootnoteText">
    <w:name w:val="footnote text"/>
    <w:basedOn w:val="Normal"/>
    <w:link w:val="FootnoteTextChar"/>
    <w:uiPriority w:val="99"/>
    <w:unhideWhenUsed/>
    <w:rsid w:val="000F3E6B"/>
    <w:rPr>
      <w:sz w:val="20"/>
      <w:szCs w:val="20"/>
    </w:rPr>
  </w:style>
  <w:style w:type="character" w:customStyle="1" w:styleId="FootnoteTextChar">
    <w:name w:val="Footnote Text Char"/>
    <w:basedOn w:val="DefaultParagraphFont"/>
    <w:link w:val="FootnoteText"/>
    <w:uiPriority w:val="99"/>
    <w:rsid w:val="000F3E6B"/>
    <w:rPr>
      <w:sz w:val="20"/>
      <w:szCs w:val="20"/>
    </w:rPr>
  </w:style>
  <w:style w:type="character" w:styleId="FootnoteReference">
    <w:name w:val="footnote reference"/>
    <w:basedOn w:val="DefaultParagraphFont"/>
    <w:uiPriority w:val="99"/>
    <w:unhideWhenUsed/>
    <w:rsid w:val="000F3E6B"/>
    <w:rPr>
      <w:vertAlign w:val="superscript"/>
    </w:rPr>
  </w:style>
  <w:style w:type="character" w:styleId="Hyperlink">
    <w:name w:val="Hyperlink"/>
    <w:basedOn w:val="DefaultParagraphFont"/>
    <w:uiPriority w:val="99"/>
    <w:unhideWhenUsed/>
    <w:rsid w:val="000F3E6B"/>
    <w:rPr>
      <w:color w:val="467886" w:themeColor="hyperlink"/>
      <w:u w:val="single"/>
    </w:rPr>
  </w:style>
  <w:style w:type="character" w:styleId="UnresolvedMention">
    <w:name w:val="Unresolved Mention"/>
    <w:basedOn w:val="DefaultParagraphFont"/>
    <w:uiPriority w:val="99"/>
    <w:semiHidden/>
    <w:unhideWhenUsed/>
    <w:rsid w:val="000F3E6B"/>
    <w:rPr>
      <w:color w:val="605E5C"/>
      <w:shd w:val="clear" w:color="auto" w:fill="E1DFDD"/>
    </w:rPr>
  </w:style>
  <w:style w:type="table" w:styleId="GridTable1Light">
    <w:name w:val="Grid Table 1 Light"/>
    <w:basedOn w:val="TableNormal"/>
    <w:uiPriority w:val="46"/>
    <w:rsid w:val="000F3E6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rticletitle">
    <w:name w:val="Article title"/>
    <w:basedOn w:val="Normal"/>
    <w:next w:val="Normal"/>
    <w:qFormat/>
    <w:rsid w:val="00DD1E94"/>
    <w:pPr>
      <w:spacing w:after="120" w:line="360" w:lineRule="auto"/>
      <w:ind w:left="0"/>
      <w:jc w:val="left"/>
    </w:pPr>
    <w:rPr>
      <w:rFonts w:ascii="Times New Roman" w:eastAsia="Times New Roman" w:hAnsi="Times New Roman" w:cs="Times New Roman"/>
      <w:b/>
      <w:kern w:val="0"/>
      <w:sz w:val="28"/>
      <w:szCs w:val="24"/>
      <w:lang w:eastAsia="en-GB"/>
      <w14:ligatures w14:val="none"/>
    </w:rPr>
  </w:style>
  <w:style w:type="paragraph" w:customStyle="1" w:styleId="Authornames">
    <w:name w:val="Author names"/>
    <w:basedOn w:val="Normal"/>
    <w:next w:val="Normal"/>
    <w:qFormat/>
    <w:rsid w:val="00CF6716"/>
    <w:pPr>
      <w:spacing w:before="240" w:line="360" w:lineRule="auto"/>
      <w:ind w:left="0"/>
      <w:jc w:val="left"/>
    </w:pPr>
    <w:rPr>
      <w:rFonts w:ascii="Times New Roman" w:eastAsia="Times New Roman" w:hAnsi="Times New Roman" w:cs="Times New Roman"/>
      <w:kern w:val="0"/>
      <w:sz w:val="28"/>
      <w:szCs w:val="24"/>
      <w:lang w:eastAsia="en-GB"/>
      <w14:ligatures w14:val="none"/>
    </w:rPr>
  </w:style>
  <w:style w:type="paragraph" w:customStyle="1" w:styleId="Affiliation">
    <w:name w:val="Affiliation"/>
    <w:basedOn w:val="Normal"/>
    <w:qFormat/>
    <w:rsid w:val="00CF6716"/>
    <w:pPr>
      <w:spacing w:before="240" w:line="360" w:lineRule="auto"/>
      <w:ind w:left="0"/>
      <w:jc w:val="left"/>
    </w:pPr>
    <w:rPr>
      <w:rFonts w:ascii="Times New Roman" w:eastAsia="Times New Roman" w:hAnsi="Times New Roman" w:cs="Times New Roman"/>
      <w:i/>
      <w:kern w:val="0"/>
      <w:szCs w:val="24"/>
      <w:lang w:eastAsia="en-GB"/>
      <w14:ligatures w14:val="none"/>
    </w:rPr>
  </w:style>
  <w:style w:type="paragraph" w:customStyle="1" w:styleId="Receiveddates">
    <w:name w:val="Received dates"/>
    <w:basedOn w:val="Affiliation"/>
    <w:next w:val="Normal"/>
    <w:qFormat/>
    <w:rsid w:val="00CF6716"/>
  </w:style>
  <w:style w:type="paragraph" w:customStyle="1" w:styleId="Abstract">
    <w:name w:val="Abstract"/>
    <w:basedOn w:val="Normal"/>
    <w:next w:val="Keywords"/>
    <w:qFormat/>
    <w:rsid w:val="00CF6716"/>
    <w:pPr>
      <w:spacing w:before="360" w:after="300" w:line="360" w:lineRule="auto"/>
      <w:ind w:left="720" w:right="567"/>
      <w:jc w:val="left"/>
    </w:pPr>
    <w:rPr>
      <w:rFonts w:ascii="Times New Roman" w:eastAsia="Times New Roman" w:hAnsi="Times New Roman" w:cs="Times New Roman"/>
      <w:kern w:val="0"/>
      <w:szCs w:val="24"/>
      <w:lang w:eastAsia="en-GB"/>
      <w14:ligatures w14:val="none"/>
    </w:rPr>
  </w:style>
  <w:style w:type="paragraph" w:customStyle="1" w:styleId="Keywords">
    <w:name w:val="Keywords"/>
    <w:basedOn w:val="Normal"/>
    <w:next w:val="Paragraph"/>
    <w:qFormat/>
    <w:rsid w:val="00CF6716"/>
    <w:pPr>
      <w:spacing w:before="240" w:after="240" w:line="360" w:lineRule="auto"/>
      <w:ind w:left="720" w:right="567"/>
      <w:jc w:val="left"/>
    </w:pPr>
    <w:rPr>
      <w:rFonts w:ascii="Times New Roman" w:eastAsia="Times New Roman" w:hAnsi="Times New Roman" w:cs="Times New Roman"/>
      <w:kern w:val="0"/>
      <w:szCs w:val="24"/>
      <w:lang w:eastAsia="en-GB"/>
      <w14:ligatures w14:val="none"/>
    </w:rPr>
  </w:style>
  <w:style w:type="paragraph" w:customStyle="1" w:styleId="Correspondencedetails">
    <w:name w:val="Correspondence details"/>
    <w:basedOn w:val="Normal"/>
    <w:qFormat/>
    <w:rsid w:val="00CF6716"/>
    <w:pPr>
      <w:spacing w:before="240" w:line="360" w:lineRule="auto"/>
      <w:ind w:left="0"/>
      <w:jc w:val="left"/>
    </w:pPr>
    <w:rPr>
      <w:rFonts w:ascii="Times New Roman" w:eastAsia="Times New Roman" w:hAnsi="Times New Roman" w:cs="Times New Roman"/>
      <w:kern w:val="0"/>
      <w:szCs w:val="24"/>
      <w:lang w:eastAsia="en-GB"/>
      <w14:ligatures w14:val="none"/>
    </w:rPr>
  </w:style>
  <w:style w:type="paragraph" w:customStyle="1" w:styleId="Displayedquotation">
    <w:name w:val="Displayed quotation"/>
    <w:basedOn w:val="Normal"/>
    <w:qFormat/>
    <w:rsid w:val="00CF6716"/>
    <w:pPr>
      <w:tabs>
        <w:tab w:val="left" w:pos="1077"/>
        <w:tab w:val="left" w:pos="1440"/>
        <w:tab w:val="left" w:pos="1797"/>
        <w:tab w:val="left" w:pos="2155"/>
        <w:tab w:val="left" w:pos="2512"/>
      </w:tabs>
      <w:spacing w:before="240" w:after="360" w:line="360" w:lineRule="auto"/>
      <w:ind w:left="709" w:right="425"/>
      <w:contextualSpacing/>
      <w:jc w:val="left"/>
    </w:pPr>
    <w:rPr>
      <w:rFonts w:ascii="Times New Roman" w:eastAsia="Times New Roman" w:hAnsi="Times New Roman" w:cs="Times New Roman"/>
      <w:kern w:val="0"/>
      <w:szCs w:val="24"/>
      <w:lang w:eastAsia="en-GB"/>
      <w14:ligatures w14:val="none"/>
    </w:rPr>
  </w:style>
  <w:style w:type="paragraph" w:customStyle="1" w:styleId="Numberedlist">
    <w:name w:val="Numbered list"/>
    <w:basedOn w:val="Paragraph"/>
    <w:next w:val="Paragraph"/>
    <w:qFormat/>
    <w:rsid w:val="00CF6716"/>
    <w:pPr>
      <w:widowControl/>
      <w:numPr>
        <w:numId w:val="1"/>
      </w:numPr>
      <w:spacing w:after="240"/>
      <w:contextualSpacing/>
    </w:pPr>
  </w:style>
  <w:style w:type="paragraph" w:customStyle="1" w:styleId="Displayedequation">
    <w:name w:val="Displayed equation"/>
    <w:basedOn w:val="Normal"/>
    <w:next w:val="Paragraph"/>
    <w:qFormat/>
    <w:rsid w:val="00CF6716"/>
    <w:pPr>
      <w:tabs>
        <w:tab w:val="center" w:pos="4253"/>
        <w:tab w:val="right" w:pos="8222"/>
      </w:tabs>
      <w:spacing w:before="240" w:after="240" w:line="480" w:lineRule="auto"/>
      <w:ind w:left="0"/>
      <w:jc w:val="center"/>
    </w:pPr>
    <w:rPr>
      <w:rFonts w:ascii="Times New Roman" w:eastAsia="Times New Roman" w:hAnsi="Times New Roman" w:cs="Times New Roman"/>
      <w:kern w:val="0"/>
      <w:szCs w:val="24"/>
      <w:lang w:eastAsia="en-GB"/>
      <w14:ligatures w14:val="none"/>
    </w:rPr>
  </w:style>
  <w:style w:type="paragraph" w:customStyle="1" w:styleId="Acknowledgements">
    <w:name w:val="Acknowledgements"/>
    <w:basedOn w:val="Normal"/>
    <w:next w:val="Normal"/>
    <w:qFormat/>
    <w:rsid w:val="00CF6716"/>
    <w:pPr>
      <w:spacing w:before="120" w:line="360" w:lineRule="auto"/>
      <w:ind w:left="0"/>
      <w:jc w:val="left"/>
    </w:pPr>
    <w:rPr>
      <w:rFonts w:ascii="Times New Roman" w:eastAsia="Times New Roman" w:hAnsi="Times New Roman" w:cs="Times New Roman"/>
      <w:kern w:val="0"/>
      <w:szCs w:val="24"/>
      <w:lang w:eastAsia="en-GB"/>
      <w14:ligatures w14:val="none"/>
    </w:rPr>
  </w:style>
  <w:style w:type="paragraph" w:customStyle="1" w:styleId="Tabletitle">
    <w:name w:val="Table title"/>
    <w:basedOn w:val="Normal"/>
    <w:next w:val="Normal"/>
    <w:qFormat/>
    <w:rsid w:val="00CF6716"/>
    <w:pPr>
      <w:spacing w:before="240" w:line="360" w:lineRule="auto"/>
      <w:ind w:left="0"/>
      <w:jc w:val="left"/>
    </w:pPr>
    <w:rPr>
      <w:rFonts w:ascii="Times New Roman" w:eastAsia="Times New Roman" w:hAnsi="Times New Roman" w:cs="Times New Roman"/>
      <w:kern w:val="0"/>
      <w:szCs w:val="24"/>
      <w:lang w:eastAsia="en-GB"/>
      <w14:ligatures w14:val="none"/>
    </w:rPr>
  </w:style>
  <w:style w:type="paragraph" w:customStyle="1" w:styleId="Figurecaption">
    <w:name w:val="Figure caption"/>
    <w:basedOn w:val="Normal"/>
    <w:next w:val="Normal"/>
    <w:qFormat/>
    <w:rsid w:val="00CF6716"/>
    <w:pPr>
      <w:spacing w:before="240" w:line="360" w:lineRule="auto"/>
      <w:ind w:left="0"/>
      <w:jc w:val="left"/>
    </w:pPr>
    <w:rPr>
      <w:rFonts w:ascii="Times New Roman" w:eastAsia="Times New Roman" w:hAnsi="Times New Roman" w:cs="Times New Roman"/>
      <w:kern w:val="0"/>
      <w:szCs w:val="24"/>
      <w:lang w:eastAsia="en-GB"/>
      <w14:ligatures w14:val="none"/>
    </w:rPr>
  </w:style>
  <w:style w:type="paragraph" w:customStyle="1" w:styleId="Footnotes">
    <w:name w:val="Footnotes"/>
    <w:basedOn w:val="Normal"/>
    <w:qFormat/>
    <w:rsid w:val="000E71E8"/>
    <w:pPr>
      <w:spacing w:before="120" w:line="360" w:lineRule="auto"/>
      <w:ind w:left="0"/>
      <w:contextualSpacing/>
      <w:jc w:val="left"/>
    </w:pPr>
    <w:rPr>
      <w:rFonts w:ascii="Times New Roman" w:eastAsia="Times New Roman" w:hAnsi="Times New Roman" w:cs="Times New Roman"/>
      <w:kern w:val="0"/>
      <w:szCs w:val="24"/>
      <w:lang w:eastAsia="en-GB"/>
      <w14:ligatures w14:val="none"/>
    </w:rPr>
  </w:style>
  <w:style w:type="paragraph" w:customStyle="1" w:styleId="Notesoncontributors">
    <w:name w:val="Notes on contributors"/>
    <w:basedOn w:val="Normal"/>
    <w:qFormat/>
    <w:rsid w:val="00CF6716"/>
    <w:pPr>
      <w:spacing w:before="240" w:line="360" w:lineRule="auto"/>
      <w:ind w:left="0"/>
      <w:jc w:val="left"/>
    </w:pPr>
    <w:rPr>
      <w:rFonts w:ascii="Times New Roman" w:eastAsia="Times New Roman" w:hAnsi="Times New Roman" w:cs="Times New Roman"/>
      <w:kern w:val="0"/>
      <w:szCs w:val="24"/>
      <w:lang w:eastAsia="en-GB"/>
      <w14:ligatures w14:val="none"/>
    </w:rPr>
  </w:style>
  <w:style w:type="paragraph" w:customStyle="1" w:styleId="Normalparagraphstyle">
    <w:name w:val="Normal paragraph style"/>
    <w:basedOn w:val="Normal"/>
    <w:next w:val="Normal"/>
    <w:rsid w:val="00CF6716"/>
    <w:pPr>
      <w:spacing w:line="480" w:lineRule="auto"/>
      <w:ind w:left="0"/>
      <w:jc w:val="left"/>
    </w:pPr>
    <w:rPr>
      <w:rFonts w:ascii="Times New Roman" w:eastAsia="Times New Roman" w:hAnsi="Times New Roman" w:cs="Times New Roman"/>
      <w:kern w:val="0"/>
      <w:szCs w:val="24"/>
      <w:lang w:eastAsia="en-GB"/>
      <w14:ligatures w14:val="none"/>
    </w:rPr>
  </w:style>
  <w:style w:type="paragraph" w:customStyle="1" w:styleId="Paragraph">
    <w:name w:val="Paragraph"/>
    <w:basedOn w:val="Normal"/>
    <w:next w:val="Newparagraph"/>
    <w:qFormat/>
    <w:rsid w:val="00CF6716"/>
    <w:pPr>
      <w:widowControl w:val="0"/>
      <w:spacing w:before="240" w:line="480" w:lineRule="auto"/>
      <w:ind w:left="0"/>
      <w:jc w:val="left"/>
    </w:pPr>
    <w:rPr>
      <w:rFonts w:ascii="Times New Roman" w:eastAsia="Times New Roman" w:hAnsi="Times New Roman" w:cs="Times New Roman"/>
      <w:kern w:val="0"/>
      <w:szCs w:val="24"/>
      <w:lang w:eastAsia="en-GB"/>
      <w14:ligatures w14:val="none"/>
    </w:rPr>
  </w:style>
  <w:style w:type="paragraph" w:customStyle="1" w:styleId="Newparagraph">
    <w:name w:val="New paragraph"/>
    <w:basedOn w:val="Normal"/>
    <w:qFormat/>
    <w:rsid w:val="00CF6716"/>
    <w:pPr>
      <w:spacing w:line="480" w:lineRule="auto"/>
      <w:ind w:left="0" w:firstLine="720"/>
      <w:jc w:val="left"/>
    </w:pPr>
    <w:rPr>
      <w:rFonts w:ascii="Times New Roman" w:eastAsia="Times New Roman" w:hAnsi="Times New Roman" w:cs="Times New Roman"/>
      <w:kern w:val="0"/>
      <w:szCs w:val="24"/>
      <w:lang w:eastAsia="en-GB"/>
      <w14:ligatures w14:val="none"/>
    </w:rPr>
  </w:style>
  <w:style w:type="paragraph" w:styleId="NormalIndent">
    <w:name w:val="Normal Indent"/>
    <w:basedOn w:val="Normal"/>
    <w:rsid w:val="00CF6716"/>
    <w:pPr>
      <w:spacing w:line="480" w:lineRule="auto"/>
      <w:ind w:left="720"/>
      <w:jc w:val="left"/>
    </w:pPr>
    <w:rPr>
      <w:rFonts w:ascii="Times New Roman" w:eastAsia="Times New Roman" w:hAnsi="Times New Roman" w:cs="Times New Roman"/>
      <w:kern w:val="0"/>
      <w:szCs w:val="24"/>
      <w:lang w:eastAsia="en-GB"/>
      <w14:ligatures w14:val="none"/>
    </w:rPr>
  </w:style>
  <w:style w:type="paragraph" w:customStyle="1" w:styleId="References">
    <w:name w:val="References"/>
    <w:basedOn w:val="Normal"/>
    <w:qFormat/>
    <w:rsid w:val="00CF6716"/>
    <w:pPr>
      <w:spacing w:before="120" w:line="360" w:lineRule="auto"/>
      <w:ind w:left="720" w:hanging="720"/>
      <w:contextualSpacing/>
      <w:jc w:val="left"/>
    </w:pPr>
    <w:rPr>
      <w:rFonts w:ascii="Times New Roman" w:eastAsia="Times New Roman" w:hAnsi="Times New Roman" w:cs="Times New Roman"/>
      <w:kern w:val="0"/>
      <w:szCs w:val="24"/>
      <w:lang w:eastAsia="en-GB"/>
      <w14:ligatures w14:val="none"/>
    </w:rPr>
  </w:style>
  <w:style w:type="paragraph" w:customStyle="1" w:styleId="Subjectcodes">
    <w:name w:val="Subject codes"/>
    <w:basedOn w:val="Keywords"/>
    <w:next w:val="Paragraph"/>
    <w:qFormat/>
    <w:rsid w:val="00CF6716"/>
  </w:style>
  <w:style w:type="paragraph" w:customStyle="1" w:styleId="Bulletedlist">
    <w:name w:val="Bulleted list"/>
    <w:basedOn w:val="Paragraph"/>
    <w:next w:val="Paragraph"/>
    <w:qFormat/>
    <w:rsid w:val="00CF6716"/>
    <w:pPr>
      <w:widowControl/>
      <w:numPr>
        <w:numId w:val="2"/>
      </w:numPr>
      <w:spacing w:after="240"/>
      <w:contextualSpacing/>
    </w:pPr>
  </w:style>
  <w:style w:type="paragraph" w:styleId="EndnoteText">
    <w:name w:val="endnote text"/>
    <w:basedOn w:val="Normal"/>
    <w:link w:val="EndnoteTextChar"/>
    <w:autoRedefine/>
    <w:rsid w:val="00CF6716"/>
    <w:pPr>
      <w:spacing w:line="480" w:lineRule="auto"/>
      <w:ind w:left="284" w:hanging="284"/>
      <w:jc w:val="left"/>
    </w:pPr>
    <w:rPr>
      <w:rFonts w:ascii="Times New Roman" w:eastAsia="Times New Roman" w:hAnsi="Times New Roman" w:cs="Times New Roman"/>
      <w:kern w:val="0"/>
      <w:szCs w:val="20"/>
      <w:lang w:eastAsia="en-GB"/>
      <w14:ligatures w14:val="none"/>
    </w:rPr>
  </w:style>
  <w:style w:type="character" w:customStyle="1" w:styleId="EndnoteTextChar">
    <w:name w:val="Endnote Text Char"/>
    <w:basedOn w:val="DefaultParagraphFont"/>
    <w:link w:val="EndnoteText"/>
    <w:rsid w:val="00CF6716"/>
    <w:rPr>
      <w:rFonts w:ascii="Times New Roman" w:eastAsia="Times New Roman" w:hAnsi="Times New Roman" w:cs="Times New Roman"/>
      <w:kern w:val="0"/>
      <w:szCs w:val="20"/>
      <w:lang w:eastAsia="en-GB"/>
      <w14:ligatures w14:val="none"/>
    </w:rPr>
  </w:style>
  <w:style w:type="character" w:styleId="EndnoteReference">
    <w:name w:val="endnote reference"/>
    <w:basedOn w:val="DefaultParagraphFont"/>
    <w:rsid w:val="00CF6716"/>
    <w:rPr>
      <w:vertAlign w:val="superscript"/>
    </w:rPr>
  </w:style>
  <w:style w:type="paragraph" w:styleId="Header">
    <w:name w:val="header"/>
    <w:basedOn w:val="Normal"/>
    <w:link w:val="HeaderChar"/>
    <w:rsid w:val="00CF6716"/>
    <w:pPr>
      <w:tabs>
        <w:tab w:val="center" w:pos="4320"/>
        <w:tab w:val="right" w:pos="8640"/>
      </w:tabs>
      <w:spacing w:after="120"/>
      <w:ind w:left="0"/>
      <w:contextualSpacing/>
      <w:jc w:val="left"/>
    </w:pPr>
    <w:rPr>
      <w:rFonts w:ascii="Times New Roman" w:eastAsia="Times New Roman" w:hAnsi="Times New Roman" w:cs="Times New Roman"/>
      <w:kern w:val="0"/>
      <w:szCs w:val="24"/>
      <w:lang w:eastAsia="en-GB"/>
      <w14:ligatures w14:val="none"/>
    </w:rPr>
  </w:style>
  <w:style w:type="character" w:customStyle="1" w:styleId="HeaderChar">
    <w:name w:val="Header Char"/>
    <w:basedOn w:val="DefaultParagraphFont"/>
    <w:link w:val="Header"/>
    <w:rsid w:val="00CF6716"/>
    <w:rPr>
      <w:rFonts w:ascii="Times New Roman" w:eastAsia="Times New Roman" w:hAnsi="Times New Roman" w:cs="Times New Roman"/>
      <w:kern w:val="0"/>
      <w:sz w:val="24"/>
      <w:szCs w:val="24"/>
      <w:lang w:eastAsia="en-GB"/>
      <w14:ligatures w14:val="none"/>
    </w:rPr>
  </w:style>
  <w:style w:type="paragraph" w:styleId="Footer">
    <w:name w:val="footer"/>
    <w:basedOn w:val="Normal"/>
    <w:link w:val="FooterChar"/>
    <w:uiPriority w:val="99"/>
    <w:rsid w:val="00CF6716"/>
    <w:pPr>
      <w:tabs>
        <w:tab w:val="center" w:pos="4320"/>
        <w:tab w:val="right" w:pos="8640"/>
      </w:tabs>
      <w:spacing w:before="240"/>
      <w:ind w:left="0"/>
      <w:contextualSpacing/>
      <w:jc w:val="left"/>
    </w:pPr>
    <w:rPr>
      <w:rFonts w:ascii="Times New Roman" w:eastAsia="Times New Roman" w:hAnsi="Times New Roman" w:cs="Times New Roman"/>
      <w:kern w:val="0"/>
      <w:szCs w:val="24"/>
      <w:lang w:eastAsia="en-GB"/>
      <w14:ligatures w14:val="none"/>
    </w:rPr>
  </w:style>
  <w:style w:type="character" w:customStyle="1" w:styleId="FooterChar">
    <w:name w:val="Footer Char"/>
    <w:basedOn w:val="DefaultParagraphFont"/>
    <w:link w:val="Footer"/>
    <w:uiPriority w:val="99"/>
    <w:rsid w:val="00CF6716"/>
    <w:rPr>
      <w:rFonts w:ascii="Times New Roman" w:eastAsia="Times New Roman" w:hAnsi="Times New Roman" w:cs="Times New Roman"/>
      <w:kern w:val="0"/>
      <w:sz w:val="24"/>
      <w:szCs w:val="24"/>
      <w:lang w:eastAsia="en-GB"/>
      <w14:ligatures w14:val="none"/>
    </w:rPr>
  </w:style>
  <w:style w:type="paragraph" w:customStyle="1" w:styleId="Heading4Paragraph">
    <w:name w:val="Heading 4 + Paragraph"/>
    <w:basedOn w:val="Paragraph"/>
    <w:next w:val="Newparagraph"/>
    <w:qFormat/>
    <w:rsid w:val="00CF6716"/>
    <w:pPr>
      <w:widowControl/>
      <w:spacing w:before="360"/>
    </w:pPr>
  </w:style>
  <w:style w:type="paragraph" w:styleId="NormalWeb">
    <w:name w:val="Normal (Web)"/>
    <w:basedOn w:val="Normal"/>
    <w:unhideWhenUsed/>
    <w:rsid w:val="00CF6716"/>
    <w:pPr>
      <w:spacing w:line="480" w:lineRule="auto"/>
      <w:ind w:left="0"/>
      <w:jc w:val="left"/>
    </w:pPr>
    <w:rPr>
      <w:rFonts w:ascii="Times New Roman" w:eastAsia="Times New Roman" w:hAnsi="Times New Roman" w:cs="Times New Roman"/>
      <w:kern w:val="0"/>
      <w:szCs w:val="24"/>
      <w:lang w:eastAsia="en-GB"/>
      <w14:ligatures w14:val="none"/>
    </w:rPr>
  </w:style>
  <w:style w:type="character" w:styleId="FollowedHyperlink">
    <w:name w:val="FollowedHyperlink"/>
    <w:basedOn w:val="DefaultParagraphFont"/>
    <w:uiPriority w:val="99"/>
    <w:semiHidden/>
    <w:unhideWhenUsed/>
    <w:rsid w:val="00CF6716"/>
    <w:rPr>
      <w:color w:val="96607D" w:themeColor="followedHyperlink"/>
      <w:u w:val="single"/>
    </w:rPr>
  </w:style>
  <w:style w:type="paragraph" w:styleId="TOCHeading">
    <w:name w:val="TOC Heading"/>
    <w:basedOn w:val="Heading1"/>
    <w:next w:val="Normal"/>
    <w:uiPriority w:val="39"/>
    <w:unhideWhenUsed/>
    <w:qFormat/>
    <w:rsid w:val="00A64603"/>
    <w:pPr>
      <w:spacing w:line="259" w:lineRule="auto"/>
      <w:ind w:left="0"/>
      <w:jc w:val="left"/>
      <w:outlineLvl w:val="9"/>
    </w:pPr>
    <w:rPr>
      <w:rFonts w:asciiTheme="majorHAnsi" w:hAnsiTheme="majorHAnsi" w:cstheme="majorBidi"/>
      <w:b w:val="0"/>
      <w:bCs w:val="0"/>
      <w:color w:val="0F4761" w:themeColor="accent1" w:themeShade="BF"/>
      <w:kern w:val="0"/>
      <w:sz w:val="32"/>
      <w:szCs w:val="32"/>
      <w:lang w:val="en-US"/>
      <w14:ligatures w14:val="none"/>
    </w:rPr>
  </w:style>
  <w:style w:type="paragraph" w:styleId="TOC1">
    <w:name w:val="toc 1"/>
    <w:basedOn w:val="Normal"/>
    <w:next w:val="Normal"/>
    <w:autoRedefine/>
    <w:uiPriority w:val="39"/>
    <w:unhideWhenUsed/>
    <w:rsid w:val="00850CEC"/>
    <w:pPr>
      <w:spacing w:before="360" w:after="360"/>
      <w:ind w:left="0"/>
      <w:jc w:val="left"/>
    </w:pPr>
    <w:rPr>
      <w:rFonts w:asciiTheme="minorHAnsi" w:hAnsiTheme="minorHAnsi"/>
      <w:b/>
      <w:bCs/>
      <w:caps/>
      <w:sz w:val="22"/>
      <w:u w:val="single"/>
    </w:rPr>
  </w:style>
  <w:style w:type="paragraph" w:styleId="TOC2">
    <w:name w:val="toc 2"/>
    <w:basedOn w:val="Normal"/>
    <w:next w:val="Normal"/>
    <w:autoRedefine/>
    <w:uiPriority w:val="39"/>
    <w:unhideWhenUsed/>
    <w:rsid w:val="00CF3270"/>
    <w:pPr>
      <w:ind w:left="0"/>
      <w:jc w:val="left"/>
    </w:pPr>
    <w:rPr>
      <w:rFonts w:asciiTheme="minorHAnsi" w:hAnsiTheme="minorHAnsi"/>
      <w:b/>
      <w:bCs/>
      <w:smallCaps/>
      <w:sz w:val="22"/>
    </w:rPr>
  </w:style>
  <w:style w:type="paragraph" w:styleId="TOC3">
    <w:name w:val="toc 3"/>
    <w:basedOn w:val="Normal"/>
    <w:next w:val="Normal"/>
    <w:autoRedefine/>
    <w:uiPriority w:val="39"/>
    <w:unhideWhenUsed/>
    <w:rsid w:val="00A64603"/>
    <w:pPr>
      <w:ind w:left="0"/>
      <w:jc w:val="left"/>
    </w:pPr>
    <w:rPr>
      <w:rFonts w:asciiTheme="minorHAnsi" w:hAnsiTheme="minorHAnsi"/>
      <w:smallCaps/>
      <w:sz w:val="22"/>
    </w:rPr>
  </w:style>
  <w:style w:type="character" w:customStyle="1" w:styleId="highlight">
    <w:name w:val="highlight"/>
    <w:basedOn w:val="DefaultParagraphFont"/>
    <w:rsid w:val="00621C17"/>
  </w:style>
  <w:style w:type="character" w:customStyle="1" w:styleId="citation">
    <w:name w:val="citation"/>
    <w:basedOn w:val="DefaultParagraphFont"/>
    <w:rsid w:val="00621C17"/>
  </w:style>
  <w:style w:type="character" w:customStyle="1" w:styleId="citation-item">
    <w:name w:val="citation-item"/>
    <w:basedOn w:val="DefaultParagraphFont"/>
    <w:rsid w:val="00621C17"/>
  </w:style>
  <w:style w:type="paragraph" w:customStyle="1" w:styleId="Pictures">
    <w:name w:val="Pictures"/>
    <w:basedOn w:val="Normal"/>
    <w:link w:val="PicturesChar"/>
    <w:qFormat/>
    <w:rsid w:val="00604522"/>
    <w:pPr>
      <w:keepNext/>
      <w:pageBreakBefore/>
      <w:spacing w:line="480" w:lineRule="auto"/>
      <w:ind w:left="0" w:firstLine="720"/>
    </w:pPr>
    <w:rPr>
      <w:szCs w:val="24"/>
      <w:lang w:val="en-US"/>
    </w:rPr>
  </w:style>
  <w:style w:type="character" w:customStyle="1" w:styleId="PicturesChar">
    <w:name w:val="Pictures Char"/>
    <w:basedOn w:val="DefaultParagraphFont"/>
    <w:link w:val="Pictures"/>
    <w:rsid w:val="00604522"/>
    <w:rPr>
      <w:sz w:val="24"/>
      <w:szCs w:val="24"/>
      <w:lang w:val="en-US"/>
    </w:rPr>
  </w:style>
  <w:style w:type="paragraph" w:styleId="TableofFigures">
    <w:name w:val="table of figures"/>
    <w:basedOn w:val="Normal"/>
    <w:next w:val="Normal"/>
    <w:uiPriority w:val="99"/>
    <w:unhideWhenUsed/>
    <w:rsid w:val="00CB6282"/>
    <w:pPr>
      <w:ind w:left="0"/>
    </w:pPr>
  </w:style>
  <w:style w:type="paragraph" w:styleId="Revision">
    <w:name w:val="Revision"/>
    <w:hidden/>
    <w:semiHidden/>
    <w:rsid w:val="00932009"/>
    <w:pPr>
      <w:ind w:left="0"/>
      <w:jc w:val="left"/>
    </w:pPr>
    <w:rPr>
      <w:rFonts w:ascii="Times New Roman" w:eastAsia="Times New Roman" w:hAnsi="Times New Roman" w:cs="Times New Roman"/>
      <w:kern w:val="0"/>
      <w:sz w:val="24"/>
      <w:szCs w:val="24"/>
      <w:lang w:eastAsia="en-GB"/>
      <w14:ligatures w14:val="none"/>
    </w:rPr>
  </w:style>
  <w:style w:type="paragraph" w:styleId="TOC4">
    <w:name w:val="toc 4"/>
    <w:basedOn w:val="Normal"/>
    <w:next w:val="Normal"/>
    <w:autoRedefine/>
    <w:uiPriority w:val="39"/>
    <w:unhideWhenUsed/>
    <w:rsid w:val="008800C8"/>
    <w:pPr>
      <w:ind w:left="0"/>
      <w:jc w:val="left"/>
    </w:pPr>
    <w:rPr>
      <w:rFonts w:asciiTheme="minorHAnsi" w:hAnsiTheme="minorHAnsi"/>
      <w:sz w:val="22"/>
    </w:rPr>
  </w:style>
  <w:style w:type="paragraph" w:styleId="TOC5">
    <w:name w:val="toc 5"/>
    <w:basedOn w:val="Normal"/>
    <w:next w:val="Normal"/>
    <w:autoRedefine/>
    <w:uiPriority w:val="39"/>
    <w:unhideWhenUsed/>
    <w:rsid w:val="008800C8"/>
    <w:pPr>
      <w:ind w:left="0"/>
      <w:jc w:val="left"/>
    </w:pPr>
    <w:rPr>
      <w:rFonts w:asciiTheme="minorHAnsi" w:hAnsiTheme="minorHAnsi"/>
      <w:sz w:val="22"/>
    </w:rPr>
  </w:style>
  <w:style w:type="paragraph" w:styleId="TOC6">
    <w:name w:val="toc 6"/>
    <w:basedOn w:val="Normal"/>
    <w:next w:val="Normal"/>
    <w:autoRedefine/>
    <w:uiPriority w:val="39"/>
    <w:unhideWhenUsed/>
    <w:rsid w:val="008800C8"/>
    <w:pPr>
      <w:ind w:left="0"/>
      <w:jc w:val="left"/>
    </w:pPr>
    <w:rPr>
      <w:rFonts w:asciiTheme="minorHAnsi" w:hAnsiTheme="minorHAnsi"/>
      <w:sz w:val="22"/>
    </w:rPr>
  </w:style>
  <w:style w:type="paragraph" w:styleId="TOC7">
    <w:name w:val="toc 7"/>
    <w:basedOn w:val="Normal"/>
    <w:next w:val="Normal"/>
    <w:autoRedefine/>
    <w:uiPriority w:val="39"/>
    <w:unhideWhenUsed/>
    <w:rsid w:val="008800C8"/>
    <w:pPr>
      <w:ind w:left="0"/>
      <w:jc w:val="left"/>
    </w:pPr>
    <w:rPr>
      <w:rFonts w:asciiTheme="minorHAnsi" w:hAnsiTheme="minorHAnsi"/>
      <w:sz w:val="22"/>
    </w:rPr>
  </w:style>
  <w:style w:type="paragraph" w:styleId="TOC8">
    <w:name w:val="toc 8"/>
    <w:basedOn w:val="Normal"/>
    <w:next w:val="Normal"/>
    <w:autoRedefine/>
    <w:uiPriority w:val="39"/>
    <w:unhideWhenUsed/>
    <w:rsid w:val="008800C8"/>
    <w:pPr>
      <w:ind w:left="0"/>
      <w:jc w:val="left"/>
    </w:pPr>
    <w:rPr>
      <w:rFonts w:asciiTheme="minorHAnsi" w:hAnsiTheme="minorHAnsi"/>
      <w:sz w:val="22"/>
    </w:rPr>
  </w:style>
  <w:style w:type="paragraph" w:styleId="TOC9">
    <w:name w:val="toc 9"/>
    <w:basedOn w:val="Normal"/>
    <w:next w:val="Normal"/>
    <w:autoRedefine/>
    <w:uiPriority w:val="39"/>
    <w:unhideWhenUsed/>
    <w:rsid w:val="008800C8"/>
    <w:pPr>
      <w:ind w:left="0"/>
      <w:jc w:val="left"/>
    </w:pPr>
    <w:rPr>
      <w:rFonts w:asciiTheme="minorHAnsi" w:hAnsiTheme="minorHAnsi"/>
      <w:sz w:val="22"/>
    </w:rPr>
  </w:style>
  <w:style w:type="paragraph" w:customStyle="1" w:styleId="Style1">
    <w:name w:val="Style1"/>
    <w:basedOn w:val="Heading1"/>
    <w:link w:val="Style1Char"/>
    <w:qFormat/>
    <w:rsid w:val="00D115C8"/>
    <w:pPr>
      <w:numPr>
        <w:numId w:val="0"/>
      </w:numPr>
      <w:pBdr>
        <w:bottom w:val="single" w:sz="4" w:space="1" w:color="auto"/>
      </w:pBdr>
      <w:spacing w:after="240"/>
      <w:jc w:val="right"/>
    </w:pPr>
  </w:style>
  <w:style w:type="character" w:customStyle="1" w:styleId="Style1Char">
    <w:name w:val="Style1 Char"/>
    <w:basedOn w:val="Heading1Char"/>
    <w:link w:val="Style1"/>
    <w:rsid w:val="00D115C8"/>
    <w:rPr>
      <w:rFonts w:eastAsiaTheme="majorEastAsia" w:cs="Arial"/>
      <w:b/>
      <w:bCs/>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haringey.gov.uk/sites/haringeygovuk/files/a_plan_for_tottenham.pdf" TargetMode="External"/><Relationship Id="rId26" Type="http://schemas.openxmlformats.org/officeDocument/2006/relationships/hyperlink" Target="https://www.minutes.haringey.gov.uk/documents/s81585/151028%20HDV%20APPENDIX%201%20-%20Economic%20Context.pdf" TargetMode="External"/><Relationship Id="rId39" Type="http://schemas.openxmlformats.org/officeDocument/2006/relationships/hyperlink" Target="https://www.highroadwest.london/siteassets/high-road-west/hrw-planning-submission-boards-november21.pdf" TargetMode="External"/><Relationship Id="rId21" Type="http://schemas.openxmlformats.org/officeDocument/2006/relationships/hyperlink" Target="https://www.haringey.gov.uk/sites/haringeygovuk/files/tottenhams_future_consultation_report_pdf_6.9mb.pdf" TargetMode="External"/><Relationship Id="rId34" Type="http://schemas.openxmlformats.org/officeDocument/2006/relationships/hyperlink" Target="https://www.haringey.gov.uk/sites/haringeygovuk/files/140912-hrw_masterplan_report_final_16_sept_2014.compressed.pdf" TargetMode="External"/><Relationship Id="rId42" Type="http://schemas.openxmlformats.org/officeDocument/2006/relationships/hyperlink" Target="https://gateleyhamer-pi.com/en-gb/high-road-west/inquiry-documents/cd-9-statements-evidence/" TargetMode="External"/><Relationship Id="rId47" Type="http://schemas.openxmlformats.org/officeDocument/2006/relationships/footer" Target="footer2.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minutes.haringey.gov.uk/documents/s94685/Appendix%207a%20Social%20and%20Economic%20Business%20Plan.pdf" TargetMode="External"/><Relationship Id="rId11" Type="http://schemas.openxmlformats.org/officeDocument/2006/relationships/image" Target="media/image4.jpeg"/><Relationship Id="rId24" Type="http://schemas.openxmlformats.org/officeDocument/2006/relationships/hyperlink" Target="http://www.social-life.co/media/files/FINAL_COMPILED_social_value_of_regeneration_case_studies_14_June_2019.pdf" TargetMode="External"/><Relationship Id="rId32" Type="http://schemas.openxmlformats.org/officeDocument/2006/relationships/hyperlink" Target="https://www.haringey.gov.uk/sites/default/files/2024-11/high_road_west_consultation_feedback_report_2014.pdf" TargetMode="External"/><Relationship Id="rId37" Type="http://schemas.openxmlformats.org/officeDocument/2006/relationships/hyperlink" Target="https://www.whatdotheyknow.com/request/peacock_industrial_estate_master" TargetMode="External"/><Relationship Id="rId40" Type="http://schemas.openxmlformats.org/officeDocument/2006/relationships/hyperlink" Target="file:///C:\Users\asindhwa\Downloads\Agenda%20Item%20-%20Love%20Lane%20Ballot"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haringey.gov.uk/sites/haringeygovuk/files/final_haringey_tottenham_aap_dtp_online.pdf" TargetMode="External"/><Relationship Id="rId28" Type="http://schemas.openxmlformats.org/officeDocument/2006/relationships/hyperlink" Target="https://www.minutes.haringey.gov.uk/documents/s81653/151028%20HDV%20Cabinet%20Public%20final%20submission%20Proofread.pdf" TargetMode="External"/><Relationship Id="rId36" Type="http://schemas.openxmlformats.org/officeDocument/2006/relationships/hyperlink" Target="https://www.minutes.haringey.gov.uk/documents/s96091/HRW%20Developer%20Cabinet%20Report%20V15.PDf%2018.33.pdf" TargetMode="External"/><Relationship Id="rId49" Type="http://schemas.openxmlformats.org/officeDocument/2006/relationships/image" Target="media/image13.png"/><Relationship Id="rId10" Type="http://schemas.openxmlformats.org/officeDocument/2006/relationships/image" Target="media/image3.png"/><Relationship Id="rId19" Type="http://schemas.openxmlformats.org/officeDocument/2006/relationships/hyperlink" Target="https://www.minutes.haringey.gov.uk/documents/s25128/Funding%20and%20Investment%20Package%20for%20Tottenham.pdf" TargetMode="External"/><Relationship Id="rId31" Type="http://schemas.openxmlformats.org/officeDocument/2006/relationships/hyperlink" Target="https://www.minutes.haringey.gov.uk/documents/s91200/170214%20HDV%20Scrutiny%20cabinet%20report.pdf" TargetMode="External"/><Relationship Id="rId44" Type="http://schemas.openxmlformats.org/officeDocument/2006/relationships/hyperlink" Target="https://haringey.gov.uk/sites/default/files/haringey_strategic_housing_market_assessment_june2021.pdf"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haringey.gov.uk/sites/haringeygovuk/files/tottenham_aap_final_lc060215_0.pdf" TargetMode="External"/><Relationship Id="rId27" Type="http://schemas.openxmlformats.org/officeDocument/2006/relationships/hyperlink" Target="https://www.minutes.haringey.gov.uk/documents/s81588/151028%20HDV%20APPENDIX%204%20-%20Case%20Studies.pdf" TargetMode="External"/><Relationship Id="rId30" Type="http://schemas.openxmlformats.org/officeDocument/2006/relationships/hyperlink" Target="https://www.minutes.haringey.gov.uk/documents/s90262/Item%208%20-%20DEVELOPMENT%20VEHICLE%20REPORT.pdf" TargetMode="External"/><Relationship Id="rId35" Type="http://schemas.openxmlformats.org/officeDocument/2006/relationships/hyperlink" Target="https://www.minutes.haringey.gov.uk/documents/s82600/Appendix%201%20-HRW%20Business%20Case%20Report%20NON%20EXEMPT.pdf" TargetMode="External"/><Relationship Id="rId43" Type="http://schemas.openxmlformats.org/officeDocument/2006/relationships/hyperlink" Target="https://www.haringey.gov.uk/sites/default/files/strategic_housing_market_assessment.pdf" TargetMode="External"/><Relationship Id="rId48" Type="http://schemas.openxmlformats.org/officeDocument/2006/relationships/image" Target="media/image12.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www.minutes.haringey.gov.uk/documents/s81585/151028%20HDV%20APPENDIX%201%20-%20Economic%20Context.pdf" TargetMode="External"/><Relationship Id="rId33" Type="http://schemas.openxmlformats.org/officeDocument/2006/relationships/hyperlink" Target="https://www.minutes.haringey.gov.uk/documents/s53948/High%20Road%20West%20-%20Appendix%202.pdf" TargetMode="External"/><Relationship Id="rId38" Type="http://schemas.openxmlformats.org/officeDocument/2006/relationships/hyperlink" Target="https://www.highroadwest.london/siteassets/high-road-west/hrw-masterplan-information-booklet.pdf" TargetMode="External"/><Relationship Id="rId46" Type="http://schemas.openxmlformats.org/officeDocument/2006/relationships/image" Target="media/image11.jpeg"/><Relationship Id="rId20" Type="http://schemas.openxmlformats.org/officeDocument/2006/relationships/hyperlink" Target="https://www.haringey.gov.uk/sites/haringeygovuk/files/tottenham-srf-final.pdf" TargetMode="External"/><Relationship Id="rId41" Type="http://schemas.openxmlformats.org/officeDocument/2006/relationships/hyperlink" Target="https://www.minutes.haringey.gov.uk/documents/b27236/High%20Road%20West%20Review%20-%20report%2029th-Nov-2021%2019.00%20Overview%20and%20Scrutiny%20Committee.pdf?T=9"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youtube.com/@beyondtheboxci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C9FB51-565F-4EED-BBB8-114A2C064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258</Pages>
  <Words>474191</Words>
  <Characters>2702894</Characters>
  <Application>Microsoft Office Word</Application>
  <DocSecurity>0</DocSecurity>
  <Lines>22524</Lines>
  <Paragraphs>6341</Paragraphs>
  <ScaleCrop>false</ScaleCrop>
  <Company/>
  <LinksUpToDate>false</LinksUpToDate>
  <CharactersWithSpaces>3170744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SINDHWANI, ANIL</dc:creator>
  <cp:keywords/>
  <dc:description/>
  <cp:lastModifiedBy>Sindhwani, Anil D</cp:lastModifiedBy>
  <cp:revision>2</cp:revision>
  <dcterms:created xsi:type="dcterms:W3CDTF">2026-06-01T13:09:00Z</dcterms:created>
  <dcterms:modified xsi:type="dcterms:W3CDTF">2026-06-01T13:09:00Z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zotero-version="9.0.4"&gt;&lt;session id="n0Saldgp"/&gt;&lt;style id="http://www.zotero.org/styles/chicago-author-date" locale="en-GB" hasBibliography="1" bibliographyStyleHasBeenSet="1"/&gt;&lt;prefs&gt;&lt;pref name="fieldType" value="Field"/&gt;&lt;pref name=</vt:lpwstr>
  </property>
  <property fmtid="{D5CDD505-2E9C-101B-9397-08002B2CF9AE}" pid="3" name="ZOTERO_PREF_2">
    <vt:lpwstr>"dontAskDelayCitationUpdates" value="true"/&gt;&lt;/prefs&gt;&lt;/data&gt;</vt:lpwstr>
  </property>
</Properties>
</file>